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版本号：JC2026-CG0501(24)20260609001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长安区引镇街道南寨西村“千万工程”示范村建设提升项目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JC2026-CG0501(24)</w:t>
      </w:r>
      <w:r>
        <w:br/>
      </w:r>
      <w:r>
        <w:br/>
      </w:r>
      <w:r>
        <w:br/>
      </w:r>
    </w:p>
    <w:p>
      <w:pPr>
        <w:pStyle w:val="null3"/>
        <w:jc w:val="center"/>
        <w:outlineLvl w:val="2"/>
      </w:pPr>
      <w:r>
        <w:rPr>
          <w:rFonts w:ascii="仿宋_GB2312" w:hAnsi="仿宋_GB2312" w:cs="仿宋_GB2312" w:eastAsia="仿宋_GB2312"/>
          <w:sz w:val="28"/>
          <w:b/>
        </w:rPr>
        <w:t>西安市长安区引镇街道办事处</w:t>
      </w:r>
    </w:p>
    <w:p>
      <w:pPr>
        <w:pStyle w:val="null3"/>
        <w:jc w:val="center"/>
        <w:outlineLvl w:val="2"/>
      </w:pPr>
      <w:r>
        <w:rPr>
          <w:rFonts w:ascii="仿宋_GB2312" w:hAnsi="仿宋_GB2312" w:cs="仿宋_GB2312" w:eastAsia="仿宋_GB2312"/>
          <w:sz w:val="28"/>
          <w:b/>
        </w:rPr>
        <w:t>陕西景诚项目管理有限公司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陕西景诚项目管理有限公司</w:t>
      </w:r>
      <w:r>
        <w:rPr>
          <w:rFonts w:ascii="仿宋_GB2312" w:hAnsi="仿宋_GB2312" w:cs="仿宋_GB2312" w:eastAsia="仿宋_GB2312"/>
        </w:rPr>
        <w:t>（以下简称“代理机构”）受</w:t>
      </w:r>
      <w:r>
        <w:rPr>
          <w:rFonts w:ascii="仿宋_GB2312" w:hAnsi="仿宋_GB2312" w:cs="仿宋_GB2312" w:eastAsia="仿宋_GB2312"/>
        </w:rPr>
        <w:t>西安市长安区引镇街道办事处</w:t>
      </w:r>
      <w:r>
        <w:rPr>
          <w:rFonts w:ascii="仿宋_GB2312" w:hAnsi="仿宋_GB2312" w:cs="仿宋_GB2312" w:eastAsia="仿宋_GB2312"/>
        </w:rPr>
        <w:t>委托，拟对</w:t>
      </w:r>
      <w:r>
        <w:rPr>
          <w:rFonts w:ascii="仿宋_GB2312" w:hAnsi="仿宋_GB2312" w:cs="仿宋_GB2312" w:eastAsia="仿宋_GB2312"/>
        </w:rPr>
        <w:t>长安区引镇街道南寨西村“千万工程”示范村建设提升项目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JC2026-CG0501(24)</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长安区引镇街道南寨西村“千万工程”示范村建设提升项目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长安区引镇街道南寨西村“千万工程”示范村建设提升项目，主要建设内容为：新建棉被拱棚3150平方米，新打机井1眼（深80米）并配套井房（18平方米）、水泵30KW、管网等（具体详见工程量清单及图纸所含全部内容）。</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采购包1（长安区引镇街道南寨西村“千万工程”示范村建设提升项目）：属于专门面向中小企业采购。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的能力：供应商具有独立承担民事责任的能力：在中华人民共和国境内注册，依法取得并有效存续的营业执照（含电子营业执照）\事业单位法人证书\民办非企业单位登记证书\非企业专业服务机构执业许可证等；</w:t>
      </w:r>
    </w:p>
    <w:p>
      <w:pPr>
        <w:pStyle w:val="null3"/>
      </w:pPr>
      <w:r>
        <w:rPr>
          <w:rFonts w:ascii="仿宋_GB2312" w:hAnsi="仿宋_GB2312" w:cs="仿宋_GB2312" w:eastAsia="仿宋_GB2312"/>
        </w:rPr>
        <w:t>2、财务状况报告：供应商具有良好的商业信誉和健全的财务会计制度：提供2024年度或2025年度经审计的财务会计报告（至少包括审计报告、资产负债表和利润表，成立时间至响应文件递交截止时间不足一年的可提供成立后任意时段的资产负债表）或提供响应文件递交截止时间前三个月内其基本账户开户银行出具的资信证明（附基本存款账户信息），以上形式的证明资料提供任何一种即可；</w:t>
      </w:r>
    </w:p>
    <w:p>
      <w:pPr>
        <w:pStyle w:val="null3"/>
      </w:pPr>
      <w:r>
        <w:rPr>
          <w:rFonts w:ascii="仿宋_GB2312" w:hAnsi="仿宋_GB2312" w:cs="仿宋_GB2312" w:eastAsia="仿宋_GB2312"/>
        </w:rPr>
        <w:t>3、税收缴纳证明：有依法缴纳税收的良好记录：提供响应文件递交截止时间前一年内至少一个月的纳税证明或完税证明（增值税、营业税、企业所得税至少提供一种），纳税证明或完税证明上应有代收机构或税务机关的公章或业务专用章。依法免税的单位应提供相关证明材料；</w:t>
      </w:r>
    </w:p>
    <w:p>
      <w:pPr>
        <w:pStyle w:val="null3"/>
      </w:pPr>
      <w:r>
        <w:rPr>
          <w:rFonts w:ascii="仿宋_GB2312" w:hAnsi="仿宋_GB2312" w:cs="仿宋_GB2312" w:eastAsia="仿宋_GB2312"/>
        </w:rPr>
        <w:t>4、社保资金缴纳证明：有依法缴纳社会保障资金的良好记录：提供响应文件递交截止时间前一年内至少一个月的社会保障资金缴存单据或社保机构开具的社会保险参保缴费情况证明，单据或证明上应有社保机构或代收机构的公章或业务专用章。依法不需要缴纳社会保障资金的单位应提供相关证明材料；</w:t>
      </w:r>
    </w:p>
    <w:p>
      <w:pPr>
        <w:pStyle w:val="null3"/>
      </w:pPr>
      <w:r>
        <w:rPr>
          <w:rFonts w:ascii="仿宋_GB2312" w:hAnsi="仿宋_GB2312" w:cs="仿宋_GB2312" w:eastAsia="仿宋_GB2312"/>
        </w:rPr>
        <w:t>5、无重大违法记录声明：提供参加政府采购活动前三年内在经营活动中没有重大违法记录的书面声明；</w:t>
      </w:r>
    </w:p>
    <w:p>
      <w:pPr>
        <w:pStyle w:val="null3"/>
      </w:pPr>
      <w:r>
        <w:rPr>
          <w:rFonts w:ascii="仿宋_GB2312" w:hAnsi="仿宋_GB2312" w:cs="仿宋_GB2312" w:eastAsia="仿宋_GB2312"/>
        </w:rPr>
        <w:t>6、具有履行合同所必需的设备和专业技术能力：提供具有履行本合同所必需的设备和专业技术能力的承诺；</w:t>
      </w:r>
    </w:p>
    <w:p>
      <w:pPr>
        <w:pStyle w:val="null3"/>
      </w:pPr>
      <w:r>
        <w:rPr>
          <w:rFonts w:ascii="仿宋_GB2312" w:hAnsi="仿宋_GB2312" w:cs="仿宋_GB2312" w:eastAsia="仿宋_GB2312"/>
        </w:rPr>
        <w:t>7、供应商应授权合法的人员参加磋商全过程：法定代表人亲自参加磋商的，须出具法定代表人身份证明及身份证，法定代表人委托代理人参加磋商的，须出具法定代表人授权委托书及身份证；</w:t>
      </w:r>
    </w:p>
    <w:p>
      <w:pPr>
        <w:pStyle w:val="null3"/>
      </w:pPr>
      <w:r>
        <w:rPr>
          <w:rFonts w:ascii="仿宋_GB2312" w:hAnsi="仿宋_GB2312" w:cs="仿宋_GB2312" w:eastAsia="仿宋_GB2312"/>
        </w:rPr>
        <w:t>8、供应商资质：供应商须具备建筑工程施工总承包三级及以上资质，且具备有效的安全生产许可证；</w:t>
      </w:r>
    </w:p>
    <w:p>
      <w:pPr>
        <w:pStyle w:val="null3"/>
      </w:pPr>
      <w:r>
        <w:rPr>
          <w:rFonts w:ascii="仿宋_GB2312" w:hAnsi="仿宋_GB2312" w:cs="仿宋_GB2312" w:eastAsia="仿宋_GB2312"/>
        </w:rPr>
        <w:t>9、拟派项目经理：拟派项目经理须具备建筑工程专业二级及以上注册建造师证书及有效的安全生产考核合格证书（建安B证），在本单位注册且无在建工程（提供无在建项目承诺书）；</w:t>
      </w:r>
    </w:p>
    <w:p>
      <w:pPr>
        <w:pStyle w:val="null3"/>
      </w:pPr>
      <w:r>
        <w:rPr>
          <w:rFonts w:ascii="仿宋_GB2312" w:hAnsi="仿宋_GB2312" w:cs="仿宋_GB2312" w:eastAsia="仿宋_GB2312"/>
        </w:rPr>
        <w:t>10、供应商信用信息：供应商不得为“信用中国”网站（www.creditchina.gov.cn）中被列入“重大税收违法失信主体”的供应商,不得为“中国执行信息公开网”网站（zxgk.court.gov.cn/）中被列入“失信被执行人”的供应商；不得为中国政府采购网（www.ccgp.gov.cn）政府采购“严重违法失信行为记录名单”中被财政部门禁止参加政府采购活动的供应商（信用记录在资格审查阶段通过互联网或者相关系统对供应商的信用情况进行甄别）；</w:t>
      </w:r>
    </w:p>
    <w:p>
      <w:pPr>
        <w:pStyle w:val="null3"/>
      </w:pPr>
      <w:r>
        <w:rPr>
          <w:rFonts w:ascii="仿宋_GB2312" w:hAnsi="仿宋_GB2312" w:cs="仿宋_GB2312" w:eastAsia="仿宋_GB2312"/>
        </w:rPr>
        <w:t>11、非联合体磋商：本项目不接受联合体磋商。单位负责人为同一人或者存在直接控股、管理关系的不同单位不得同时参加。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西安市长安区引镇街道办事处</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西安市长安区引镇街道鸿翔东街23号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杨新联</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029-85886382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陕西景诚项目管理有限公司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西安市高新区沣惠南路16号泰华金贸国际4号楼2203室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王琛</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029-88228971/18681802917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西安市长安区政府采购管理股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左崇伟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85645891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采购包1：923,635.63元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由成交供应商在领取《成交通知书》时，一次性向招标代理机构支付，招标代理服务费为人民币柒仟壹佰元整（￥7100.00元）。缴纳账户信息：开户名称：陕西景诚项目管理有限公司，开户行：西安银行股份有限公司长安西路支行，账号：515011580000149177.</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西安市长安区引镇街道办事处</w:t>
      </w:r>
      <w:r>
        <w:rPr>
          <w:rFonts w:ascii="仿宋_GB2312" w:hAnsi="仿宋_GB2312" w:cs="仿宋_GB2312" w:eastAsia="仿宋_GB2312"/>
        </w:rPr>
        <w:t>和</w:t>
      </w:r>
      <w:r>
        <w:rPr>
          <w:rFonts w:ascii="仿宋_GB2312" w:hAnsi="仿宋_GB2312" w:cs="仿宋_GB2312" w:eastAsia="仿宋_GB2312"/>
        </w:rPr>
        <w:t>陕西景诚项目管理有限公司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西安市长安区引镇街道办事处</w:t>
      </w:r>
      <w:r>
        <w:rPr>
          <w:rFonts w:ascii="仿宋_GB2312" w:hAnsi="仿宋_GB2312" w:cs="仿宋_GB2312" w:eastAsia="仿宋_GB2312"/>
        </w:rPr>
        <w:t>负责解释。除上述磋商文件内容，其他内容由</w:t>
      </w:r>
      <w:r>
        <w:rPr>
          <w:rFonts w:ascii="仿宋_GB2312" w:hAnsi="仿宋_GB2312" w:cs="仿宋_GB2312" w:eastAsia="仿宋_GB2312"/>
        </w:rPr>
        <w:t>陕西景诚项目管理有限公司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西安市长安区引镇街道办事处</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陕西景诚项目管理有限公司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一、工程质量须达到国家现行施工验收规范“合格”标准。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陕西景诚项目管理有限公司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陕西景诚项目管理有限公司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陕西景诚项目管理有限公司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联系人：王琛</w:t>
      </w:r>
    </w:p>
    <w:p>
      <w:pPr>
        <w:pStyle w:val="null3"/>
      </w:pPr>
      <w:r>
        <w:rPr>
          <w:rFonts w:ascii="仿宋_GB2312" w:hAnsi="仿宋_GB2312" w:cs="仿宋_GB2312" w:eastAsia="仿宋_GB2312"/>
        </w:rPr>
        <w:t>联系电话：029-88228971</w:t>
      </w:r>
    </w:p>
    <w:p>
      <w:pPr>
        <w:pStyle w:val="null3"/>
      </w:pPr>
      <w:r>
        <w:rPr>
          <w:rFonts w:ascii="仿宋_GB2312" w:hAnsi="仿宋_GB2312" w:cs="仿宋_GB2312" w:eastAsia="仿宋_GB2312"/>
        </w:rPr>
        <w:t>地址：西安市高新区沣惠南路16号泰华金贸国际4号楼2203室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923,635.63</w:t>
      </w:r>
    </w:p>
    <w:p>
      <w:pPr>
        <w:pStyle w:val="null3"/>
      </w:pPr>
      <w:r>
        <w:rPr>
          <w:rFonts w:ascii="仿宋_GB2312" w:hAnsi="仿宋_GB2312" w:cs="仿宋_GB2312" w:eastAsia="仿宋_GB2312"/>
        </w:rPr>
        <w:t>采购包最高限价（元）: 923,635.63</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长安区引镇街道南寨西村“千万工程”示范村建设提升项目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923,635.63</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标的名称：长安区引镇街道南寨西村“千万工程”示范村建设提升项目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18"/>
              </w:rPr>
              <w:t>一、项目概况及采购内容：</w:t>
            </w:r>
          </w:p>
          <w:p>
            <w:pPr>
              <w:pStyle w:val="null3"/>
              <w:ind w:firstLine="360"/>
              <w:jc w:val="both"/>
            </w:pPr>
            <w:r>
              <w:rPr>
                <w:rFonts w:ascii="仿宋_GB2312" w:hAnsi="仿宋_GB2312" w:cs="仿宋_GB2312" w:eastAsia="仿宋_GB2312"/>
                <w:sz w:val="18"/>
              </w:rPr>
              <w:t>长安区引镇街道南寨西村</w:t>
            </w:r>
            <w:r>
              <w:rPr>
                <w:rFonts w:ascii="仿宋_GB2312" w:hAnsi="仿宋_GB2312" w:cs="仿宋_GB2312" w:eastAsia="仿宋_GB2312"/>
                <w:sz w:val="18"/>
              </w:rPr>
              <w:t>“千万工程”示范村建设提升项目，</w:t>
            </w:r>
            <w:r>
              <w:rPr>
                <w:rFonts w:ascii="仿宋_GB2312" w:hAnsi="仿宋_GB2312" w:cs="仿宋_GB2312" w:eastAsia="仿宋_GB2312"/>
                <w:sz w:val="18"/>
              </w:rPr>
              <w:t>主要</w:t>
            </w:r>
            <w:r>
              <w:rPr>
                <w:rFonts w:ascii="仿宋_GB2312" w:hAnsi="仿宋_GB2312" w:cs="仿宋_GB2312" w:eastAsia="仿宋_GB2312"/>
                <w:sz w:val="18"/>
              </w:rPr>
              <w:t>建设</w:t>
            </w:r>
            <w:r>
              <w:rPr>
                <w:rFonts w:ascii="仿宋_GB2312" w:hAnsi="仿宋_GB2312" w:cs="仿宋_GB2312" w:eastAsia="仿宋_GB2312"/>
                <w:sz w:val="18"/>
              </w:rPr>
              <w:t>内容为</w:t>
            </w:r>
            <w:r>
              <w:rPr>
                <w:rFonts w:ascii="仿宋_GB2312" w:hAnsi="仿宋_GB2312" w:cs="仿宋_GB2312" w:eastAsia="仿宋_GB2312"/>
                <w:sz w:val="18"/>
              </w:rPr>
              <w:t>：</w:t>
            </w:r>
            <w:r>
              <w:rPr>
                <w:rFonts w:ascii="仿宋_GB2312" w:hAnsi="仿宋_GB2312" w:cs="仿宋_GB2312" w:eastAsia="仿宋_GB2312"/>
                <w:sz w:val="18"/>
              </w:rPr>
              <w:t>新建棉被拱棚</w:t>
            </w:r>
            <w:r>
              <w:rPr>
                <w:rFonts w:ascii="仿宋_GB2312" w:hAnsi="仿宋_GB2312" w:cs="仿宋_GB2312" w:eastAsia="仿宋_GB2312"/>
                <w:sz w:val="18"/>
              </w:rPr>
              <w:t>3150平方米，新打机井1眼（深80米）并配套井房（18平方米）、水泵30KW、管网等（具体详见工程量清单及图纸所含全部内容）。</w:t>
            </w:r>
          </w:p>
          <w:p>
            <w:pPr>
              <w:pStyle w:val="null3"/>
              <w:jc w:val="both"/>
            </w:pPr>
            <w:r>
              <w:rPr>
                <w:rFonts w:ascii="仿宋_GB2312" w:hAnsi="仿宋_GB2312" w:cs="仿宋_GB2312" w:eastAsia="仿宋_GB2312"/>
                <w:sz w:val="18"/>
              </w:rPr>
              <w:t>二、工程量清单编制依据</w:t>
            </w:r>
          </w:p>
          <w:p>
            <w:pPr>
              <w:pStyle w:val="null3"/>
              <w:jc w:val="both"/>
            </w:pPr>
            <w:r>
              <w:rPr>
                <w:rFonts w:ascii="仿宋_GB2312" w:hAnsi="仿宋_GB2312" w:cs="仿宋_GB2312" w:eastAsia="仿宋_GB2312"/>
                <w:sz w:val="18"/>
              </w:rPr>
              <w:t>1、《陕西省建设工程工程量清单计价计算标准》（2025）；《陕西省房屋建筑与装饰工程基价表》（2025）；《陕西省通用安装工程基价表》(2025)；《陕西省市政工程基价表》(2025)；《陕西省园林绿化工程基价表》(2025)、《陕西省建设工程工程量清单计价费率》及其相关配套计价文件；</w:t>
            </w:r>
          </w:p>
          <w:p>
            <w:pPr>
              <w:pStyle w:val="null3"/>
              <w:jc w:val="both"/>
            </w:pPr>
            <w:r>
              <w:rPr>
                <w:rFonts w:ascii="仿宋_GB2312" w:hAnsi="仿宋_GB2312" w:cs="仿宋_GB2312" w:eastAsia="仿宋_GB2312"/>
                <w:sz w:val="18"/>
              </w:rPr>
              <w:t>2、施工图、设计回复；</w:t>
            </w:r>
          </w:p>
          <w:p>
            <w:pPr>
              <w:pStyle w:val="null3"/>
              <w:jc w:val="both"/>
            </w:pPr>
            <w:r>
              <w:rPr>
                <w:rFonts w:ascii="仿宋_GB2312" w:hAnsi="仿宋_GB2312" w:cs="仿宋_GB2312" w:eastAsia="仿宋_GB2312"/>
                <w:sz w:val="18"/>
              </w:rPr>
              <w:t>3、与建设工程项目有关的标准、规范、技术资料；</w:t>
            </w:r>
          </w:p>
          <w:p>
            <w:pPr>
              <w:pStyle w:val="null3"/>
              <w:jc w:val="both"/>
            </w:pPr>
            <w:r>
              <w:rPr>
                <w:rFonts w:ascii="仿宋_GB2312" w:hAnsi="仿宋_GB2312" w:cs="仿宋_GB2312" w:eastAsia="仿宋_GB2312"/>
                <w:sz w:val="18"/>
              </w:rPr>
              <w:t>4、现场情况及常规的施工组织及方案；</w:t>
            </w:r>
          </w:p>
          <w:p>
            <w:pPr>
              <w:pStyle w:val="null3"/>
              <w:jc w:val="both"/>
            </w:pPr>
            <w:r>
              <w:rPr>
                <w:rFonts w:ascii="仿宋_GB2312" w:hAnsi="仿宋_GB2312" w:cs="仿宋_GB2312" w:eastAsia="仿宋_GB2312"/>
                <w:sz w:val="18"/>
              </w:rPr>
              <w:t>5、陕建管发〔2025〕10号；</w:t>
            </w:r>
          </w:p>
          <w:p>
            <w:pPr>
              <w:pStyle w:val="null3"/>
              <w:jc w:val="both"/>
            </w:pPr>
            <w:r>
              <w:rPr>
                <w:rFonts w:ascii="仿宋_GB2312" w:hAnsi="仿宋_GB2312" w:cs="仿宋_GB2312" w:eastAsia="仿宋_GB2312"/>
                <w:sz w:val="18"/>
              </w:rPr>
              <w:t>6、陕西省建设工程费用规则（2025）；</w:t>
            </w:r>
          </w:p>
          <w:p>
            <w:pPr>
              <w:pStyle w:val="null3"/>
              <w:jc w:val="both"/>
            </w:pPr>
            <w:r>
              <w:rPr>
                <w:rFonts w:ascii="仿宋_GB2312" w:hAnsi="仿宋_GB2312" w:cs="仿宋_GB2312" w:eastAsia="仿宋_GB2312"/>
                <w:sz w:val="18"/>
              </w:rPr>
              <w:t>7、计价软件采用广联达云计价平台GCCP7.0(版本号：7.5000.23.2)。</w:t>
            </w:r>
          </w:p>
          <w:p>
            <w:pPr>
              <w:pStyle w:val="null3"/>
            </w:pPr>
            <w:r>
              <w:rPr>
                <w:rFonts w:ascii="仿宋_GB2312" w:hAnsi="仿宋_GB2312" w:cs="仿宋_GB2312" w:eastAsia="仿宋_GB2312"/>
                <w:sz w:val="18"/>
              </w:rPr>
              <w:t>三、</w:t>
            </w:r>
            <w:r>
              <w:rPr>
                <w:rFonts w:ascii="仿宋_GB2312" w:hAnsi="仿宋_GB2312" w:cs="仿宋_GB2312" w:eastAsia="仿宋_GB2312"/>
                <w:sz w:val="18"/>
              </w:rPr>
              <w:t>“工程量清单”详见附件。</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18"/>
              </w:rPr>
              <w:t>商务要求：</w:t>
            </w:r>
          </w:p>
          <w:p>
            <w:pPr>
              <w:pStyle w:val="null3"/>
              <w:jc w:val="both"/>
            </w:pPr>
            <w:r>
              <w:rPr>
                <w:rFonts w:ascii="仿宋_GB2312" w:hAnsi="仿宋_GB2312" w:cs="仿宋_GB2312" w:eastAsia="仿宋_GB2312"/>
                <w:sz w:val="18"/>
              </w:rPr>
              <w:t>1、工期：</w:t>
            </w:r>
            <w:r>
              <w:rPr>
                <w:rFonts w:ascii="仿宋_GB2312" w:hAnsi="仿宋_GB2312" w:cs="仿宋_GB2312" w:eastAsia="仿宋_GB2312"/>
                <w:sz w:val="18"/>
              </w:rPr>
              <w:t>自合同签订之日起</w:t>
            </w:r>
            <w:r>
              <w:rPr>
                <w:rFonts w:ascii="仿宋_GB2312" w:hAnsi="仿宋_GB2312" w:cs="仿宋_GB2312" w:eastAsia="仿宋_GB2312"/>
                <w:sz w:val="18"/>
              </w:rPr>
              <w:t>60日历天</w:t>
            </w:r>
            <w:r>
              <w:rPr>
                <w:rFonts w:ascii="仿宋_GB2312" w:hAnsi="仿宋_GB2312" w:cs="仿宋_GB2312" w:eastAsia="仿宋_GB2312"/>
                <w:sz w:val="18"/>
              </w:rPr>
              <w:t>。</w:t>
            </w:r>
          </w:p>
          <w:p>
            <w:pPr>
              <w:pStyle w:val="null3"/>
              <w:jc w:val="both"/>
            </w:pPr>
            <w:r>
              <w:rPr>
                <w:rFonts w:ascii="仿宋_GB2312" w:hAnsi="仿宋_GB2312" w:cs="仿宋_GB2312" w:eastAsia="仿宋_GB2312"/>
                <w:sz w:val="18"/>
              </w:rPr>
              <w:t>2、施工地点：</w:t>
            </w:r>
            <w:r>
              <w:rPr>
                <w:rFonts w:ascii="仿宋_GB2312" w:hAnsi="仿宋_GB2312" w:cs="仿宋_GB2312" w:eastAsia="仿宋_GB2312"/>
                <w:sz w:val="18"/>
              </w:rPr>
              <w:t>西安市长安区引镇街道南寨西村</w:t>
            </w:r>
          </w:p>
          <w:p>
            <w:pPr>
              <w:pStyle w:val="null3"/>
              <w:jc w:val="both"/>
            </w:pPr>
            <w:r>
              <w:rPr>
                <w:rFonts w:ascii="仿宋_GB2312" w:hAnsi="仿宋_GB2312" w:cs="仿宋_GB2312" w:eastAsia="仿宋_GB2312"/>
                <w:sz w:val="18"/>
              </w:rPr>
              <w:t>3、质量标准：达到国家现行施工验收规范“合格”标准。</w:t>
            </w:r>
          </w:p>
          <w:p>
            <w:pPr>
              <w:pStyle w:val="null3"/>
              <w:jc w:val="both"/>
            </w:pPr>
            <w:r>
              <w:rPr>
                <w:rFonts w:ascii="仿宋_GB2312" w:hAnsi="仿宋_GB2312" w:cs="仿宋_GB2312" w:eastAsia="仿宋_GB2312"/>
                <w:sz w:val="18"/>
              </w:rPr>
              <w:t>4、缺陷责任期（工程质量保修期）：通过合同工程验收之日起12个月。</w:t>
            </w:r>
          </w:p>
          <w:p>
            <w:pPr>
              <w:pStyle w:val="null3"/>
              <w:jc w:val="both"/>
            </w:pPr>
            <w:r>
              <w:rPr>
                <w:rFonts w:ascii="仿宋_GB2312" w:hAnsi="仿宋_GB2312" w:cs="仿宋_GB2312" w:eastAsia="仿宋_GB2312"/>
                <w:sz w:val="18"/>
              </w:rPr>
              <w:t>5、付款方式：</w:t>
            </w:r>
            <w:r>
              <w:rPr>
                <w:rFonts w:ascii="仿宋_GB2312" w:hAnsi="仿宋_GB2312" w:cs="仿宋_GB2312" w:eastAsia="仿宋_GB2312"/>
                <w:sz w:val="18"/>
              </w:rPr>
              <w:t>（</w:t>
            </w:r>
            <w:r>
              <w:rPr>
                <w:rFonts w:ascii="仿宋_GB2312" w:hAnsi="仿宋_GB2312" w:cs="仿宋_GB2312" w:eastAsia="仿宋_GB2312"/>
                <w:sz w:val="18"/>
              </w:rPr>
              <w:t>1）</w:t>
            </w:r>
            <w:r>
              <w:rPr>
                <w:rFonts w:ascii="仿宋_GB2312" w:hAnsi="仿宋_GB2312" w:cs="仿宋_GB2312" w:eastAsia="仿宋_GB2312"/>
                <w:sz w:val="18"/>
              </w:rPr>
              <w:t>按照工程进度付款，工程进度达到</w:t>
            </w:r>
            <w:r>
              <w:rPr>
                <w:rFonts w:ascii="仿宋_GB2312" w:hAnsi="仿宋_GB2312" w:cs="仿宋_GB2312" w:eastAsia="仿宋_GB2312"/>
                <w:sz w:val="18"/>
              </w:rPr>
              <w:t>50％时支付至合同价款的40％，竣工验收后支付至合同价款的90%暂停支付，审计结算完成后，按照审定价支付剩余款项；（2）每期付款时供应商提供等额发票申请款项。</w:t>
            </w:r>
          </w:p>
          <w:p>
            <w:pPr>
              <w:pStyle w:val="null3"/>
              <w:jc w:val="both"/>
            </w:pPr>
            <w:r>
              <w:rPr>
                <w:rFonts w:ascii="仿宋_GB2312" w:hAnsi="仿宋_GB2312" w:cs="仿宋_GB2312" w:eastAsia="仿宋_GB2312"/>
                <w:sz w:val="18"/>
              </w:rPr>
              <w:t>6、施工过程中，拟派项目经理为承包人派驻施工场地的全权负责人，项目经理每月在施工现场应不少于26日，若短期</w:t>
            </w:r>
            <w:r>
              <w:rPr>
                <w:rFonts w:ascii="仿宋_GB2312" w:hAnsi="仿宋_GB2312" w:cs="仿宋_GB2312" w:eastAsia="仿宋_GB2312"/>
                <w:sz w:val="18"/>
              </w:rPr>
              <w:t>离开施工场地，应事先征得监理人同意，并委派代表代行其职责。</w:t>
            </w:r>
          </w:p>
          <w:p>
            <w:pPr>
              <w:pStyle w:val="null3"/>
              <w:jc w:val="both"/>
            </w:pPr>
            <w:r>
              <w:rPr>
                <w:rFonts w:ascii="仿宋_GB2312" w:hAnsi="仿宋_GB2312" w:cs="仿宋_GB2312" w:eastAsia="仿宋_GB2312"/>
                <w:sz w:val="18"/>
              </w:rPr>
              <w:t>7、运输、进度：成交供应商负责施工过程中材料的运输、施工及其他伴随服务。</w:t>
            </w:r>
          </w:p>
          <w:p>
            <w:pPr>
              <w:pStyle w:val="null3"/>
              <w:jc w:val="both"/>
            </w:pPr>
            <w:r>
              <w:rPr>
                <w:rFonts w:ascii="仿宋_GB2312" w:hAnsi="仿宋_GB2312" w:cs="仿宋_GB2312" w:eastAsia="仿宋_GB2312"/>
                <w:sz w:val="18"/>
              </w:rPr>
              <w:t>8、技术规范及要求：执行国家、省、市现行的相关规定及标准文件。</w:t>
            </w:r>
          </w:p>
          <w:p>
            <w:pPr>
              <w:pStyle w:val="null3"/>
              <w:jc w:val="both"/>
            </w:pPr>
            <w:r>
              <w:rPr>
                <w:rFonts w:ascii="仿宋_GB2312" w:hAnsi="仿宋_GB2312" w:cs="仿宋_GB2312" w:eastAsia="仿宋_GB2312"/>
                <w:sz w:val="18"/>
              </w:rPr>
              <w:t>9、竣工验收：（1）竣工须达到的标准和具备工程验收的条件；（2）工程验收规范、标准，验收的组织实施；（3）工程验收合格须移交的工程资料和竣工图纸等。</w:t>
            </w:r>
          </w:p>
          <w:p>
            <w:pPr>
              <w:pStyle w:val="null3"/>
              <w:jc w:val="both"/>
            </w:pPr>
            <w:r>
              <w:rPr>
                <w:rFonts w:ascii="仿宋_GB2312" w:hAnsi="仿宋_GB2312" w:cs="仿宋_GB2312" w:eastAsia="仿宋_GB2312"/>
                <w:sz w:val="18"/>
              </w:rPr>
              <w:t>10、验收依据：（1）合同文本及合同补充文件（条款）；（2）磋商文件及成交单位的磋商响应文件；（3）国家、省、市现行的施工验收标准及相关规定文件。（4）国家相关法律法规。</w:t>
            </w:r>
          </w:p>
          <w:p>
            <w:pPr>
              <w:pStyle w:val="null3"/>
            </w:pPr>
            <w:r>
              <w:rPr>
                <w:rFonts w:ascii="仿宋_GB2312" w:hAnsi="仿宋_GB2312" w:cs="仿宋_GB2312" w:eastAsia="仿宋_GB2312"/>
                <w:sz w:val="18"/>
              </w:rPr>
              <w:t>11、违约责任：（1）按《中华人民共和国民法典》中的相关条款执行。（2）未按合同要求工程质量不能满足技术要求，采购方有权终止合同，并对供方违约行为进行追究，同时按《中华人民共和国政府采购法》的有关规定进行处罚。</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达到国家现行施工验收规范“合格”标准。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供应商的磋商报价应是为完成本项目磋商文件中所提出的施工范围及要求的全部价格体现，包括供应商实施本项目所需的直接费、间接费、利润、税金及其它相关的一切费用。包括但不限于：人工费、材料费、设备费、管理费、保险、运输、维护、缺陷修复及合同所有责任、义务和风险等全部费用。2.项目属性：工程，本项目所属行业为：建筑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供应商资格证明文件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响应函 供应商资格证明文件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供应商资格证明文件</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供应商具有独立承担民事责任的能力：在中华人民共和国境内注册，依法取得并有效存续的营业执照（含电子营业执照）\事业单位法人证书\民办非企业单位登记证书\非企业专业服务机构执业许可证等；</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供应商具有良好的商业信誉和健全的财务会计制度：提供2024年度或2025年度经审计的财务会计报告（至少包括审计报告、资产负债表和利润表，成立时间至响应文件递交截止时间不足一年的可提供成立后任意时段的资产负债表）或提供响应文件递交截止时间前三个月内其基本账户开户银行出具的资信证明（附基本存款账户信息），以上形式的证明资料提供任何一种即可；</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有依法缴纳税收的良好记录：提供响应文件递交截止时间前一年内至少一个月的纳税证明或完税证明（增值税、营业税、企业所得税至少提供一种），纳税证明或完税证明上应有代收机构或税务机关的公章或业务专用章。依法免税的单位应提供相关证明材料；</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社保资金缴纳证明</w:t>
            </w:r>
          </w:p>
        </w:tc>
        <w:tc>
          <w:tcPr>
            <w:tcW w:type="dxa" w:w="3322"/>
          </w:tcPr>
          <w:p>
            <w:pPr>
              <w:pStyle w:val="null3"/>
            </w:pPr>
            <w:r>
              <w:rPr>
                <w:rFonts w:ascii="仿宋_GB2312" w:hAnsi="仿宋_GB2312" w:cs="仿宋_GB2312" w:eastAsia="仿宋_GB2312"/>
              </w:rPr>
              <w:t>有依法缴纳社会保障资金的良好记录：提供响应文件递交截止时间前一年内至少一个月的社会保障资金缴存单据或社保机构开具的社会保险参保缴费情况证明，单据或证明上应有社保机构或代收机构的公章或业务专用章。依法不需要缴纳社会保障资金的单位应提供相关证明材料；</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提供具有履行本合同所必需的设备和专业技术能力的承诺；</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供应商应授权合法的人员参加磋商全过程</w:t>
            </w:r>
          </w:p>
        </w:tc>
        <w:tc>
          <w:tcPr>
            <w:tcW w:type="dxa" w:w="3322"/>
          </w:tcPr>
          <w:p>
            <w:pPr>
              <w:pStyle w:val="null3"/>
            </w:pPr>
            <w:r>
              <w:rPr>
                <w:rFonts w:ascii="仿宋_GB2312" w:hAnsi="仿宋_GB2312" w:cs="仿宋_GB2312" w:eastAsia="仿宋_GB2312"/>
              </w:rPr>
              <w:t>法定代表人亲自参加磋商的，须出具法定代表人身份证明及身份证，法定代表人委托代理人参加磋商的，须出具法定代表人授权委托书及身份证；</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供应商须具备建筑工程施工总承包三级及以上资质，且具备有效的安全生产许可证；</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拟派项目经理</w:t>
            </w:r>
          </w:p>
        </w:tc>
        <w:tc>
          <w:tcPr>
            <w:tcW w:type="dxa" w:w="3322"/>
          </w:tcPr>
          <w:p>
            <w:pPr>
              <w:pStyle w:val="null3"/>
            </w:pPr>
            <w:r>
              <w:rPr>
                <w:rFonts w:ascii="仿宋_GB2312" w:hAnsi="仿宋_GB2312" w:cs="仿宋_GB2312" w:eastAsia="仿宋_GB2312"/>
              </w:rPr>
              <w:t>拟派项目经理须具备建筑工程专业二级及以上注册建造师证书及有效的安全生产考核合格证书（建安B证），在本单位注册且无在建工程（提供无在建项目承诺书）；</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供应商信用信息</w:t>
            </w:r>
          </w:p>
        </w:tc>
        <w:tc>
          <w:tcPr>
            <w:tcW w:type="dxa" w:w="3322"/>
          </w:tcPr>
          <w:p>
            <w:pPr>
              <w:pStyle w:val="null3"/>
            </w:pPr>
            <w:r>
              <w:rPr>
                <w:rFonts w:ascii="仿宋_GB2312" w:hAnsi="仿宋_GB2312" w:cs="仿宋_GB2312" w:eastAsia="仿宋_GB2312"/>
              </w:rPr>
              <w:t>供应商不得为“信用中国”网站（www.creditchina.gov.cn）中被列入“重大税收违法失信主体”的供应商,不得为“中国执行信息公开网”网站（zxgk.court.gov.cn/）中被列入“失信被执行人”的供应商；不得为中国政府采购网（www.ccgp.gov.cn）政府采购“严重违法失信行为记录名单”中被财政部门禁止参加政府采购活动的供应商（信用记录在资格审查阶段通过互联网或者相关系统对供应商的信用情况进行甄别）；</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非联合体磋商</w:t>
            </w:r>
          </w:p>
        </w:tc>
        <w:tc>
          <w:tcPr>
            <w:tcW w:type="dxa" w:w="3322"/>
          </w:tcPr>
          <w:p>
            <w:pPr>
              <w:pStyle w:val="null3"/>
            </w:pPr>
            <w:r>
              <w:rPr>
                <w:rFonts w:ascii="仿宋_GB2312" w:hAnsi="仿宋_GB2312" w:cs="仿宋_GB2312" w:eastAsia="仿宋_GB2312"/>
              </w:rPr>
              <w:t>本项目不接受联合体磋商。单位负责人为同一人或者存在直接控股、管理关系的不同单位不得同时参加。</w:t>
            </w:r>
          </w:p>
        </w:tc>
        <w:tc>
          <w:tcPr>
            <w:tcW w:type="dxa" w:w="1661"/>
          </w:tcPr>
          <w:p>
            <w:pPr>
              <w:pStyle w:val="null3"/>
            </w:pPr>
            <w:r>
              <w:rPr>
                <w:rFonts w:ascii="仿宋_GB2312" w:hAnsi="仿宋_GB2312" w:cs="仿宋_GB2312" w:eastAsia="仿宋_GB2312"/>
              </w:rPr>
              <w:t>供应商资格证明文件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与项目的一致性</w:t>
            </w:r>
          </w:p>
        </w:tc>
        <w:tc>
          <w:tcPr>
            <w:tcW w:type="dxa" w:w="3322"/>
          </w:tcPr>
          <w:p>
            <w:pPr>
              <w:pStyle w:val="null3"/>
            </w:pPr>
            <w:r>
              <w:rPr>
                <w:rFonts w:ascii="仿宋_GB2312" w:hAnsi="仿宋_GB2312" w:cs="仿宋_GB2312" w:eastAsia="仿宋_GB2312"/>
              </w:rPr>
              <w:t>至少以下三处的项目名称、项目编号、合同包（未分合同包的除外）与本项目完全一致：（1）响应文件封面；（2）投标（响应）函；（3）法定代表人（单位负责人）委托授权书\身份证明。</w:t>
            </w:r>
          </w:p>
        </w:tc>
        <w:tc>
          <w:tcPr>
            <w:tcW w:type="dxa" w:w="1661"/>
          </w:tcPr>
          <w:p>
            <w:pPr>
              <w:pStyle w:val="null3"/>
            </w:pPr>
            <w:r>
              <w:rPr>
                <w:rFonts w:ascii="仿宋_GB2312" w:hAnsi="仿宋_GB2312" w:cs="仿宋_GB2312" w:eastAsia="仿宋_GB2312"/>
              </w:rPr>
              <w:t>响应文件封面 响应函 供应商资格证明文件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响应文件签署、盖章均按磋商文件要求签字、盖章。</w:t>
            </w:r>
          </w:p>
        </w:tc>
        <w:tc>
          <w:tcPr>
            <w:tcW w:type="dxa" w:w="1661"/>
          </w:tcPr>
          <w:p>
            <w:pPr>
              <w:pStyle w:val="null3"/>
            </w:pPr>
            <w:r>
              <w:rPr>
                <w:rFonts w:ascii="仿宋_GB2312" w:hAnsi="仿宋_GB2312" w:cs="仿宋_GB2312" w:eastAsia="仿宋_GB2312"/>
              </w:rPr>
              <w:t>响应文件封面 中小企业声明函 残疾人福利性单位声明函 报价函 标的清单 供应商承诺书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磋商响应文件格式</w:t>
            </w:r>
          </w:p>
        </w:tc>
        <w:tc>
          <w:tcPr>
            <w:tcW w:type="dxa" w:w="3322"/>
          </w:tcPr>
          <w:p>
            <w:pPr>
              <w:pStyle w:val="null3"/>
            </w:pPr>
            <w:r>
              <w:rPr>
                <w:rFonts w:ascii="仿宋_GB2312" w:hAnsi="仿宋_GB2312" w:cs="仿宋_GB2312" w:eastAsia="仿宋_GB2312"/>
              </w:rPr>
              <w:t>符合竞争性磋商文件的要求。</w:t>
            </w:r>
          </w:p>
        </w:tc>
        <w:tc>
          <w:tcPr>
            <w:tcW w:type="dxa" w:w="1661"/>
          </w:tcPr>
          <w:p>
            <w:pPr>
              <w:pStyle w:val="null3"/>
            </w:pPr>
            <w:r>
              <w:rPr>
                <w:rFonts w:ascii="仿宋_GB2312" w:hAnsi="仿宋_GB2312" w:cs="仿宋_GB2312" w:eastAsia="仿宋_GB2312"/>
              </w:rPr>
              <w:t>响应文件封面 已标价工程量清单 中小企业声明函 残疾人福利性单位声明函 报价函 标的清单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报价唯一，且没有高于采购预算或磋商文件规定的最高限价。</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磋商有效期满足竞争性磋商文件的要求。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合同条款</w:t>
            </w:r>
          </w:p>
        </w:tc>
        <w:tc>
          <w:tcPr>
            <w:tcW w:type="dxa" w:w="3322"/>
          </w:tcPr>
          <w:p>
            <w:pPr>
              <w:pStyle w:val="null3"/>
            </w:pPr>
            <w:r>
              <w:rPr>
                <w:rFonts w:ascii="仿宋_GB2312" w:hAnsi="仿宋_GB2312" w:cs="仿宋_GB2312" w:eastAsia="仿宋_GB2312"/>
              </w:rPr>
              <w:t>完全理解并响应采购文件合同条款的要求，且未含有采购人不能接受的附加条件的。</w:t>
            </w:r>
          </w:p>
        </w:tc>
        <w:tc>
          <w:tcPr>
            <w:tcW w:type="dxa" w:w="1661"/>
          </w:tcPr>
          <w:p>
            <w:pPr>
              <w:pStyle w:val="null3"/>
            </w:pPr>
            <w:r>
              <w:rPr>
                <w:rFonts w:ascii="仿宋_GB2312" w:hAnsi="仿宋_GB2312" w:cs="仿宋_GB2312" w:eastAsia="仿宋_GB2312"/>
              </w:rPr>
              <w:t>合同条款响应表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工期、质量标准</w:t>
            </w:r>
          </w:p>
        </w:tc>
        <w:tc>
          <w:tcPr>
            <w:tcW w:type="dxa" w:w="3322"/>
          </w:tcPr>
          <w:p>
            <w:pPr>
              <w:pStyle w:val="null3"/>
            </w:pPr>
            <w:r>
              <w:rPr>
                <w:rFonts w:ascii="仿宋_GB2312" w:hAnsi="仿宋_GB2312" w:cs="仿宋_GB2312" w:eastAsia="仿宋_GB2312"/>
              </w:rPr>
              <w:t>应满足磋商文件中要求的工期、质量标准。</w:t>
            </w:r>
          </w:p>
        </w:tc>
        <w:tc>
          <w:tcPr>
            <w:tcW w:type="dxa" w:w="1661"/>
          </w:tcPr>
          <w:p>
            <w:pPr>
              <w:pStyle w:val="null3"/>
            </w:pPr>
            <w:r>
              <w:rPr>
                <w:rFonts w:ascii="仿宋_GB2312" w:hAnsi="仿宋_GB2312" w:cs="仿宋_GB2312" w:eastAsia="仿宋_GB2312"/>
              </w:rPr>
              <w:t>商务要求偏离表 合同条款响应表 标的清单</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符合法律、法规和竞争性磋商中规定的其他实质性要求</w:t>
            </w:r>
          </w:p>
        </w:tc>
        <w:tc>
          <w:tcPr>
            <w:tcW w:type="dxa" w:w="3322"/>
          </w:tcPr>
          <w:p>
            <w:pPr>
              <w:pStyle w:val="null3"/>
            </w:pPr>
            <w:r>
              <w:rPr>
                <w:rFonts w:ascii="仿宋_GB2312" w:hAnsi="仿宋_GB2312" w:cs="仿宋_GB2312" w:eastAsia="仿宋_GB2312"/>
              </w:rPr>
              <w:t>是否符合法律、法规和竞争性磋商文件中规定的其他实质性要求。</w:t>
            </w:r>
          </w:p>
        </w:tc>
        <w:tc>
          <w:tcPr>
            <w:tcW w:type="dxa" w:w="1661"/>
          </w:tcPr>
          <w:p>
            <w:pPr>
              <w:pStyle w:val="null3"/>
            </w:pPr>
            <w:r>
              <w:rPr>
                <w:rFonts w:ascii="仿宋_GB2312" w:hAnsi="仿宋_GB2312" w:cs="仿宋_GB2312" w:eastAsia="仿宋_GB2312"/>
              </w:rPr>
              <w:t>商务要求偏离表 已标价工程量清单 技术要求偏离表</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针对本项目有详细的①施工方案（包含冬雨季施工方案）；②施工场地管理方案；③场地人员管理方案；④技术组织措施；⑤文明施工、环境保护及“治污减霾”的保障措施。以上能有效地保障项目实施过程的衔接、保证项目整体质量，评审专家根据各供应商的内容进行评审，每小项计1-4分，未提供得0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w:t>
            </w:r>
          </w:p>
        </w:tc>
      </w:tr>
      <w:tr>
        <w:tc>
          <w:tcPr>
            <w:tcW w:type="dxa" w:w="831"/>
            <w:vMerge/>
          </w:tcPr>
          <w:p/>
        </w:tc>
        <w:tc>
          <w:tcPr>
            <w:tcW w:type="dxa" w:w="1661"/>
          </w:tcPr>
          <w:p>
            <w:pPr>
              <w:pStyle w:val="null3"/>
            </w:pPr>
            <w:r>
              <w:rPr>
                <w:rFonts w:ascii="仿宋_GB2312" w:hAnsi="仿宋_GB2312" w:cs="仿宋_GB2312" w:eastAsia="仿宋_GB2312"/>
              </w:rPr>
              <w:t>工程进度计划保证措施</w:t>
            </w:r>
          </w:p>
        </w:tc>
        <w:tc>
          <w:tcPr>
            <w:tcW w:type="dxa" w:w="2492"/>
          </w:tcPr>
          <w:p>
            <w:pPr>
              <w:pStyle w:val="null3"/>
            </w:pPr>
            <w:r>
              <w:rPr>
                <w:rFonts w:ascii="仿宋_GB2312" w:hAnsi="仿宋_GB2312" w:cs="仿宋_GB2312" w:eastAsia="仿宋_GB2312"/>
              </w:rPr>
              <w:t>针对本项目有切实可行的①进度计划安排；②进度计划实施方案；③确保工期的技术组织措施。针对性强，内容完整、科学合理，每小项计1-2分，未提供得0分。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w:t>
            </w:r>
          </w:p>
        </w:tc>
      </w:tr>
      <w:tr>
        <w:tc>
          <w:tcPr>
            <w:tcW w:type="dxa" w:w="831"/>
            <w:vMerge/>
          </w:tcP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针对本项目有切实可行的①质量管理制度、管理体系与职责；②质量控制与质量检查方案；③确保工程质量的技术组织措施。针对性强，内容完整、科学合理，每小项计1-2分，未提供得0分。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w:t>
            </w:r>
          </w:p>
        </w:tc>
      </w:tr>
      <w:tr>
        <w:tc>
          <w:tcPr>
            <w:tcW w:type="dxa" w:w="831"/>
            <w:vMerge/>
          </w:tcPr>
          <w:p/>
        </w:tc>
        <w:tc>
          <w:tcPr>
            <w:tcW w:type="dxa" w:w="1661"/>
          </w:tcPr>
          <w:p>
            <w:pPr>
              <w:pStyle w:val="null3"/>
            </w:pPr>
            <w:r>
              <w:rPr>
                <w:rFonts w:ascii="仿宋_GB2312" w:hAnsi="仿宋_GB2312" w:cs="仿宋_GB2312" w:eastAsia="仿宋_GB2312"/>
              </w:rPr>
              <w:t>确保安全生产的技术组织措施</w:t>
            </w:r>
          </w:p>
        </w:tc>
        <w:tc>
          <w:tcPr>
            <w:tcW w:type="dxa" w:w="2492"/>
          </w:tcPr>
          <w:p>
            <w:pPr>
              <w:pStyle w:val="null3"/>
            </w:pPr>
            <w:r>
              <w:rPr>
                <w:rFonts w:ascii="仿宋_GB2312" w:hAnsi="仿宋_GB2312" w:cs="仿宋_GB2312" w:eastAsia="仿宋_GB2312"/>
              </w:rPr>
              <w:t>针对本项目有切实可行的①施工人员安全培训措施；②设施、设备安全检查措施；③安全施工保障措施。针对性强，内容完整、科学合理，每小项计1-2分，未提供得0分。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w:t>
            </w:r>
          </w:p>
        </w:tc>
      </w:tr>
      <w:tr>
        <w:tc>
          <w:tcPr>
            <w:tcW w:type="dxa" w:w="831"/>
            <w:vMerge/>
          </w:tcPr>
          <w:p/>
        </w:tc>
        <w:tc>
          <w:tcPr>
            <w:tcW w:type="dxa" w:w="1661"/>
          </w:tcPr>
          <w:p>
            <w:pPr>
              <w:pStyle w:val="null3"/>
            </w:pPr>
            <w:r>
              <w:rPr>
                <w:rFonts w:ascii="仿宋_GB2312" w:hAnsi="仿宋_GB2312" w:cs="仿宋_GB2312" w:eastAsia="仿宋_GB2312"/>
              </w:rPr>
              <w:t>项目重点、难点分析及应对措施</w:t>
            </w:r>
          </w:p>
        </w:tc>
        <w:tc>
          <w:tcPr>
            <w:tcW w:type="dxa" w:w="2492"/>
          </w:tcPr>
          <w:p>
            <w:pPr>
              <w:pStyle w:val="null3"/>
            </w:pPr>
            <w:r>
              <w:rPr>
                <w:rFonts w:ascii="仿宋_GB2312" w:hAnsi="仿宋_GB2312" w:cs="仿宋_GB2312" w:eastAsia="仿宋_GB2312"/>
              </w:rPr>
              <w:t>针对本项目有详细的①项目特点、关键技术问题的认识；②项目重点、难点分析；③重点、难点应对措施。针对性强，内容完整、科学合理，每小项计1-2分，未提供得0分。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w:t>
            </w:r>
          </w:p>
        </w:tc>
      </w:tr>
      <w:tr>
        <w:tc>
          <w:tcPr>
            <w:tcW w:type="dxa" w:w="831"/>
            <w:vMerge/>
          </w:tcPr>
          <w:p/>
        </w:tc>
        <w:tc>
          <w:tcPr>
            <w:tcW w:type="dxa" w:w="1661"/>
          </w:tcPr>
          <w:p>
            <w:pPr>
              <w:pStyle w:val="null3"/>
            </w:pPr>
            <w:r>
              <w:rPr>
                <w:rFonts w:ascii="仿宋_GB2312" w:hAnsi="仿宋_GB2312" w:cs="仿宋_GB2312" w:eastAsia="仿宋_GB2312"/>
              </w:rPr>
              <w:t>项目管理机构</w:t>
            </w:r>
          </w:p>
        </w:tc>
        <w:tc>
          <w:tcPr>
            <w:tcW w:type="dxa" w:w="2492"/>
          </w:tcPr>
          <w:p>
            <w:pPr>
              <w:pStyle w:val="null3"/>
            </w:pPr>
            <w:r>
              <w:rPr>
                <w:rFonts w:ascii="仿宋_GB2312" w:hAnsi="仿宋_GB2312" w:cs="仿宋_GB2312" w:eastAsia="仿宋_GB2312"/>
              </w:rPr>
              <w:t>针对本项目有详细的①项目管理机构配备计划；②人员岗位职责；③团队人员配备情况（人员数量、专业分工、机构健全等）。针对性强，内容完整、科学合理，每小项计1-2分，未提供得0分。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w:t>
            </w:r>
          </w:p>
        </w:tc>
      </w:tr>
      <w:tr>
        <w:tc>
          <w:tcPr>
            <w:tcW w:type="dxa" w:w="831"/>
            <w:vMerge/>
          </w:tcPr>
          <w:p/>
        </w:tc>
        <w:tc>
          <w:tcPr>
            <w:tcW w:type="dxa" w:w="1661"/>
          </w:tcPr>
          <w:p>
            <w:pPr>
              <w:pStyle w:val="null3"/>
            </w:pPr>
            <w:r>
              <w:rPr>
                <w:rFonts w:ascii="仿宋_GB2312" w:hAnsi="仿宋_GB2312" w:cs="仿宋_GB2312" w:eastAsia="仿宋_GB2312"/>
              </w:rPr>
              <w:t>施工机械配备和材料投入计划</w:t>
            </w:r>
          </w:p>
        </w:tc>
        <w:tc>
          <w:tcPr>
            <w:tcW w:type="dxa" w:w="2492"/>
          </w:tcPr>
          <w:p>
            <w:pPr>
              <w:pStyle w:val="null3"/>
            </w:pPr>
            <w:r>
              <w:rPr>
                <w:rFonts w:ascii="仿宋_GB2312" w:hAnsi="仿宋_GB2312" w:cs="仿宋_GB2312" w:eastAsia="仿宋_GB2312"/>
              </w:rPr>
              <w:t>供应商针对本项目有完善的①施工机械配备；②材料投入计划。以上方案能保障项目顺利实施，保证项目质量，评审专家根据各供应商的内容进行评审，每小项计1-2分，未提供得0分。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针对本项目有切实可行的①人员事故应急预案；②突发暴雨、大风、大雾等特殊天气的应急预案。以上方案针对性强，能保障项目顺利实施，根据各供应商的内容进行评审，每小项计1-2分，未提供得0分。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w:t>
            </w:r>
          </w:p>
        </w:tc>
      </w:tr>
      <w:tr>
        <w:tc>
          <w:tcPr>
            <w:tcW w:type="dxa" w:w="831"/>
            <w:vMerge/>
          </w:tcPr>
          <w:p/>
        </w:tc>
        <w:tc>
          <w:tcPr>
            <w:tcW w:type="dxa" w:w="1661"/>
          </w:tcPr>
          <w:p>
            <w:pPr>
              <w:pStyle w:val="null3"/>
            </w:pPr>
            <w:r>
              <w:rPr>
                <w:rFonts w:ascii="仿宋_GB2312" w:hAnsi="仿宋_GB2312" w:cs="仿宋_GB2312" w:eastAsia="仿宋_GB2312"/>
              </w:rPr>
              <w:t>供应商承诺及合理化建议</w:t>
            </w:r>
          </w:p>
        </w:tc>
        <w:tc>
          <w:tcPr>
            <w:tcW w:type="dxa" w:w="2492"/>
          </w:tcPr>
          <w:p>
            <w:pPr>
              <w:pStyle w:val="null3"/>
            </w:pPr>
            <w:r>
              <w:rPr>
                <w:rFonts w:ascii="仿宋_GB2312" w:hAnsi="仿宋_GB2312" w:cs="仿宋_GB2312" w:eastAsia="仿宋_GB2312"/>
              </w:rPr>
              <w:t>供应商针对本项目有具体的服务承诺及合理化建议：①施工材料、所用产品质量、项目人员配备的承诺；②后续服务的承诺；③针对本项目的合理化建议。所做承诺内容具体、可行，合理化建议详细、合理，评审专家根据各供应商的内容进行评审，每小项计1-2分，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供应商2023年1月1日以来承接过类似项目业绩（以合同签订时间为准)。每提供一项业绩得2分，最高得6分。须提供合同复印件或扫描件并加盖公章，未提供不计分。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技术响应方案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资格审查、符合性审查合格的竞争性磋商响应文件，其磋商报价为有效磋商报价。2.满足竞争性磋商文件实质性要求且最后报价最低的供应商的价格为磋商基准价，其价格分为满分。3.其他供应商的价格分统一按照下列公式计算：磋商报价得分=（磋商基准价/最后磋商报价）×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详见附件：技术要求偏离表</w:t>
      </w:r>
    </w:p>
    <w:p>
      <w:pPr>
        <w:pStyle w:val="null3"/>
        <w:ind w:firstLine="960"/>
      </w:pPr>
      <w:r>
        <w:rPr>
          <w:rFonts w:ascii="仿宋_GB2312" w:hAnsi="仿宋_GB2312" w:cs="仿宋_GB2312" w:eastAsia="仿宋_GB2312"/>
        </w:rPr>
        <w:t>详见附件：商务要求偏离表</w:t>
      </w:r>
    </w:p>
    <w:p>
      <w:pPr>
        <w:pStyle w:val="null3"/>
        <w:ind w:firstLine="960"/>
      </w:pPr>
      <w:r>
        <w:rPr>
          <w:rFonts w:ascii="仿宋_GB2312" w:hAnsi="仿宋_GB2312" w:cs="仿宋_GB2312" w:eastAsia="仿宋_GB2312"/>
        </w:rPr>
        <w:t>详见附件：合同条款响应表</w:t>
      </w:r>
    </w:p>
    <w:p>
      <w:pPr>
        <w:pStyle w:val="null3"/>
        <w:ind w:firstLine="960"/>
      </w:pPr>
      <w:r>
        <w:rPr>
          <w:rFonts w:ascii="仿宋_GB2312" w:hAnsi="仿宋_GB2312" w:cs="仿宋_GB2312" w:eastAsia="仿宋_GB2312"/>
        </w:rPr>
        <w:t>详见附件：供应商资格证明文件</w:t>
      </w:r>
    </w:p>
    <w:p>
      <w:pPr>
        <w:pStyle w:val="null3"/>
        <w:ind w:firstLine="960"/>
      </w:pPr>
      <w:r>
        <w:rPr>
          <w:rFonts w:ascii="仿宋_GB2312" w:hAnsi="仿宋_GB2312" w:cs="仿宋_GB2312" w:eastAsia="仿宋_GB2312"/>
        </w:rPr>
        <w:t>详见附件：供应商承诺书</w:t>
      </w:r>
    </w:p>
    <w:p>
      <w:pPr>
        <w:pStyle w:val="null3"/>
        <w:ind w:firstLine="960"/>
      </w:pPr>
      <w:r>
        <w:rPr>
          <w:rFonts w:ascii="仿宋_GB2312" w:hAnsi="仿宋_GB2312" w:cs="仿宋_GB2312" w:eastAsia="仿宋_GB2312"/>
        </w:rPr>
        <w:t>详见附件：技术响应方案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