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5444D9">
      <w:pPr>
        <w:pStyle w:val="5"/>
        <w:jc w:val="center"/>
        <w:outlineLvl w:val="1"/>
      </w:pPr>
      <w:r>
        <w:rPr>
          <w:b/>
          <w:sz w:val="36"/>
        </w:rPr>
        <w:t>第三章 磋商项目技术、服务、商务及其他要求</w:t>
      </w:r>
    </w:p>
    <w:p w14:paraId="1B4AE00B">
      <w:pPr>
        <w:pStyle w:val="5"/>
        <w:spacing w:line="360" w:lineRule="auto"/>
        <w:ind w:firstLine="400" w:firstLineChars="200"/>
      </w:pPr>
      <w:r>
        <w:t>（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2C94F3DD">
      <w:pPr>
        <w:pStyle w:val="5"/>
        <w:spacing w:line="360" w:lineRule="auto"/>
      </w:pPr>
      <w:r>
        <w:rPr>
          <w:b/>
          <w:sz w:val="28"/>
        </w:rPr>
        <w:t>3.1采购项目概况</w:t>
      </w:r>
    </w:p>
    <w:p w14:paraId="45F7BE44">
      <w:pPr>
        <w:pStyle w:val="5"/>
        <w:spacing w:line="360" w:lineRule="auto"/>
        <w:ind w:firstLine="400" w:firstLineChars="200"/>
      </w:pPr>
      <w:r>
        <w:rPr>
          <w:lang w:eastAsia="zh-CN"/>
        </w:rPr>
        <w:t>委托第三方洗涤公司</w:t>
      </w:r>
      <w:r>
        <w:t>为医院提供织物回收、分类、洗涤、消毒、烘干、熨烫、缝补、清点、配送等全流程服务。服务范围涵盖全院病员服、床单元织物、医护工作服、手术织物、隔离衣、隔帘等各类医用织物。服务商须严格按照国家及行业相关规范要求，实行洁污分开、专车运输、专机洗涤、闭环管理，确保洗涤质量与感染防控安全，满足医院临床诊疗及日常运转需求。本项目服务期限为</w:t>
      </w:r>
      <w:r>
        <w:rPr>
          <w:lang w:eastAsia="zh-CN"/>
        </w:rPr>
        <w:t>1</w:t>
      </w:r>
      <w:r>
        <w:t>年。</w:t>
      </w:r>
    </w:p>
    <w:p w14:paraId="25065242">
      <w:pPr>
        <w:pStyle w:val="5"/>
        <w:spacing w:line="360" w:lineRule="auto"/>
        <w:outlineLvl w:val="2"/>
      </w:pPr>
      <w:r>
        <w:rPr>
          <w:b/>
          <w:sz w:val="28"/>
        </w:rPr>
        <w:t>3.2服务内容及服务要求</w:t>
      </w:r>
    </w:p>
    <w:p w14:paraId="7A57DC3C">
      <w:pPr>
        <w:pStyle w:val="5"/>
        <w:spacing w:line="360" w:lineRule="auto"/>
        <w:outlineLvl w:val="3"/>
      </w:pPr>
      <w:r>
        <w:rPr>
          <w:b/>
          <w:sz w:val="24"/>
        </w:rPr>
        <w:t>3.2.1服务内容</w:t>
      </w:r>
    </w:p>
    <w:p w14:paraId="72C9280D">
      <w:pPr>
        <w:pStyle w:val="5"/>
        <w:spacing w:line="360" w:lineRule="auto"/>
      </w:pPr>
      <w:r>
        <w:t>采购包1：</w:t>
      </w:r>
    </w:p>
    <w:p w14:paraId="23A858C9">
      <w:pPr>
        <w:pStyle w:val="5"/>
        <w:spacing w:line="360" w:lineRule="auto"/>
      </w:pPr>
      <w:r>
        <w:t>采购包预算金额（元）:</w:t>
      </w:r>
      <w:r>
        <w:rPr>
          <w:lang w:eastAsia="zh-CN"/>
        </w:rPr>
        <w:t xml:space="preserve"> 140,</w:t>
      </w:r>
      <w:r>
        <w:t>0000.00</w:t>
      </w:r>
    </w:p>
    <w:p w14:paraId="3E67AF2A">
      <w:pPr>
        <w:pStyle w:val="5"/>
        <w:spacing w:line="360" w:lineRule="auto"/>
      </w:pPr>
      <w:r>
        <w:t xml:space="preserve">采购包最高限价（元）: </w:t>
      </w:r>
      <w:r>
        <w:rPr>
          <w:lang w:eastAsia="zh-CN"/>
        </w:rPr>
        <w:t>140,</w:t>
      </w:r>
      <w:r>
        <w:t>0000.00</w:t>
      </w:r>
    </w:p>
    <w:p w14:paraId="6B704820">
      <w:pPr>
        <w:pStyle w:val="5"/>
        <w:spacing w:line="360" w:lineRule="auto"/>
      </w:pPr>
      <w:r>
        <w:t>供应商报价不允许超过标的金额</w:t>
      </w:r>
    </w:p>
    <w:p w14:paraId="078FA296">
      <w:pPr>
        <w:pStyle w:val="5"/>
        <w:spacing w:line="360" w:lineRule="auto"/>
      </w:pPr>
      <w:r>
        <w:t>（招单价的）供应商报价不允许超过标的单价</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93"/>
        <w:gridCol w:w="1013"/>
        <w:gridCol w:w="742"/>
        <w:gridCol w:w="1405"/>
        <w:gridCol w:w="667"/>
        <w:gridCol w:w="829"/>
        <w:gridCol w:w="811"/>
        <w:gridCol w:w="811"/>
        <w:gridCol w:w="811"/>
        <w:gridCol w:w="811"/>
      </w:tblGrid>
      <w:tr w14:paraId="0D5B51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3" w:type="dxa"/>
            <w:noWrap w:val="0"/>
            <w:vAlign w:val="top"/>
          </w:tcPr>
          <w:p w14:paraId="3301AC34">
            <w:pPr>
              <w:pStyle w:val="5"/>
              <w:jc w:val="center"/>
            </w:pPr>
            <w:r>
              <w:t>序号</w:t>
            </w:r>
          </w:p>
        </w:tc>
        <w:tc>
          <w:tcPr>
            <w:tcW w:w="1013" w:type="dxa"/>
            <w:noWrap w:val="0"/>
            <w:vAlign w:val="top"/>
          </w:tcPr>
          <w:p w14:paraId="4F192B0D">
            <w:pPr>
              <w:pStyle w:val="5"/>
              <w:jc w:val="center"/>
            </w:pPr>
            <w:r>
              <w:t>标的</w:t>
            </w:r>
            <w:r>
              <w:rPr>
                <w:lang w:eastAsia="zh-CN"/>
              </w:rPr>
              <w:t xml:space="preserve">  名</w:t>
            </w:r>
            <w:r>
              <w:t>称</w:t>
            </w:r>
          </w:p>
        </w:tc>
        <w:tc>
          <w:tcPr>
            <w:tcW w:w="742" w:type="dxa"/>
            <w:noWrap w:val="0"/>
            <w:vAlign w:val="top"/>
          </w:tcPr>
          <w:p w14:paraId="42B88A6B">
            <w:pPr>
              <w:pStyle w:val="5"/>
              <w:jc w:val="center"/>
            </w:pPr>
            <w:r>
              <w:t>数量</w:t>
            </w:r>
          </w:p>
        </w:tc>
        <w:tc>
          <w:tcPr>
            <w:tcW w:w="1405" w:type="dxa"/>
            <w:noWrap w:val="0"/>
            <w:vAlign w:val="top"/>
          </w:tcPr>
          <w:p w14:paraId="632A3D79">
            <w:pPr>
              <w:pStyle w:val="5"/>
              <w:jc w:val="center"/>
            </w:pPr>
            <w:r>
              <w:t>标的金额 （元）</w:t>
            </w:r>
          </w:p>
        </w:tc>
        <w:tc>
          <w:tcPr>
            <w:tcW w:w="667" w:type="dxa"/>
            <w:noWrap w:val="0"/>
            <w:vAlign w:val="top"/>
          </w:tcPr>
          <w:p w14:paraId="2F46D64B">
            <w:pPr>
              <w:pStyle w:val="5"/>
              <w:jc w:val="center"/>
            </w:pPr>
            <w:r>
              <w:t>计量单位</w:t>
            </w:r>
          </w:p>
        </w:tc>
        <w:tc>
          <w:tcPr>
            <w:tcW w:w="829" w:type="dxa"/>
            <w:noWrap w:val="0"/>
            <w:vAlign w:val="top"/>
          </w:tcPr>
          <w:p w14:paraId="5B00E795">
            <w:pPr>
              <w:pStyle w:val="5"/>
              <w:jc w:val="center"/>
            </w:pPr>
            <w:r>
              <w:t>所属</w:t>
            </w:r>
            <w:r>
              <w:rPr>
                <w:lang w:eastAsia="zh-CN"/>
              </w:rPr>
              <w:t xml:space="preserve"> </w:t>
            </w:r>
            <w:r>
              <w:t>行业</w:t>
            </w:r>
          </w:p>
        </w:tc>
        <w:tc>
          <w:tcPr>
            <w:tcW w:w="811" w:type="dxa"/>
            <w:noWrap w:val="0"/>
            <w:vAlign w:val="top"/>
          </w:tcPr>
          <w:p w14:paraId="02BAC864">
            <w:pPr>
              <w:pStyle w:val="5"/>
              <w:jc w:val="center"/>
            </w:pPr>
            <w:r>
              <w:t>是否核心产品</w:t>
            </w:r>
          </w:p>
        </w:tc>
        <w:tc>
          <w:tcPr>
            <w:tcW w:w="811" w:type="dxa"/>
            <w:noWrap w:val="0"/>
            <w:vAlign w:val="top"/>
          </w:tcPr>
          <w:p w14:paraId="136A363E">
            <w:pPr>
              <w:pStyle w:val="5"/>
              <w:jc w:val="center"/>
            </w:pPr>
            <w:r>
              <w:t>是否允许进口产品</w:t>
            </w:r>
          </w:p>
        </w:tc>
        <w:tc>
          <w:tcPr>
            <w:tcW w:w="811" w:type="dxa"/>
            <w:noWrap w:val="0"/>
            <w:vAlign w:val="top"/>
          </w:tcPr>
          <w:p w14:paraId="194AF4DB">
            <w:pPr>
              <w:pStyle w:val="5"/>
              <w:jc w:val="center"/>
            </w:pPr>
            <w:r>
              <w:t>是否属于节能产品</w:t>
            </w:r>
          </w:p>
        </w:tc>
        <w:tc>
          <w:tcPr>
            <w:tcW w:w="811" w:type="dxa"/>
            <w:noWrap w:val="0"/>
            <w:vAlign w:val="top"/>
          </w:tcPr>
          <w:p w14:paraId="79A74925">
            <w:pPr>
              <w:pStyle w:val="5"/>
              <w:jc w:val="center"/>
            </w:pPr>
            <w:r>
              <w:t>是否属于环境标志产品</w:t>
            </w:r>
          </w:p>
        </w:tc>
      </w:tr>
      <w:tr w14:paraId="25D688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3" w:type="dxa"/>
            <w:noWrap w:val="0"/>
            <w:vAlign w:val="top"/>
          </w:tcPr>
          <w:p w14:paraId="78A16BF0">
            <w:pPr>
              <w:pStyle w:val="5"/>
              <w:jc w:val="center"/>
            </w:pPr>
            <w:r>
              <w:t>1</w:t>
            </w:r>
          </w:p>
        </w:tc>
        <w:tc>
          <w:tcPr>
            <w:tcW w:w="1013" w:type="dxa"/>
            <w:noWrap w:val="0"/>
            <w:vAlign w:val="top"/>
          </w:tcPr>
          <w:p w14:paraId="0A63EDA1">
            <w:pPr>
              <w:pStyle w:val="5"/>
              <w:rPr>
                <w:rFonts w:hint="eastAsia" w:eastAsia="宋体"/>
                <w:lang w:val="en-US" w:eastAsia="zh-CN"/>
              </w:rPr>
            </w:pPr>
            <w:r>
              <w:t>织物洗涤服务</w:t>
            </w:r>
            <w:r>
              <w:rPr>
                <w:rFonts w:hint="eastAsia"/>
                <w:lang w:val="en-US" w:eastAsia="zh-CN"/>
              </w:rPr>
              <w:t>外包</w:t>
            </w:r>
          </w:p>
        </w:tc>
        <w:tc>
          <w:tcPr>
            <w:tcW w:w="742" w:type="dxa"/>
            <w:noWrap w:val="0"/>
            <w:vAlign w:val="top"/>
          </w:tcPr>
          <w:p w14:paraId="0C5A5DE6">
            <w:pPr>
              <w:pStyle w:val="5"/>
              <w:jc w:val="right"/>
            </w:pPr>
            <w:r>
              <w:t>1.00</w:t>
            </w:r>
          </w:p>
        </w:tc>
        <w:tc>
          <w:tcPr>
            <w:tcW w:w="1405" w:type="dxa"/>
            <w:noWrap w:val="0"/>
            <w:vAlign w:val="top"/>
          </w:tcPr>
          <w:p w14:paraId="738AA14E">
            <w:pPr>
              <w:pStyle w:val="5"/>
              <w:jc w:val="right"/>
            </w:pPr>
            <w:r>
              <w:t xml:space="preserve"> </w:t>
            </w:r>
            <w:r>
              <w:rPr>
                <w:lang w:eastAsia="zh-CN"/>
              </w:rPr>
              <w:t>140,</w:t>
            </w:r>
            <w:r>
              <w:t>0000.00</w:t>
            </w:r>
          </w:p>
        </w:tc>
        <w:tc>
          <w:tcPr>
            <w:tcW w:w="667" w:type="dxa"/>
            <w:noWrap w:val="0"/>
            <w:vAlign w:val="top"/>
          </w:tcPr>
          <w:p w14:paraId="4DB0FD70">
            <w:pPr>
              <w:pStyle w:val="5"/>
              <w:jc w:val="center"/>
            </w:pPr>
            <w:r>
              <w:t>项</w:t>
            </w:r>
          </w:p>
        </w:tc>
        <w:tc>
          <w:tcPr>
            <w:tcW w:w="829" w:type="dxa"/>
            <w:noWrap w:val="0"/>
            <w:vAlign w:val="top"/>
          </w:tcPr>
          <w:p w14:paraId="6C041FE3">
            <w:pPr>
              <w:pStyle w:val="5"/>
              <w:jc w:val="center"/>
            </w:pPr>
            <w:r>
              <w:rPr>
                <w:lang w:eastAsia="zh-CN"/>
              </w:rPr>
              <w:t>其他未列明行</w:t>
            </w:r>
            <w:r>
              <w:t>业</w:t>
            </w:r>
          </w:p>
        </w:tc>
        <w:tc>
          <w:tcPr>
            <w:tcW w:w="811" w:type="dxa"/>
            <w:noWrap w:val="0"/>
            <w:vAlign w:val="top"/>
          </w:tcPr>
          <w:p w14:paraId="1398DCCD">
            <w:pPr>
              <w:pStyle w:val="5"/>
              <w:jc w:val="center"/>
            </w:pPr>
            <w:r>
              <w:t>否</w:t>
            </w:r>
          </w:p>
        </w:tc>
        <w:tc>
          <w:tcPr>
            <w:tcW w:w="811" w:type="dxa"/>
            <w:noWrap w:val="0"/>
            <w:vAlign w:val="top"/>
          </w:tcPr>
          <w:p w14:paraId="1E278EC3">
            <w:pPr>
              <w:pStyle w:val="5"/>
              <w:jc w:val="center"/>
            </w:pPr>
            <w:r>
              <w:t>否</w:t>
            </w:r>
          </w:p>
        </w:tc>
        <w:tc>
          <w:tcPr>
            <w:tcW w:w="811" w:type="dxa"/>
            <w:noWrap w:val="0"/>
            <w:vAlign w:val="top"/>
          </w:tcPr>
          <w:p w14:paraId="3C43853B">
            <w:pPr>
              <w:pStyle w:val="5"/>
              <w:jc w:val="center"/>
            </w:pPr>
            <w:r>
              <w:t>否</w:t>
            </w:r>
          </w:p>
        </w:tc>
        <w:tc>
          <w:tcPr>
            <w:tcW w:w="811" w:type="dxa"/>
            <w:noWrap w:val="0"/>
            <w:vAlign w:val="top"/>
          </w:tcPr>
          <w:p w14:paraId="4220D27B">
            <w:pPr>
              <w:pStyle w:val="5"/>
              <w:jc w:val="center"/>
            </w:pPr>
            <w:r>
              <w:t>否</w:t>
            </w:r>
          </w:p>
        </w:tc>
      </w:tr>
    </w:tbl>
    <w:p w14:paraId="4BD9CC6E">
      <w:pPr>
        <w:pStyle w:val="5"/>
        <w:outlineLvl w:val="2"/>
      </w:pPr>
      <w:r>
        <w:rPr>
          <w:b/>
          <w:sz w:val="28"/>
        </w:rPr>
        <w:t>3.2.2服务要求</w:t>
      </w:r>
    </w:p>
    <w:p w14:paraId="4D2D35B7">
      <w:pPr>
        <w:pStyle w:val="5"/>
        <w:spacing w:line="360" w:lineRule="auto"/>
      </w:pPr>
      <w:r>
        <w:t>采购包1：</w:t>
      </w:r>
    </w:p>
    <w:p w14:paraId="3E26FE75">
      <w:pPr>
        <w:pStyle w:val="5"/>
        <w:spacing w:line="360" w:lineRule="auto"/>
      </w:pPr>
      <w:r>
        <w:t>供应商报价不允许超过标的金额</w:t>
      </w:r>
    </w:p>
    <w:p w14:paraId="6AB45290">
      <w:pPr>
        <w:pStyle w:val="5"/>
        <w:spacing w:line="360" w:lineRule="auto"/>
      </w:pPr>
      <w:r>
        <w:t>（招单价的）供应商报价不允许超过标的单价</w:t>
      </w:r>
    </w:p>
    <w:p w14:paraId="1DB4EBAA">
      <w:pPr>
        <w:pStyle w:val="5"/>
        <w:spacing w:line="360" w:lineRule="auto"/>
        <w:rPr>
          <w:rFonts w:hint="eastAsia" w:eastAsia="宋体"/>
          <w:lang w:val="en-US" w:eastAsia="zh-CN"/>
        </w:rPr>
      </w:pPr>
      <w:r>
        <w:t>标的名称：织物洗涤服务</w:t>
      </w:r>
      <w:r>
        <w:rPr>
          <w:rFonts w:hint="eastAsia"/>
          <w:lang w:val="en-US" w:eastAsia="zh-CN"/>
        </w:rPr>
        <w:t>外包</w:t>
      </w:r>
    </w:p>
    <w:tbl>
      <w:tblPr>
        <w:tblStyle w:val="3"/>
        <w:tblW w:w="903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31"/>
        <w:gridCol w:w="845"/>
        <w:gridCol w:w="7763"/>
      </w:tblGrid>
      <w:tr w14:paraId="460ECD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1" w:type="dxa"/>
            <w:noWrap w:val="0"/>
            <w:vAlign w:val="top"/>
          </w:tcPr>
          <w:p w14:paraId="4055BE09">
            <w:pPr>
              <w:pStyle w:val="5"/>
              <w:jc w:val="both"/>
              <w:rPr>
                <w:rFonts w:ascii="宋体" w:hAnsi="宋体" w:cs="宋体"/>
              </w:rPr>
            </w:pPr>
            <w:r>
              <w:rPr>
                <w:rFonts w:ascii="宋体" w:hAnsi="宋体" w:cs="宋体"/>
              </w:rPr>
              <w:t>序号</w:t>
            </w:r>
          </w:p>
        </w:tc>
        <w:tc>
          <w:tcPr>
            <w:tcW w:w="845" w:type="dxa"/>
            <w:noWrap w:val="0"/>
            <w:vAlign w:val="top"/>
          </w:tcPr>
          <w:p w14:paraId="32309D23">
            <w:pPr>
              <w:pStyle w:val="5"/>
              <w:jc w:val="both"/>
              <w:rPr>
                <w:rFonts w:ascii="宋体" w:hAnsi="宋体" w:cs="宋体"/>
              </w:rPr>
            </w:pPr>
            <w:r>
              <w:rPr>
                <w:rFonts w:ascii="宋体" w:hAnsi="宋体" w:cs="宋体"/>
              </w:rPr>
              <w:t>参数性质</w:t>
            </w:r>
          </w:p>
        </w:tc>
        <w:tc>
          <w:tcPr>
            <w:tcW w:w="7763" w:type="dxa"/>
            <w:noWrap w:val="0"/>
            <w:vAlign w:val="top"/>
          </w:tcPr>
          <w:p w14:paraId="2B325BFA">
            <w:pPr>
              <w:pStyle w:val="5"/>
              <w:jc w:val="center"/>
              <w:rPr>
                <w:rFonts w:ascii="宋体" w:hAnsi="宋体" w:cs="宋体"/>
              </w:rPr>
            </w:pPr>
            <w:r>
              <w:rPr>
                <w:rFonts w:ascii="宋体" w:hAnsi="宋体" w:cs="宋体"/>
              </w:rPr>
              <w:t>技术参数与性能指标</w:t>
            </w:r>
          </w:p>
        </w:tc>
      </w:tr>
      <w:tr w14:paraId="729DF0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04" w:hRule="atLeast"/>
        </w:trPr>
        <w:tc>
          <w:tcPr>
            <w:tcW w:w="431" w:type="dxa"/>
            <w:noWrap w:val="0"/>
            <w:vAlign w:val="center"/>
          </w:tcPr>
          <w:p w14:paraId="329AFD7F">
            <w:pPr>
              <w:pStyle w:val="5"/>
              <w:jc w:val="center"/>
              <w:rPr>
                <w:rFonts w:ascii="宋体" w:hAnsi="宋体" w:cs="宋体"/>
                <w:lang w:eastAsia="zh-CN"/>
              </w:rPr>
            </w:pPr>
            <w:r>
              <w:rPr>
                <w:rFonts w:ascii="宋体" w:hAnsi="宋体" w:cs="宋体"/>
                <w:lang w:eastAsia="zh-CN"/>
              </w:rPr>
              <w:t>1</w:t>
            </w:r>
          </w:p>
        </w:tc>
        <w:tc>
          <w:tcPr>
            <w:tcW w:w="845" w:type="dxa"/>
            <w:noWrap w:val="0"/>
            <w:vAlign w:val="top"/>
          </w:tcPr>
          <w:p w14:paraId="38C17541">
            <w:pPr>
              <w:rPr>
                <w:rFonts w:hint="eastAsia" w:ascii="宋体" w:hAnsi="宋体" w:cs="宋体"/>
                <w:sz w:val="20"/>
                <w:szCs w:val="20"/>
              </w:rPr>
            </w:pPr>
          </w:p>
        </w:tc>
        <w:tc>
          <w:tcPr>
            <w:tcW w:w="7763" w:type="dxa"/>
            <w:noWrap w:val="0"/>
            <w:vAlign w:val="top"/>
          </w:tcPr>
          <w:p w14:paraId="3DA3EA7C">
            <w:pPr>
              <w:pBdr>
                <w:bottom w:val="single" w:color="auto" w:sz="4" w:space="1"/>
              </w:pBdr>
              <w:spacing w:line="400" w:lineRule="exact"/>
              <w:jc w:val="left"/>
              <w:rPr>
                <w:rFonts w:hint="eastAsia" w:ascii="宋体" w:hAnsi="宋体" w:cs="宋体"/>
                <w:b/>
                <w:bCs/>
                <w:color w:val="000000"/>
                <w:sz w:val="20"/>
                <w:szCs w:val="20"/>
              </w:rPr>
            </w:pPr>
            <w:r>
              <w:rPr>
                <w:rFonts w:hint="eastAsia" w:ascii="宋体" w:hAnsi="宋体" w:cs="宋体"/>
                <w:b/>
                <w:bCs/>
                <w:color w:val="000000"/>
                <w:kern w:val="0"/>
                <w:sz w:val="20"/>
                <w:szCs w:val="20"/>
              </w:rPr>
              <w:t>一、</w:t>
            </w:r>
            <w:r>
              <w:rPr>
                <w:rFonts w:hint="eastAsia" w:ascii="宋体" w:hAnsi="宋体" w:cs="宋体"/>
                <w:b/>
                <w:bCs/>
                <w:color w:val="000000"/>
                <w:sz w:val="20"/>
                <w:szCs w:val="20"/>
              </w:rPr>
              <w:t>项目概况</w:t>
            </w:r>
          </w:p>
          <w:p w14:paraId="1092CC42">
            <w:pPr>
              <w:pBdr>
                <w:bottom w:val="single" w:color="auto" w:sz="4" w:space="1"/>
              </w:pBdr>
              <w:spacing w:line="400" w:lineRule="exact"/>
              <w:ind w:firstLine="400" w:firstLineChars="200"/>
              <w:jc w:val="left"/>
              <w:rPr>
                <w:rFonts w:hint="eastAsia" w:ascii="宋体" w:hAnsi="宋体" w:cs="宋体"/>
                <w:color w:val="000000"/>
                <w:sz w:val="20"/>
                <w:szCs w:val="20"/>
              </w:rPr>
            </w:pPr>
            <w:r>
              <w:rPr>
                <w:rFonts w:hint="eastAsia" w:ascii="宋体" w:hAnsi="宋体" w:cs="宋体"/>
                <w:color w:val="000000"/>
                <w:sz w:val="20"/>
                <w:szCs w:val="20"/>
              </w:rPr>
              <w:t>委托第三方洗涤公司为医院提供织物回收、分类、洗涤、消毒、烘干、熨烫、缝补、清点、配送等全流程服务。服务范围涵盖全院病员服、床单元织物、医护工作服、手术织物、隔离衣、隔帘等各类医用织物。服务商须严格按照国家及行业相关规范要求，实行洁污分开、专车运输、专机洗涤、闭环管理，确保洗涤质量与感染防控安全，满足医院临床诊疗及日常运转需求。本项目服务期限为1年。</w:t>
            </w:r>
          </w:p>
          <w:p w14:paraId="17418E3F">
            <w:pPr>
              <w:pStyle w:val="2"/>
              <w:spacing w:line="440" w:lineRule="exact"/>
              <w:ind w:left="0"/>
              <w:rPr>
                <w:rFonts w:hint="eastAsia"/>
                <w:b/>
                <w:bCs/>
                <w:color w:val="000000"/>
                <w:kern w:val="0"/>
                <w:sz w:val="20"/>
                <w:szCs w:val="20"/>
              </w:rPr>
            </w:pPr>
            <w:r>
              <w:rPr>
                <w:rFonts w:hint="eastAsia"/>
                <w:b/>
                <w:bCs/>
                <w:color w:val="000000"/>
                <w:kern w:val="0"/>
                <w:sz w:val="20"/>
                <w:szCs w:val="20"/>
              </w:rPr>
              <w:t>二、服务内容</w:t>
            </w:r>
          </w:p>
          <w:p w14:paraId="0DA7B7DE">
            <w:pPr>
              <w:pStyle w:val="2"/>
              <w:spacing w:line="440" w:lineRule="exact"/>
              <w:ind w:left="0" w:firstLine="400" w:firstLineChars="200"/>
              <w:rPr>
                <w:rFonts w:hint="eastAsia"/>
                <w:color w:val="000000"/>
                <w:kern w:val="0"/>
                <w:sz w:val="20"/>
                <w:szCs w:val="20"/>
              </w:rPr>
            </w:pPr>
            <w:r>
              <w:rPr>
                <w:rFonts w:hint="eastAsia"/>
                <w:color w:val="000000"/>
                <w:kern w:val="0"/>
                <w:sz w:val="20"/>
                <w:szCs w:val="20"/>
              </w:rPr>
              <w:t>负责医院所有医用织物的上门回收、分类分拣、专业洗涤、高温消毒、烘干熨烫、缝补整理、清点核对、密闭配送、台账管理、应急保障等全流程服务，严格执行院感防控规范，实行洁污分开、专车运输、专机洗涤、闭环管理，确保医院临床使用安全、及时、规范。</w:t>
            </w:r>
          </w:p>
          <w:p w14:paraId="09EAE259">
            <w:pPr>
              <w:rPr>
                <w:rFonts w:ascii="新宋体" w:hAnsi="新宋体" w:eastAsia="新宋体" w:cs="新宋体"/>
                <w:b/>
                <w:bCs/>
                <w:color w:val="000000"/>
                <w:kern w:val="0"/>
                <w:sz w:val="20"/>
                <w:szCs w:val="20"/>
              </w:rPr>
            </w:pPr>
            <w:r>
              <w:rPr>
                <w:rFonts w:hint="eastAsia" w:ascii="新宋体" w:hAnsi="新宋体" w:eastAsia="新宋体" w:cs="新宋体"/>
                <w:b/>
                <w:bCs/>
                <w:color w:val="000000"/>
                <w:kern w:val="0"/>
                <w:sz w:val="20"/>
                <w:szCs w:val="20"/>
              </w:rPr>
              <w:t>三、</w:t>
            </w:r>
            <w:r>
              <w:rPr>
                <w:rFonts w:hint="eastAsia" w:ascii="新宋体" w:hAnsi="新宋体" w:eastAsia="新宋体" w:cs="新宋体"/>
                <w:b/>
                <w:bCs/>
                <w:kern w:val="0"/>
                <w:sz w:val="20"/>
                <w:szCs w:val="20"/>
              </w:rPr>
              <w:t>技术要求</w:t>
            </w:r>
          </w:p>
          <w:p w14:paraId="1052A4DC">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(一)项目服务范围</w:t>
            </w:r>
          </w:p>
          <w:p w14:paraId="1B4D8AF1">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1.提供使用后医用织物的分类收集容器及包装物、密闭运送容器或包装物，提供感染织 物使用水溶性医用织物处置袋包装感染织物，并符合国家行业标准要求，医疗行业感染防控要求。</w:t>
            </w:r>
          </w:p>
          <w:p w14:paraId="264B0D30">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2.从医院织物周转库房污染区接收使用后医用织物，经规范洗涤消毒后，运送至医院织物周转库房清洁区。</w:t>
            </w:r>
          </w:p>
          <w:p w14:paraId="00C78773">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(二)基本要求</w:t>
            </w:r>
          </w:p>
          <w:p w14:paraId="4FCBBFC2">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1.符合WS/T508-2025《医疗机构医用织物洗涤消毒技术标准》随时接受招标方和卫生监管部门的检查、监督、指导，对存在问题在规定时限内改进。</w:t>
            </w:r>
          </w:p>
          <w:p w14:paraId="0E67A124">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2.应建立医用织物洗涤消毒工作流程、分类收集、洗涤消毒、卫生质量监测检查、清洁 织物储存管理、安全操作、设备与环境卫生保洁以及从业人员岗位职责、职业防护等制度， 符合医院管理和工作制度的要求。</w:t>
            </w:r>
          </w:p>
          <w:p w14:paraId="6C5EAD5B">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3.与招标方建立医用织物交接与质量验收制度。</w:t>
            </w:r>
          </w:p>
          <w:p w14:paraId="46D17D95">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(三)收集运送及储存要求</w:t>
            </w:r>
          </w:p>
          <w:p w14:paraId="3E51267F">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1.收集：医院织物按脏污织物、感染性织物分别提供收集袋及容器，收集袋在运送中应保持密闭，如遇污染应随时进行消毒处理，消毒方法参照 WS/T367 执行。</w:t>
            </w:r>
          </w:p>
          <w:p w14:paraId="7CD2F0CB">
            <w:pPr>
              <w:spacing w:line="276" w:lineRule="auto"/>
              <w:ind w:firstLine="400" w:firstLineChars="200"/>
              <w:rPr>
                <w:rFonts w:ascii="宋体" w:hAnsi="宋体"/>
                <w:color w:val="000000"/>
                <w:sz w:val="20"/>
                <w:szCs w:val="20"/>
              </w:rPr>
            </w:pPr>
            <w:r>
              <w:rPr>
                <w:rFonts w:hint="eastAsia" w:ascii="新宋体" w:hAnsi="新宋体" w:eastAsia="新宋体" w:cs="新宋体"/>
                <w:kern w:val="0"/>
                <w:sz w:val="20"/>
                <w:szCs w:val="20"/>
              </w:rPr>
              <w:t xml:space="preserve">2.运送：分别配置运送使用后医用织物和清洁织物的专用车辆和容器，采取封闭方式运 送，不应与非医用织物混装混运；对运送车辆和容器的清洗消毒要求按 </w:t>
            </w:r>
            <w:r>
              <w:rPr>
                <w:rFonts w:ascii="宋体" w:hAnsi="宋体"/>
                <w:color w:val="000000"/>
                <w:sz w:val="20"/>
                <w:szCs w:val="20"/>
              </w:rPr>
              <w:t>WS/T367 执行。</w:t>
            </w:r>
          </w:p>
          <w:p w14:paraId="1D678EE9">
            <w:pPr>
              <w:ind w:firstLine="400" w:firstLineChars="200"/>
              <w:rPr>
                <w:rFonts w:ascii="宋体" w:hAnsi="宋体"/>
                <w:color w:val="000000"/>
                <w:sz w:val="20"/>
                <w:szCs w:val="20"/>
              </w:rPr>
            </w:pPr>
            <w:r>
              <w:rPr>
                <w:rFonts w:hint="eastAsia" w:ascii="新宋体" w:hAnsi="新宋体" w:eastAsia="新宋体" w:cs="新宋体"/>
                <w:kern w:val="0"/>
                <w:sz w:val="20"/>
                <w:szCs w:val="20"/>
              </w:rPr>
              <w:t>(四)</w:t>
            </w:r>
            <w:r>
              <w:rPr>
                <w:rFonts w:ascii="宋体" w:hAnsi="宋体"/>
                <w:color w:val="000000"/>
                <w:sz w:val="20"/>
                <w:szCs w:val="20"/>
              </w:rPr>
              <w:t>洗涤质量标准</w:t>
            </w:r>
          </w:p>
          <w:p w14:paraId="24B5BA3B">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1.洗涤原则</w:t>
            </w:r>
          </w:p>
          <w:p w14:paraId="6CB9AA93">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（1）脏污织物应遵循先洗涤后消毒原则。</w:t>
            </w:r>
          </w:p>
          <w:p w14:paraId="164AC623">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 xml:space="preserve">（2）新生儿、婴儿的医用织物应专机洗涤、消毒，不应与其他医用织物混洗。 </w:t>
            </w:r>
          </w:p>
          <w:p w14:paraId="53413CEA">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（3）手术室的医用织物(如手术衣、手术铺单等)应单独洗涤。</w:t>
            </w:r>
          </w:p>
          <w:p w14:paraId="111D0384">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（4）所有脏织物的洗涤方法应按照洗涤设备操作说明书和WS/T508-2025《医疗机构医用织物洗涤消毒技术标准》中附录A执行。</w:t>
            </w:r>
          </w:p>
          <w:p w14:paraId="20BEBD15">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2.医用织物洗涤消毒标准</w:t>
            </w:r>
          </w:p>
          <w:p w14:paraId="517AFA45">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符合WS/T508-2025《医疗机构医用织物洗涤消毒技术标准》中附录A(规范性附录) 医用织物洗涤消毒工作流程及洗涤、消毒、整理过程要求。</w:t>
            </w:r>
          </w:p>
          <w:p w14:paraId="69FF64B6">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3.清洁织物卫生质量及微生物检测要求：</w:t>
            </w:r>
          </w:p>
          <w:p w14:paraId="688D05C4">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（1）指标要求。</w:t>
            </w:r>
          </w:p>
          <w:p w14:paraId="1ABF57A6">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（2）感官指标：清洁织物外观应整洁、无污迹、干燥、无异味、异物、破损。</w:t>
            </w:r>
          </w:p>
          <w:p w14:paraId="289C6570">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（3）物理指标:按 SB/T10989 要求，清洁织物表面的 pH 应达到6.5-7.5；测定方法参见 WS/T508-2025《医疗机构医用织物洗涤消毒技术标准》附录B。</w:t>
            </w:r>
          </w:p>
          <w:p w14:paraId="21B13A8B">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（4）微生物指标：清洁织物微生物指标应符合表1的要求；检测方法参照WS/T508-2025《医疗机构医用织物洗涤消毒技术标准》附录B执行。</w:t>
            </w:r>
          </w:p>
          <w:p w14:paraId="6DC39426">
            <w:pPr>
              <w:jc w:val="center"/>
              <w:rPr>
                <w:rFonts w:ascii="宋体" w:hAnsi="宋体"/>
                <w:color w:val="000000"/>
                <w:sz w:val="20"/>
                <w:szCs w:val="20"/>
              </w:rPr>
            </w:pPr>
            <w:r>
              <w:rPr>
                <w:rFonts w:ascii="宋体" w:hAnsi="宋体"/>
                <w:color w:val="000000"/>
                <w:sz w:val="20"/>
                <w:szCs w:val="20"/>
              </w:rPr>
              <w:t>表1 清洁织物微生物指标</w:t>
            </w:r>
          </w:p>
          <w:tbl>
            <w:tblPr>
              <w:tblStyle w:val="3"/>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
              <w:gridCol w:w="3752"/>
              <w:gridCol w:w="1"/>
              <w:gridCol w:w="3783"/>
              <w:gridCol w:w="1"/>
            </w:tblGrid>
            <w:tr w14:paraId="668559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 w:type="dxa"/>
                <w:trHeight w:val="373" w:hRule="atLeast"/>
                <w:jc w:val="center"/>
              </w:trPr>
              <w:tc>
                <w:tcPr>
                  <w:tcW w:w="3753" w:type="dxa"/>
                  <w:gridSpan w:val="2"/>
                  <w:tcBorders>
                    <w:top w:val="single" w:color="auto" w:sz="4" w:space="0"/>
                    <w:left w:val="single" w:color="000000" w:sz="6" w:space="0"/>
                    <w:bottom w:val="single" w:color="auto" w:sz="4" w:space="0"/>
                    <w:right w:val="single" w:color="auto" w:sz="4" w:space="0"/>
                  </w:tcBorders>
                  <w:noWrap w:val="0"/>
                  <w:vAlign w:val="center"/>
                </w:tcPr>
                <w:p w14:paraId="06ED16E7">
                  <w:pPr>
                    <w:spacing w:line="360" w:lineRule="auto"/>
                    <w:jc w:val="center"/>
                    <w:outlineLvl w:val="1"/>
                    <w:rPr>
                      <w:rFonts w:hint="eastAsia" w:ascii="宋体" w:hAnsi="宋体" w:cs="宋体"/>
                      <w:bCs/>
                      <w:color w:val="000000"/>
                      <w:sz w:val="20"/>
                      <w:szCs w:val="20"/>
                    </w:rPr>
                  </w:pPr>
                  <w:bookmarkStart w:id="0" w:name="_bookmark21"/>
                  <w:bookmarkEnd w:id="0"/>
                  <w:r>
                    <w:rPr>
                      <w:rFonts w:hint="eastAsia" w:ascii="宋体" w:hAnsi="宋体" w:cs="宋体"/>
                      <w:bCs/>
                      <w:color w:val="000000"/>
                      <w:sz w:val="20"/>
                      <w:szCs w:val="20"/>
                    </w:rPr>
                    <w:t>项目</w:t>
                  </w:r>
                </w:p>
              </w:tc>
              <w:tc>
                <w:tcPr>
                  <w:tcW w:w="3784" w:type="dxa"/>
                  <w:gridSpan w:val="2"/>
                  <w:tcBorders>
                    <w:top w:val="single" w:color="auto" w:sz="4" w:space="0"/>
                    <w:left w:val="single" w:color="auto" w:sz="4" w:space="0"/>
                    <w:bottom w:val="single" w:color="auto" w:sz="4" w:space="0"/>
                    <w:right w:val="single" w:color="auto" w:sz="4" w:space="0"/>
                  </w:tcBorders>
                  <w:noWrap w:val="0"/>
                  <w:vAlign w:val="center"/>
                </w:tcPr>
                <w:p w14:paraId="4D5F2E3B">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指标</w:t>
                  </w:r>
                </w:p>
              </w:tc>
            </w:tr>
            <w:tr w14:paraId="143CF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 w:type="dxa"/>
                <w:jc w:val="center"/>
              </w:trPr>
              <w:tc>
                <w:tcPr>
                  <w:tcW w:w="3753" w:type="dxa"/>
                  <w:gridSpan w:val="2"/>
                  <w:tcBorders>
                    <w:top w:val="single" w:color="auto" w:sz="4" w:space="0"/>
                    <w:left w:val="single" w:color="auto" w:sz="4" w:space="0"/>
                    <w:bottom w:val="single" w:color="auto" w:sz="4" w:space="0"/>
                    <w:right w:val="single" w:color="auto" w:sz="4" w:space="0"/>
                  </w:tcBorders>
                  <w:noWrap w:val="0"/>
                  <w:vAlign w:val="center"/>
                </w:tcPr>
                <w:p w14:paraId="2BBB0DB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细菌菌落总数/(CFU/100cm2  )</w:t>
                  </w:r>
                </w:p>
              </w:tc>
              <w:tc>
                <w:tcPr>
                  <w:tcW w:w="3784" w:type="dxa"/>
                  <w:gridSpan w:val="2"/>
                  <w:tcBorders>
                    <w:top w:val="single" w:color="auto" w:sz="4" w:space="0"/>
                    <w:left w:val="single" w:color="auto" w:sz="4" w:space="0"/>
                    <w:bottom w:val="single" w:color="auto" w:sz="4" w:space="0"/>
                    <w:right w:val="single" w:color="auto" w:sz="4" w:space="0"/>
                  </w:tcBorders>
                  <w:noWrap w:val="0"/>
                  <w:vAlign w:val="center"/>
                </w:tcPr>
                <w:p w14:paraId="525B5811">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≤200</w:t>
                  </w:r>
                </w:p>
              </w:tc>
            </w:tr>
            <w:tr w14:paraId="4DAA9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 w:type="dxa"/>
                <w:jc w:val="center"/>
              </w:trPr>
              <w:tc>
                <w:tcPr>
                  <w:tcW w:w="3753" w:type="dxa"/>
                  <w:gridSpan w:val="2"/>
                  <w:tcBorders>
                    <w:top w:val="single" w:color="auto" w:sz="4" w:space="0"/>
                    <w:left w:val="single" w:color="auto" w:sz="4" w:space="0"/>
                    <w:bottom w:val="single" w:color="auto" w:sz="4" w:space="0"/>
                    <w:right w:val="single" w:color="auto" w:sz="4" w:space="0"/>
                  </w:tcBorders>
                  <w:noWrap w:val="0"/>
                  <w:vAlign w:val="center"/>
                </w:tcPr>
                <w:p w14:paraId="68846E2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大肠菌群</w:t>
                  </w:r>
                </w:p>
              </w:tc>
              <w:tc>
                <w:tcPr>
                  <w:tcW w:w="3784" w:type="dxa"/>
                  <w:gridSpan w:val="2"/>
                  <w:tcBorders>
                    <w:top w:val="single" w:color="auto" w:sz="4" w:space="0"/>
                    <w:left w:val="single" w:color="auto" w:sz="4" w:space="0"/>
                    <w:bottom w:val="single" w:color="auto" w:sz="4" w:space="0"/>
                    <w:right w:val="single" w:color="auto" w:sz="4" w:space="0"/>
                  </w:tcBorders>
                  <w:noWrap w:val="0"/>
                  <w:vAlign w:val="center"/>
                </w:tcPr>
                <w:p w14:paraId="0057274B">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不得检出</w:t>
                  </w:r>
                </w:p>
              </w:tc>
            </w:tr>
            <w:tr w14:paraId="703BB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 w:type="dxa"/>
                <w:jc w:val="center"/>
              </w:trPr>
              <w:tc>
                <w:tcPr>
                  <w:tcW w:w="3753" w:type="dxa"/>
                  <w:gridSpan w:val="2"/>
                  <w:tcBorders>
                    <w:top w:val="single" w:color="auto" w:sz="4" w:space="0"/>
                    <w:left w:val="single" w:color="auto" w:sz="4" w:space="0"/>
                    <w:bottom w:val="single" w:color="auto" w:sz="4" w:space="0"/>
                    <w:right w:val="single" w:color="auto" w:sz="4" w:space="0"/>
                  </w:tcBorders>
                  <w:noWrap w:val="0"/>
                  <w:vAlign w:val="center"/>
                </w:tcPr>
                <w:p w14:paraId="4E16098B">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金黄色葡萄球菌</w:t>
                  </w:r>
                </w:p>
              </w:tc>
              <w:tc>
                <w:tcPr>
                  <w:tcW w:w="3784" w:type="dxa"/>
                  <w:gridSpan w:val="2"/>
                  <w:tcBorders>
                    <w:top w:val="single" w:color="auto" w:sz="4" w:space="0"/>
                    <w:left w:val="single" w:color="auto" w:sz="4" w:space="0"/>
                    <w:bottom w:val="single" w:color="auto" w:sz="4" w:space="0"/>
                    <w:right w:val="single" w:color="auto" w:sz="4" w:space="0"/>
                  </w:tcBorders>
                  <w:noWrap w:val="0"/>
                  <w:vAlign w:val="center"/>
                </w:tcPr>
                <w:p w14:paraId="0337089E">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不得检出</w:t>
                  </w:r>
                </w:p>
              </w:tc>
            </w:tr>
            <w:tr w14:paraId="250314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Before w:val="1"/>
                <w:wBefore w:w="1" w:type="dxa"/>
                <w:jc w:val="center"/>
              </w:trPr>
              <w:tc>
                <w:tcPr>
                  <w:tcW w:w="3753" w:type="dxa"/>
                  <w:gridSpan w:val="2"/>
                  <w:tcBorders>
                    <w:top w:val="single" w:color="auto" w:sz="4" w:space="0"/>
                    <w:left w:val="single" w:color="auto" w:sz="4" w:space="0"/>
                    <w:bottom w:val="single" w:color="auto" w:sz="4" w:space="0"/>
                    <w:right w:val="single" w:color="auto" w:sz="4" w:space="0"/>
                  </w:tcBorders>
                  <w:noWrap w:val="0"/>
                  <w:vAlign w:val="center"/>
                </w:tcPr>
                <w:p w14:paraId="4803209D">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真菌菌落总数/(CFU/100cm2  )</w:t>
                  </w:r>
                </w:p>
              </w:tc>
              <w:tc>
                <w:tcPr>
                  <w:tcW w:w="3784" w:type="dxa"/>
                  <w:gridSpan w:val="2"/>
                  <w:tcBorders>
                    <w:top w:val="single" w:color="auto" w:sz="4" w:space="0"/>
                    <w:left w:val="single" w:color="auto" w:sz="4" w:space="0"/>
                    <w:bottom w:val="single" w:color="auto" w:sz="4" w:space="0"/>
                    <w:right w:val="single" w:color="auto" w:sz="4" w:space="0"/>
                  </w:tcBorders>
                  <w:noWrap w:val="0"/>
                  <w:vAlign w:val="center"/>
                </w:tcPr>
                <w:p w14:paraId="18A6E442">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≤100</w:t>
                  </w:r>
                </w:p>
              </w:tc>
            </w:tr>
          </w:tbl>
          <w:p w14:paraId="11B4D58D">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（5）检测要求</w:t>
            </w:r>
          </w:p>
          <w:p w14:paraId="762F5458">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（6）清洁织物洗涤质量的感官指标应每批次进行检查。</w:t>
            </w:r>
          </w:p>
          <w:p w14:paraId="6EFDCA0D">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（7）pH 应根据工作需要进行测定。</w:t>
            </w:r>
          </w:p>
          <w:p w14:paraId="5644B2C3">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8）应每季度常规对医用织物进行菌落总数和相关指标菌进行检测，并向医院提供检测报告；在怀疑医院感染暴发与医用织物有关时应及时进行检测；检测单位应选择三级及以上医院或有资质的第三方检测机构。WS/T508-2025《医疗机构医用织物洗涤消毒技术标准》中附录B(资料性附录)清洁织物采样及相关指标检测方法。</w:t>
            </w:r>
          </w:p>
          <w:p w14:paraId="29FAB972">
            <w:pPr>
              <w:spacing w:before="1"/>
              <w:ind w:firstLine="400" w:firstLineChars="200"/>
              <w:rPr>
                <w:rFonts w:ascii="宋体" w:hAnsi="宋体"/>
                <w:color w:val="000000"/>
                <w:sz w:val="20"/>
                <w:szCs w:val="20"/>
              </w:rPr>
            </w:pPr>
            <w:r>
              <w:rPr>
                <w:rFonts w:hint="eastAsia" w:ascii="新宋体" w:hAnsi="新宋体" w:eastAsia="新宋体" w:cs="新宋体"/>
                <w:kern w:val="0"/>
                <w:sz w:val="20"/>
                <w:szCs w:val="20"/>
              </w:rPr>
              <w:t>（五）</w:t>
            </w:r>
            <w:r>
              <w:rPr>
                <w:rFonts w:ascii="宋体" w:hAnsi="宋体"/>
                <w:color w:val="000000"/>
                <w:sz w:val="20"/>
                <w:szCs w:val="20"/>
              </w:rPr>
              <w:t>西安市儿童医院被服洗涤外包服务考核细则</w:t>
            </w:r>
          </w:p>
          <w:p w14:paraId="4F0CA1F7">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1.医院每月组织相关病区科室对洗涤、熨烫、送洗等服务进行满意度抽查调查(5个科室)，每张调查表满分为70分，每科填写1张，参与评分的科室求平均值为本项得分表。</w:t>
            </w:r>
          </w:p>
          <w:p w14:paraId="22B54998">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2.总务科每月对相关服务项目进行清洁服务考核(详见附件)同上要求，满分为30分，两项考核分值之和为当月考核最终分值，满</w:t>
            </w:r>
            <w:r>
              <w:rPr>
                <w:rFonts w:hint="eastAsia" w:ascii="新宋体" w:hAnsi="新宋体" w:eastAsia="新宋体" w:cs="新宋体"/>
                <w:color w:val="auto"/>
                <w:kern w:val="0"/>
                <w:sz w:val="20"/>
                <w:szCs w:val="20"/>
              </w:rPr>
              <w:t>意度测评以90分为合</w:t>
            </w:r>
            <w:r>
              <w:rPr>
                <w:rFonts w:hint="eastAsia" w:ascii="新宋体" w:hAnsi="新宋体" w:eastAsia="新宋体" w:cs="新宋体"/>
                <w:kern w:val="0"/>
                <w:sz w:val="20"/>
                <w:szCs w:val="20"/>
              </w:rPr>
              <w:t>格，每降低1分扣款100元。</w:t>
            </w:r>
          </w:p>
          <w:p w14:paraId="5B021A82">
            <w:pPr>
              <w:spacing w:line="276" w:lineRule="auto"/>
              <w:ind w:firstLine="400" w:firstLineChars="200"/>
              <w:rPr>
                <w:rFonts w:ascii="宋体" w:hAnsi="宋体"/>
                <w:color w:val="000000"/>
                <w:sz w:val="20"/>
                <w:szCs w:val="20"/>
              </w:rPr>
            </w:pPr>
            <w:r>
              <w:rPr>
                <w:rFonts w:hint="eastAsia" w:ascii="新宋体" w:hAnsi="新宋体" w:eastAsia="新宋体" w:cs="新宋体"/>
                <w:kern w:val="0"/>
                <w:sz w:val="20"/>
                <w:szCs w:val="20"/>
              </w:rPr>
              <w:t>3.另外因洗涤原因引起科室投诉，包括污渍、笼车损坏未及时修理造成被服破损、洗涤 造成损坏等，乙方应原价赔偿甲方使用科室。</w:t>
            </w:r>
          </w:p>
          <w:p w14:paraId="66BEC4CE">
            <w:pPr>
              <w:autoSpaceDE w:val="0"/>
              <w:autoSpaceDN w:val="0"/>
              <w:adjustRightInd w:val="0"/>
              <w:spacing w:line="360" w:lineRule="auto"/>
              <w:rPr>
                <w:rFonts w:hint="eastAsia" w:ascii="新宋体" w:hAnsi="新宋体" w:eastAsia="新宋体" w:cs="新宋体"/>
                <w:b/>
                <w:bCs/>
                <w:color w:val="000000"/>
                <w:kern w:val="0"/>
                <w:sz w:val="20"/>
                <w:szCs w:val="20"/>
              </w:rPr>
            </w:pPr>
            <w:r>
              <w:rPr>
                <w:rFonts w:hint="eastAsia" w:ascii="新宋体" w:hAnsi="新宋体" w:eastAsia="新宋体" w:cs="新宋体"/>
                <w:b/>
                <w:bCs/>
                <w:color w:val="000000"/>
                <w:kern w:val="0"/>
                <w:sz w:val="20"/>
                <w:szCs w:val="20"/>
              </w:rPr>
              <w:t>四、服务要求</w:t>
            </w:r>
          </w:p>
          <w:p w14:paraId="6399DE45">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（一）质量安全</w:t>
            </w:r>
          </w:p>
          <w:p w14:paraId="350D6B05">
            <w:pPr>
              <w:spacing w:line="276" w:lineRule="auto"/>
              <w:ind w:firstLine="400" w:firstLineChars="200"/>
              <w:rPr>
                <w:rFonts w:ascii="新宋体" w:hAnsi="新宋体" w:eastAsia="新宋体" w:cs="新宋体"/>
                <w:kern w:val="0"/>
                <w:sz w:val="20"/>
                <w:szCs w:val="20"/>
              </w:rPr>
            </w:pPr>
            <w:r>
              <w:rPr>
                <w:rFonts w:ascii="新宋体" w:hAnsi="新宋体" w:eastAsia="新宋体" w:cs="新宋体"/>
                <w:kern w:val="0"/>
                <w:sz w:val="20"/>
                <w:szCs w:val="20"/>
              </w:rPr>
              <w:t>1</w:t>
            </w:r>
            <w:r>
              <w:rPr>
                <w:rFonts w:hint="eastAsia" w:ascii="新宋体" w:hAnsi="新宋体" w:eastAsia="新宋体" w:cs="新宋体"/>
                <w:kern w:val="0"/>
                <w:sz w:val="20"/>
                <w:szCs w:val="20"/>
              </w:rPr>
              <w:t>.</w:t>
            </w:r>
            <w:r>
              <w:rPr>
                <w:rFonts w:ascii="新宋体" w:hAnsi="新宋体" w:eastAsia="新宋体" w:cs="新宋体"/>
                <w:kern w:val="0"/>
                <w:sz w:val="20"/>
                <w:szCs w:val="20"/>
              </w:rPr>
              <w:t>合规洗涤：严格执行国家医疗消毒规范，分类收集、洗涤、存放、运输，杜绝交叉污染。</w:t>
            </w:r>
          </w:p>
          <w:p w14:paraId="08BEC784">
            <w:pPr>
              <w:spacing w:line="276" w:lineRule="auto"/>
              <w:ind w:firstLine="400" w:firstLineChars="200"/>
              <w:rPr>
                <w:rFonts w:hint="eastAsia" w:ascii="新宋体" w:hAnsi="新宋体" w:eastAsia="新宋体" w:cs="新宋体"/>
                <w:kern w:val="0"/>
                <w:sz w:val="20"/>
                <w:szCs w:val="20"/>
              </w:rPr>
            </w:pPr>
            <w:r>
              <w:rPr>
                <w:rFonts w:ascii="新宋体" w:hAnsi="新宋体" w:eastAsia="新宋体" w:cs="新宋体"/>
                <w:kern w:val="0"/>
                <w:sz w:val="20"/>
                <w:szCs w:val="20"/>
              </w:rPr>
              <w:t>2</w:t>
            </w:r>
            <w:r>
              <w:rPr>
                <w:rFonts w:hint="eastAsia" w:ascii="新宋体" w:hAnsi="新宋体" w:eastAsia="新宋体" w:cs="新宋体"/>
                <w:kern w:val="0"/>
                <w:sz w:val="20"/>
                <w:szCs w:val="20"/>
              </w:rPr>
              <w:t>.</w:t>
            </w:r>
            <w:r>
              <w:rPr>
                <w:rFonts w:ascii="新宋体" w:hAnsi="新宋体" w:eastAsia="新宋体" w:cs="新宋体"/>
                <w:kern w:val="0"/>
                <w:sz w:val="20"/>
                <w:szCs w:val="20"/>
              </w:rPr>
              <w:t>达标交付：洗涤后织物洁净、无破损、无异味、无菌，符合医院使用标准</w:t>
            </w:r>
            <w:r>
              <w:rPr>
                <w:rFonts w:hint="eastAsia" w:ascii="新宋体" w:hAnsi="新宋体" w:eastAsia="新宋体" w:cs="新宋体"/>
                <w:kern w:val="0"/>
                <w:sz w:val="20"/>
                <w:szCs w:val="20"/>
              </w:rPr>
              <w:t xml:space="preserve">。 </w:t>
            </w:r>
          </w:p>
          <w:p w14:paraId="0CDA405D">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（二）收送保障</w:t>
            </w:r>
          </w:p>
          <w:p w14:paraId="06C11B0F">
            <w:pPr>
              <w:spacing w:line="276" w:lineRule="auto"/>
              <w:ind w:firstLine="400" w:firstLineChars="200"/>
              <w:rPr>
                <w:rFonts w:ascii="新宋体" w:hAnsi="新宋体" w:eastAsia="新宋体" w:cs="新宋体"/>
                <w:kern w:val="0"/>
                <w:sz w:val="20"/>
                <w:szCs w:val="20"/>
              </w:rPr>
            </w:pPr>
            <w:r>
              <w:rPr>
                <w:rFonts w:hint="eastAsia" w:ascii="新宋体" w:hAnsi="新宋体" w:eastAsia="新宋体" w:cs="新宋体"/>
                <w:kern w:val="0"/>
                <w:sz w:val="20"/>
                <w:szCs w:val="20"/>
              </w:rPr>
              <w:t>1.</w:t>
            </w:r>
            <w:r>
              <w:rPr>
                <w:rFonts w:ascii="新宋体" w:hAnsi="新宋体" w:eastAsia="新宋体" w:cs="新宋体"/>
                <w:kern w:val="0"/>
                <w:sz w:val="20"/>
                <w:szCs w:val="20"/>
              </w:rPr>
              <w:t>准时高效：严格按医院要求排班收送，不延误、不遗漏，保障临床供应</w:t>
            </w:r>
            <w:r>
              <w:rPr>
                <w:rFonts w:hint="eastAsia" w:ascii="新宋体" w:hAnsi="新宋体" w:eastAsia="新宋体" w:cs="新宋体"/>
                <w:kern w:val="0"/>
                <w:sz w:val="20"/>
                <w:szCs w:val="20"/>
              </w:rPr>
              <w:t>。</w:t>
            </w:r>
          </w:p>
          <w:p w14:paraId="099F5482">
            <w:pPr>
              <w:spacing w:line="276" w:lineRule="auto"/>
              <w:ind w:firstLine="400" w:firstLineChars="200"/>
              <w:rPr>
                <w:rFonts w:ascii="新宋体" w:hAnsi="新宋体" w:eastAsia="新宋体" w:cs="新宋体"/>
                <w:kern w:val="0"/>
                <w:sz w:val="20"/>
                <w:szCs w:val="20"/>
              </w:rPr>
            </w:pPr>
            <w:r>
              <w:rPr>
                <w:rFonts w:hint="eastAsia" w:ascii="新宋体" w:hAnsi="新宋体" w:eastAsia="新宋体" w:cs="新宋体"/>
                <w:kern w:val="0"/>
                <w:sz w:val="20"/>
                <w:szCs w:val="20"/>
              </w:rPr>
              <w:t>2.</w:t>
            </w:r>
            <w:r>
              <w:rPr>
                <w:rFonts w:ascii="新宋体" w:hAnsi="新宋体" w:eastAsia="新宋体" w:cs="新宋体"/>
                <w:kern w:val="0"/>
                <w:sz w:val="20"/>
                <w:szCs w:val="20"/>
              </w:rPr>
              <w:t>安全运输：专用车辆密闭运输，专人专管，全程可追溯，严防污染与丢失</w:t>
            </w:r>
            <w:r>
              <w:rPr>
                <w:rFonts w:hint="eastAsia" w:ascii="新宋体" w:hAnsi="新宋体" w:eastAsia="新宋体" w:cs="新宋体"/>
                <w:kern w:val="0"/>
                <w:sz w:val="20"/>
                <w:szCs w:val="20"/>
              </w:rPr>
              <w:t>。</w:t>
            </w:r>
          </w:p>
          <w:p w14:paraId="115FD485">
            <w:pPr>
              <w:spacing w:line="276" w:lineRule="auto"/>
              <w:ind w:firstLine="400" w:firstLineChars="200"/>
              <w:rPr>
                <w:rFonts w:ascii="新宋体" w:hAnsi="新宋体" w:eastAsia="新宋体" w:cs="新宋体"/>
                <w:kern w:val="0"/>
                <w:sz w:val="20"/>
                <w:szCs w:val="20"/>
              </w:rPr>
            </w:pPr>
            <w:r>
              <w:rPr>
                <w:rFonts w:hint="eastAsia" w:ascii="新宋体" w:hAnsi="新宋体" w:eastAsia="新宋体" w:cs="新宋体"/>
                <w:kern w:val="0"/>
                <w:sz w:val="20"/>
                <w:szCs w:val="20"/>
              </w:rPr>
              <w:t>（三）</w:t>
            </w:r>
            <w:r>
              <w:rPr>
                <w:rFonts w:ascii="新宋体" w:hAnsi="新宋体" w:eastAsia="新宋体" w:cs="新宋体"/>
                <w:kern w:val="0"/>
                <w:sz w:val="20"/>
                <w:szCs w:val="20"/>
              </w:rPr>
              <w:t>人员与管理</w:t>
            </w:r>
          </w:p>
          <w:p w14:paraId="47A019DC">
            <w:pPr>
              <w:spacing w:line="276" w:lineRule="auto"/>
              <w:ind w:firstLine="400" w:firstLineChars="200"/>
              <w:rPr>
                <w:rFonts w:ascii="新宋体" w:hAnsi="新宋体" w:eastAsia="新宋体" w:cs="新宋体"/>
                <w:kern w:val="0"/>
                <w:sz w:val="20"/>
                <w:szCs w:val="20"/>
              </w:rPr>
            </w:pPr>
            <w:r>
              <w:rPr>
                <w:rFonts w:ascii="新宋体" w:hAnsi="新宋体" w:eastAsia="新宋体" w:cs="新宋体"/>
                <w:kern w:val="0"/>
                <w:sz w:val="20"/>
                <w:szCs w:val="20"/>
              </w:rPr>
              <w:t>1</w:t>
            </w:r>
            <w:r>
              <w:rPr>
                <w:rFonts w:hint="eastAsia" w:ascii="新宋体" w:hAnsi="新宋体" w:eastAsia="新宋体" w:cs="新宋体"/>
                <w:kern w:val="0"/>
                <w:sz w:val="20"/>
                <w:szCs w:val="20"/>
              </w:rPr>
              <w:t>.</w:t>
            </w:r>
            <w:r>
              <w:rPr>
                <w:rFonts w:ascii="新宋体" w:hAnsi="新宋体" w:eastAsia="新宋体" w:cs="新宋体"/>
                <w:kern w:val="0"/>
                <w:sz w:val="20"/>
                <w:szCs w:val="20"/>
              </w:rPr>
              <w:t>专业持证：收送及洗涤人员均持证上岗，定期培训与体检，规范操作。</w:t>
            </w:r>
          </w:p>
          <w:p w14:paraId="4BD8B03E">
            <w:pPr>
              <w:spacing w:line="276" w:lineRule="auto"/>
              <w:ind w:firstLine="400" w:firstLineChars="200"/>
              <w:rPr>
                <w:rFonts w:ascii="新宋体" w:hAnsi="新宋体" w:eastAsia="新宋体" w:cs="新宋体"/>
                <w:kern w:val="0"/>
                <w:sz w:val="20"/>
                <w:szCs w:val="20"/>
              </w:rPr>
            </w:pPr>
            <w:r>
              <w:rPr>
                <w:rFonts w:ascii="新宋体" w:hAnsi="新宋体" w:eastAsia="新宋体" w:cs="新宋体"/>
                <w:kern w:val="0"/>
                <w:sz w:val="20"/>
                <w:szCs w:val="20"/>
              </w:rPr>
              <w:t>2</w:t>
            </w:r>
            <w:r>
              <w:rPr>
                <w:rFonts w:hint="eastAsia" w:ascii="新宋体" w:hAnsi="新宋体" w:eastAsia="新宋体" w:cs="新宋体"/>
                <w:kern w:val="0"/>
                <w:sz w:val="20"/>
                <w:szCs w:val="20"/>
              </w:rPr>
              <w:t>.</w:t>
            </w:r>
            <w:r>
              <w:rPr>
                <w:rFonts w:ascii="新宋体" w:hAnsi="新宋体" w:eastAsia="新宋体" w:cs="新宋体"/>
                <w:kern w:val="0"/>
                <w:sz w:val="20"/>
                <w:szCs w:val="20"/>
              </w:rPr>
              <w:t>责任到人：建立全流程质量追溯体系，主动接受医院监督</w:t>
            </w:r>
            <w:r>
              <w:rPr>
                <w:rFonts w:hint="eastAsia" w:ascii="新宋体" w:hAnsi="新宋体" w:eastAsia="新宋体" w:cs="新宋体"/>
                <w:kern w:val="0"/>
                <w:sz w:val="20"/>
                <w:szCs w:val="20"/>
                <w:lang w:eastAsia="zh-CN"/>
              </w:rPr>
              <w:t>，对</w:t>
            </w:r>
            <w:r>
              <w:rPr>
                <w:rFonts w:ascii="新宋体" w:hAnsi="新宋体" w:eastAsia="新宋体" w:cs="新宋体"/>
                <w:kern w:val="0"/>
                <w:sz w:val="20"/>
                <w:szCs w:val="20"/>
              </w:rPr>
              <w:t>问题及时整改。</w:t>
            </w:r>
          </w:p>
          <w:p w14:paraId="54C15576">
            <w:pPr>
              <w:spacing w:line="276" w:lineRule="auto"/>
              <w:ind w:firstLine="400" w:firstLineChars="200"/>
              <w:rPr>
                <w:rFonts w:ascii="新宋体" w:hAnsi="新宋体" w:eastAsia="新宋体" w:cs="新宋体"/>
                <w:kern w:val="0"/>
                <w:sz w:val="20"/>
                <w:szCs w:val="20"/>
              </w:rPr>
            </w:pPr>
            <w:r>
              <w:rPr>
                <w:rFonts w:hint="eastAsia" w:ascii="新宋体" w:hAnsi="新宋体" w:eastAsia="新宋体" w:cs="新宋体"/>
                <w:kern w:val="0"/>
                <w:sz w:val="20"/>
                <w:szCs w:val="20"/>
              </w:rPr>
              <w:t>（四）</w:t>
            </w:r>
            <w:r>
              <w:rPr>
                <w:rFonts w:ascii="新宋体" w:hAnsi="新宋体" w:eastAsia="新宋体" w:cs="新宋体"/>
                <w:kern w:val="0"/>
                <w:sz w:val="20"/>
                <w:szCs w:val="20"/>
              </w:rPr>
              <w:t>应急响应</w:t>
            </w:r>
          </w:p>
          <w:p w14:paraId="0D70D677">
            <w:pPr>
              <w:spacing w:line="276" w:lineRule="auto"/>
              <w:ind w:firstLine="400" w:firstLineChars="200"/>
              <w:rPr>
                <w:rFonts w:ascii="新宋体" w:hAnsi="新宋体" w:eastAsia="新宋体" w:cs="新宋体"/>
                <w:kern w:val="0"/>
                <w:sz w:val="20"/>
                <w:szCs w:val="20"/>
              </w:rPr>
            </w:pPr>
            <w:r>
              <w:rPr>
                <w:rFonts w:ascii="新宋体" w:hAnsi="新宋体" w:eastAsia="新宋体" w:cs="新宋体"/>
                <w:kern w:val="0"/>
                <w:sz w:val="20"/>
                <w:szCs w:val="20"/>
              </w:rPr>
              <w:t>1</w:t>
            </w:r>
            <w:r>
              <w:rPr>
                <w:rFonts w:hint="eastAsia" w:ascii="新宋体" w:hAnsi="新宋体" w:eastAsia="新宋体" w:cs="新宋体"/>
                <w:kern w:val="0"/>
                <w:sz w:val="20"/>
                <w:szCs w:val="20"/>
              </w:rPr>
              <w:t>.</w:t>
            </w:r>
            <w:r>
              <w:rPr>
                <w:rFonts w:ascii="新宋体" w:hAnsi="新宋体" w:eastAsia="新宋体" w:cs="新宋体"/>
                <w:kern w:val="0"/>
                <w:sz w:val="20"/>
                <w:szCs w:val="20"/>
              </w:rPr>
              <w:t>快速响应：针对医院突发需求，第一时间调配资源，满足紧急供货。</w:t>
            </w:r>
          </w:p>
          <w:p w14:paraId="3D978ECD">
            <w:pPr>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2.</w:t>
            </w:r>
            <w:r>
              <w:rPr>
                <w:rFonts w:ascii="新宋体" w:hAnsi="新宋体" w:eastAsia="新宋体" w:cs="新宋体"/>
                <w:kern w:val="0"/>
                <w:sz w:val="20"/>
                <w:szCs w:val="20"/>
              </w:rPr>
              <w:t>全责承担：若因我方原因造成延误或质量问题，立即整改并承担相应责任</w:t>
            </w:r>
            <w:r>
              <w:rPr>
                <w:rFonts w:hint="eastAsia" w:ascii="新宋体" w:hAnsi="新宋体" w:eastAsia="新宋体" w:cs="新宋体"/>
                <w:kern w:val="0"/>
                <w:sz w:val="20"/>
                <w:szCs w:val="20"/>
              </w:rPr>
              <w:t>。</w:t>
            </w:r>
          </w:p>
          <w:p w14:paraId="6D5FAF58">
            <w:pPr>
              <w:autoSpaceDE w:val="0"/>
              <w:autoSpaceDN w:val="0"/>
              <w:adjustRightInd w:val="0"/>
              <w:spacing w:line="360" w:lineRule="auto"/>
              <w:rPr>
                <w:rFonts w:hint="eastAsia" w:ascii="新宋体" w:hAnsi="新宋体" w:eastAsia="新宋体" w:cs="新宋体"/>
                <w:b/>
                <w:bCs/>
                <w:color w:val="000000"/>
                <w:kern w:val="0"/>
                <w:sz w:val="20"/>
                <w:szCs w:val="20"/>
              </w:rPr>
            </w:pPr>
            <w:r>
              <w:rPr>
                <w:rFonts w:hint="eastAsia" w:ascii="新宋体" w:hAnsi="新宋体" w:eastAsia="新宋体" w:cs="新宋体"/>
                <w:b/>
                <w:bCs/>
                <w:color w:val="000000"/>
                <w:kern w:val="0"/>
                <w:sz w:val="20"/>
                <w:szCs w:val="20"/>
              </w:rPr>
              <w:t>五、商务要求</w:t>
            </w:r>
          </w:p>
          <w:p w14:paraId="167A36DB">
            <w:pPr>
              <w:spacing w:line="276" w:lineRule="auto"/>
              <w:ind w:firstLine="400" w:firstLineChars="200"/>
              <w:rPr>
                <w:rFonts w:ascii="新宋体" w:hAnsi="新宋体" w:eastAsia="新宋体" w:cs="新宋体"/>
                <w:kern w:val="0"/>
                <w:sz w:val="20"/>
                <w:szCs w:val="20"/>
              </w:rPr>
            </w:pPr>
            <w:r>
              <w:rPr>
                <w:rFonts w:hint="eastAsia" w:ascii="宋体" w:hAnsi="宋体" w:cs="新宋体"/>
                <w:color w:val="000000"/>
                <w:kern w:val="0"/>
                <w:sz w:val="20"/>
                <w:szCs w:val="20"/>
              </w:rPr>
              <w:t>（</w:t>
            </w:r>
            <w:r>
              <w:rPr>
                <w:rFonts w:hint="eastAsia" w:ascii="新宋体" w:hAnsi="新宋体" w:eastAsia="新宋体" w:cs="新宋体"/>
                <w:kern w:val="0"/>
                <w:sz w:val="20"/>
                <w:szCs w:val="20"/>
              </w:rPr>
              <w:t>一）服务期限</w:t>
            </w:r>
          </w:p>
          <w:p w14:paraId="492AA5DF">
            <w:pPr>
              <w:spacing w:line="276" w:lineRule="auto"/>
              <w:ind w:firstLine="600" w:firstLineChars="300"/>
              <w:rPr>
                <w:rFonts w:ascii="新宋体" w:hAnsi="新宋体" w:eastAsia="新宋体" w:cs="新宋体"/>
                <w:kern w:val="0"/>
                <w:sz w:val="20"/>
                <w:szCs w:val="20"/>
              </w:rPr>
            </w:pPr>
            <w:r>
              <w:rPr>
                <w:rFonts w:hint="eastAsia" w:ascii="新宋体" w:hAnsi="新宋体" w:eastAsia="新宋体" w:cs="新宋体"/>
                <w:kern w:val="0"/>
                <w:sz w:val="20"/>
                <w:szCs w:val="20"/>
              </w:rPr>
              <w:t>服务期</w:t>
            </w:r>
            <w:r>
              <w:rPr>
                <w:rFonts w:hint="eastAsia" w:ascii="新宋体" w:hAnsi="新宋体" w:eastAsia="新宋体" w:cs="新宋体"/>
                <w:kern w:val="0"/>
                <w:sz w:val="20"/>
                <w:szCs w:val="20"/>
                <w:lang w:eastAsia="zh-CN"/>
              </w:rPr>
              <w:t>：</w:t>
            </w:r>
            <w:r>
              <w:rPr>
                <w:rFonts w:hint="eastAsia" w:ascii="新宋体" w:hAnsi="新宋体" w:eastAsia="新宋体" w:cs="新宋体"/>
                <w:kern w:val="0"/>
                <w:sz w:val="20"/>
                <w:szCs w:val="20"/>
              </w:rPr>
              <w:t>1年</w:t>
            </w:r>
          </w:p>
          <w:p w14:paraId="7A302DF0">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（二）款项结算</w:t>
            </w:r>
          </w:p>
          <w:p w14:paraId="1BE9C65C">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1.支付方式: 洗涤服务费依据供应商每次委托的实际洗涤工作量结合报价中的各项单价据实结算，具体数量以供应商代表签字确认的“医用织物洗涤交接单”进行数量确认。</w:t>
            </w:r>
          </w:p>
          <w:p w14:paraId="67A3C786">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2.合同价款为：报价是完成报价内容所需全部单价费用，包括但不限于供应商所雇用的服务人员的工资费用及社会保险费用、洗涤费、运输费、配送费、包装费、劳保用品及因突发事件等需要临时加班或增加工作量而产生的加班费用、税金等供应商为完成本项目服务工作所需供应商支付的全部费用。</w:t>
            </w:r>
          </w:p>
          <w:p w14:paraId="70F8F3FA">
            <w:pPr>
              <w:spacing w:line="276" w:lineRule="auto"/>
              <w:ind w:firstLine="400" w:firstLineChars="200"/>
              <w:rPr>
                <w:rFonts w:hint="eastAsia" w:ascii="新宋体" w:hAnsi="新宋体" w:eastAsia="新宋体" w:cs="新宋体"/>
                <w:kern w:val="0"/>
                <w:sz w:val="20"/>
                <w:szCs w:val="20"/>
              </w:rPr>
            </w:pPr>
            <w:r>
              <w:rPr>
                <w:rFonts w:hint="eastAsia" w:ascii="新宋体" w:hAnsi="新宋体" w:eastAsia="新宋体" w:cs="新宋体"/>
                <w:kern w:val="0"/>
                <w:sz w:val="20"/>
                <w:szCs w:val="20"/>
              </w:rPr>
              <w:t>3.每月根据洗涤实际品种数量，依照前述各品种单价，经考核达标后，结合实际数量据实结算，按季度付款。供应商每季度结束后，次月的5日前将上一季度洗涤服务《医用织物洗涤对账报表》及发票开给甲方，甲方在收票当月15日前付清上季度款项。</w:t>
            </w:r>
          </w:p>
          <w:p w14:paraId="7F93E807">
            <w:pPr>
              <w:autoSpaceDE w:val="0"/>
              <w:autoSpaceDN w:val="0"/>
              <w:adjustRightInd w:val="0"/>
              <w:spacing w:line="360" w:lineRule="auto"/>
              <w:ind w:firstLine="400" w:firstLineChars="200"/>
              <w:rPr>
                <w:rFonts w:hint="eastAsia" w:ascii="新宋体" w:hAnsi="新宋体" w:eastAsia="新宋体" w:cs="新宋体"/>
                <w:color w:val="000000"/>
                <w:kern w:val="0"/>
                <w:sz w:val="20"/>
                <w:szCs w:val="20"/>
              </w:rPr>
            </w:pPr>
            <w:r>
              <w:rPr>
                <w:rFonts w:hint="eastAsia" w:ascii="新宋体" w:hAnsi="新宋体" w:eastAsia="新宋体" w:cs="新宋体"/>
                <w:kern w:val="0"/>
                <w:sz w:val="20"/>
                <w:szCs w:val="20"/>
              </w:rPr>
              <w:t>4.如合同期限未到期时，供应商提供的服务总价大于140</w:t>
            </w:r>
            <w:r>
              <w:rPr>
                <w:rFonts w:hint="eastAsia" w:ascii="新宋体" w:hAnsi="新宋体" w:eastAsia="新宋体" w:cs="新宋体"/>
                <w:kern w:val="0"/>
                <w:sz w:val="20"/>
                <w:szCs w:val="20"/>
                <w:lang w:eastAsia="zh-CN"/>
              </w:rPr>
              <w:t>万元</w:t>
            </w:r>
            <w:r>
              <w:rPr>
                <w:rFonts w:hint="eastAsia" w:ascii="新宋体" w:hAnsi="新宋体" w:eastAsia="新宋体" w:cs="新宋体"/>
                <w:kern w:val="0"/>
                <w:sz w:val="20"/>
                <w:szCs w:val="20"/>
              </w:rPr>
              <w:t>，本合同终止。</w:t>
            </w:r>
          </w:p>
          <w:p w14:paraId="6AB9EDC5">
            <w:pPr>
              <w:autoSpaceDE w:val="0"/>
              <w:autoSpaceDN w:val="0"/>
              <w:adjustRightInd w:val="0"/>
              <w:spacing w:line="360" w:lineRule="auto"/>
              <w:rPr>
                <w:rFonts w:hint="eastAsia" w:ascii="新宋体" w:hAnsi="新宋体" w:eastAsia="新宋体" w:cs="新宋体"/>
                <w:b/>
                <w:bCs/>
                <w:color w:val="000000"/>
                <w:kern w:val="0"/>
                <w:sz w:val="20"/>
                <w:szCs w:val="20"/>
              </w:rPr>
            </w:pPr>
            <w:r>
              <w:rPr>
                <w:rFonts w:hint="eastAsia" w:ascii="新宋体" w:hAnsi="新宋体" w:eastAsia="新宋体" w:cs="新宋体"/>
                <w:b/>
                <w:bCs/>
                <w:color w:val="000000"/>
                <w:kern w:val="0"/>
                <w:sz w:val="20"/>
                <w:szCs w:val="20"/>
              </w:rPr>
              <w:t>六、其他</w:t>
            </w:r>
          </w:p>
          <w:p w14:paraId="30FB4B8A">
            <w:pPr>
              <w:spacing w:line="276" w:lineRule="auto"/>
              <w:ind w:firstLine="400" w:firstLineChars="200"/>
              <w:rPr>
                <w:rFonts w:hint="eastAsia" w:ascii="新宋体" w:hAnsi="新宋体" w:eastAsia="新宋体" w:cs="新宋体"/>
                <w:kern w:val="0"/>
                <w:sz w:val="24"/>
              </w:rPr>
            </w:pPr>
            <w:r>
              <w:rPr>
                <w:rFonts w:hint="eastAsia" w:ascii="新宋体" w:hAnsi="新宋体" w:eastAsia="新宋体" w:cs="新宋体"/>
                <w:kern w:val="0"/>
                <w:sz w:val="20"/>
                <w:szCs w:val="20"/>
              </w:rPr>
              <w:t>物品名称及最高限价：</w:t>
            </w:r>
          </w:p>
          <w:tbl>
            <w:tblPr>
              <w:tblStyle w:val="3"/>
              <w:tblW w:w="0" w:type="auto"/>
              <w:jc w:val="center"/>
              <w:tblLayout w:type="fixed"/>
              <w:tblCellMar>
                <w:top w:w="0" w:type="dxa"/>
                <w:left w:w="108" w:type="dxa"/>
                <w:bottom w:w="0" w:type="dxa"/>
                <w:right w:w="108" w:type="dxa"/>
              </w:tblCellMar>
            </w:tblPr>
            <w:tblGrid>
              <w:gridCol w:w="857"/>
              <w:gridCol w:w="1979"/>
              <w:gridCol w:w="946"/>
              <w:gridCol w:w="950"/>
              <w:gridCol w:w="1714"/>
            </w:tblGrid>
            <w:tr w14:paraId="586CA944">
              <w:tblPrEx>
                <w:tblCellMar>
                  <w:top w:w="0" w:type="dxa"/>
                  <w:left w:w="108" w:type="dxa"/>
                  <w:bottom w:w="0" w:type="dxa"/>
                  <w:right w:w="108" w:type="dxa"/>
                </w:tblCellMar>
              </w:tblPrEx>
              <w:trPr>
                <w:trHeight w:val="265" w:hRule="atLeast"/>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4C12B38B">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序号</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3889EAFD">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物品名称</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2CED9F9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单位</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64ECA50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数量</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B86218D">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最高限价（元）</w:t>
                  </w:r>
                </w:p>
              </w:tc>
            </w:tr>
            <w:tr w14:paraId="03A2C842">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2A810BEA">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3E3D43CA">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床单</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7C3B16A8">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51E94D9C">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839E8C6">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2.2</w:t>
                  </w:r>
                </w:p>
              </w:tc>
            </w:tr>
            <w:tr w14:paraId="62E70799">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4EC6475B">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3BFD33AE">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被套</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46D6F4A6">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6105B7AE">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8EF4DC4">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3.5</w:t>
                  </w:r>
                </w:p>
              </w:tc>
            </w:tr>
            <w:tr w14:paraId="03F1B4C4">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2440849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3D0E10A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枕套</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03276AE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42EA760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3DC7F21">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0.8</w:t>
                  </w:r>
                </w:p>
              </w:tc>
            </w:tr>
            <w:tr w14:paraId="02099F75">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700EE13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4</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5B28447A">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长工作衣</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051E1CD6">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336D5371">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1C2D990">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w:t>
                  </w:r>
                </w:p>
              </w:tc>
            </w:tr>
            <w:tr w14:paraId="3AA82DBF">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1A2A5D8D">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5</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73F76252">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工作裤</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42440624">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3005352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7C31980">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1.8</w:t>
                  </w:r>
                </w:p>
              </w:tc>
            </w:tr>
            <w:tr w14:paraId="76ADE42D">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5781F129">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6</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0A7BE09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羽绒服</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04FFE8CE">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双</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2280009C">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9C50881">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5</w:t>
                  </w:r>
                </w:p>
              </w:tc>
            </w:tr>
            <w:tr w14:paraId="27C7207B">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465B02FD">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7</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3F1B664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窗帘</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5CC20F68">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51209B66">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0EAD25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8</w:t>
                  </w:r>
                </w:p>
              </w:tc>
            </w:tr>
            <w:tr w14:paraId="32D48349">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4199FB06">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8</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1D0DF87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毛衣</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0BF5A3E6">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3C47E928">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9557FFE">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5</w:t>
                  </w:r>
                </w:p>
              </w:tc>
            </w:tr>
            <w:tr w14:paraId="1BB5F1BC">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7C2C43B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9</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20667421">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大包布</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5CD4F4F9">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3E2C0C60">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59CB50C">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 xml:space="preserve">2.00 </w:t>
                  </w:r>
                </w:p>
              </w:tc>
            </w:tr>
            <w:tr w14:paraId="263814E1">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21888F38">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10</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09E4BD63">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中包布</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5D62F6DB">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34C178A5">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EB43DC9">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 xml:space="preserve">1.50 </w:t>
                  </w:r>
                </w:p>
              </w:tc>
            </w:tr>
            <w:tr w14:paraId="318ED3B0">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2142A5F4">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11</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1FED077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小包布</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790DD47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129F1EF5">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DFA93E0">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 xml:space="preserve">1.20 </w:t>
                  </w:r>
                </w:p>
              </w:tc>
            </w:tr>
            <w:tr w14:paraId="467D7FED">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5B0D6F9E">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12</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04B38B9D">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盖布</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11540BFC">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196C5755">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0BB7C0B">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1.5</w:t>
                  </w:r>
                </w:p>
              </w:tc>
            </w:tr>
            <w:tr w14:paraId="023373CB">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2441F3D9">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13</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55A2DF8C">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被芯</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3AF8C408">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1BF116C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E30FB45">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w:t>
                  </w:r>
                </w:p>
              </w:tc>
            </w:tr>
            <w:tr w14:paraId="31437E8A">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3C192684">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14</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4F574E3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褥芯</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3BB99DD5">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7ADB7AD0">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0BACC05">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w:t>
                  </w:r>
                </w:p>
              </w:tc>
            </w:tr>
            <w:tr w14:paraId="13D4C692">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0E9DD8FD">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15</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3D28E782">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枕芯</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09FBF07D">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620832DB">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849B273">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w:t>
                  </w:r>
                </w:p>
              </w:tc>
            </w:tr>
            <w:tr w14:paraId="4B0FCAA9">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080B9BC9">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16</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55794DF4">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毛巾</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55680485">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2B32B44D">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1C13B2E">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w:t>
                  </w:r>
                </w:p>
              </w:tc>
            </w:tr>
            <w:tr w14:paraId="70835CFD">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266A375C">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17</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377600DF">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风衣</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06381579">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542697C5">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22D9D46">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5</w:t>
                  </w:r>
                </w:p>
              </w:tc>
            </w:tr>
            <w:tr w14:paraId="730E82CE">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205DEA0A">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18</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00EA890B">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工作上衣</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4738048B">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412A6010">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76DAD02">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2.5</w:t>
                  </w:r>
                </w:p>
              </w:tc>
            </w:tr>
            <w:tr w14:paraId="4CABE7AC">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47C0DC22">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19</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3BFCD463">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洗手衣</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2E639449">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32DC97F8">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648CAE5">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2</w:t>
                  </w:r>
                </w:p>
              </w:tc>
            </w:tr>
            <w:tr w14:paraId="65BEE4F7">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13F9F467">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20</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20C921B3">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洗手裤</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7D5A2F15">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6B9DBB69">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34A1C04">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2</w:t>
                  </w:r>
                </w:p>
              </w:tc>
            </w:tr>
            <w:tr w14:paraId="230E1B1E">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3CA02342">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21</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2F0B56B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器械盖布</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4DCB3860">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54C37E7D">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77D555C">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w:t>
                  </w:r>
                </w:p>
              </w:tc>
            </w:tr>
            <w:tr w14:paraId="7B86FA8C">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6793620E">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22</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0F76C7C4">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方巾</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16D84A1E">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478E3F79">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8468E7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0.8</w:t>
                  </w:r>
                </w:p>
              </w:tc>
            </w:tr>
            <w:tr w14:paraId="4AEF250E">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0E767AC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23</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617AA248">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拖鞋</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782679AC">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1857FF66">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7CBDD46">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r>
            <w:tr w14:paraId="2C80B242">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50CFA203">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24</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0FCEB546">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洞巾</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47F2465D">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5B0DCAD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7BE2D32">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1.5</w:t>
                  </w:r>
                </w:p>
              </w:tc>
            </w:tr>
            <w:tr w14:paraId="137DDC8C">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2B06F2A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25</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51D4FA11">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小洞巾</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0D519B12">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53D3A2E8">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CCD1878">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r>
            <w:tr w14:paraId="3FCEDEBF">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685BCABC">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26</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4613EED1">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器械桌巾</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5E0F64C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2B226DFB">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39796B1">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w:t>
                  </w:r>
                </w:p>
              </w:tc>
            </w:tr>
            <w:tr w14:paraId="56F97320">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7D27280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27</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16C7DF5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白床单</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61AF5606">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3CE10B09">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F57501F">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w:t>
                  </w:r>
                </w:p>
              </w:tc>
            </w:tr>
            <w:tr w14:paraId="63FA1B00">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0DD9C2DB">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28</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5313BBF1">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白被套</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1F9106C8">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28D1853D">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D5AF353">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3.2</w:t>
                  </w:r>
                </w:p>
              </w:tc>
            </w:tr>
            <w:tr w14:paraId="5301C379">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0C0138FE">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29</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30DB3E35">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白枕套</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4C072403">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5EE67CA0">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EF1D3F1">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0.8</w:t>
                  </w:r>
                </w:p>
              </w:tc>
            </w:tr>
            <w:tr w14:paraId="1351EBFA">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7E661216">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30</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033F6C08">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褥套</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0941201B">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761263A9">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FD92A4D">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w:t>
                  </w:r>
                </w:p>
              </w:tc>
            </w:tr>
            <w:tr w14:paraId="7C324D66">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71D1499A">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31</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4D05524B">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围脖</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280A1749">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0FFFCBBE">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6381F88">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r>
            <w:tr w14:paraId="08A227F0">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39EFA831">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32</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34ABD55A">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浴巾</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6ADD818C">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1883EAA8">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B9F7E63">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r>
            <w:tr w14:paraId="1A86287B">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0BD4BA63">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33</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4ED60BE6">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绑手带</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02694DCC">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12AEEDC2">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53830953">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r>
            <w:tr w14:paraId="4695866A">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332C7C9A">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34</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59732643">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小被套</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46094D5A">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6369CCF0">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8400F42">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1</w:t>
                  </w:r>
                </w:p>
              </w:tc>
            </w:tr>
            <w:tr w14:paraId="08F43113">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3D5D5D8E">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35</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7088514D">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小棉被</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333423A7">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2D6AFDCC">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7C4F2F71">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r>
            <w:tr w14:paraId="387230BA">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39AF0DA7">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36</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46E2C7F4">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沙发垫</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593B75DE">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55735435">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2AB5045D">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r>
            <w:tr w14:paraId="7D1F3592">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680915C3">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37</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2B532231">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护栏</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5CABBC76">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18AC3B29">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D3D3D4F">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r>
            <w:tr w14:paraId="0D27251C">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64EF94B8">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38</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19A1EC88">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马甲</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492519ED">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00782B35">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18D66A5F">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r>
            <w:tr w14:paraId="19512C0B">
              <w:tblPrEx>
                <w:tblCellMar>
                  <w:top w:w="0" w:type="dxa"/>
                  <w:left w:w="108" w:type="dxa"/>
                  <w:bottom w:w="0" w:type="dxa"/>
                  <w:right w:w="108" w:type="dxa"/>
                </w:tblCellMar>
              </w:tblPrEx>
              <w:trPr>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44AE55B1">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39</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2AB419B9">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隔离衣</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7F644032">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54BD04F9">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4B3810C">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2.6</w:t>
                  </w:r>
                </w:p>
              </w:tc>
            </w:tr>
            <w:tr w14:paraId="70CA158D">
              <w:tblPrEx>
                <w:tblCellMar>
                  <w:top w:w="0" w:type="dxa"/>
                  <w:left w:w="108" w:type="dxa"/>
                  <w:bottom w:w="0" w:type="dxa"/>
                  <w:right w:w="108" w:type="dxa"/>
                </w:tblCellMar>
              </w:tblPrEx>
              <w:trPr>
                <w:trHeight w:val="450" w:hRule="atLeast"/>
                <w:jc w:val="center"/>
              </w:trPr>
              <w:tc>
                <w:tcPr>
                  <w:tcW w:w="857" w:type="dxa"/>
                  <w:tcBorders>
                    <w:top w:val="single" w:color="000000" w:sz="4" w:space="0"/>
                    <w:left w:val="single" w:color="000000" w:sz="4" w:space="0"/>
                    <w:bottom w:val="single" w:color="000000" w:sz="4" w:space="0"/>
                    <w:right w:val="single" w:color="000000" w:sz="4" w:space="0"/>
                  </w:tcBorders>
                  <w:noWrap w:val="0"/>
                  <w:vAlign w:val="center"/>
                </w:tcPr>
                <w:p w14:paraId="77E18C48">
                  <w:pPr>
                    <w:spacing w:line="360" w:lineRule="auto"/>
                    <w:jc w:val="center"/>
                    <w:outlineLvl w:val="1"/>
                    <w:rPr>
                      <w:rFonts w:hint="eastAsia" w:ascii="宋体" w:hAnsi="宋体" w:cs="宋体"/>
                      <w:bCs/>
                      <w:color w:val="000000"/>
                      <w:sz w:val="20"/>
                      <w:szCs w:val="20"/>
                    </w:rPr>
                  </w:pPr>
                  <w:r>
                    <w:rPr>
                      <w:rFonts w:hint="eastAsia" w:ascii="宋体" w:hAnsi="宋体" w:cs="宋体"/>
                      <w:bCs/>
                      <w:color w:val="000000"/>
                      <w:sz w:val="20"/>
                      <w:szCs w:val="20"/>
                    </w:rPr>
                    <w:t>40</w:t>
                  </w:r>
                </w:p>
              </w:tc>
              <w:tc>
                <w:tcPr>
                  <w:tcW w:w="1979" w:type="dxa"/>
                  <w:tcBorders>
                    <w:top w:val="single" w:color="000000" w:sz="4" w:space="0"/>
                    <w:left w:val="single" w:color="000000" w:sz="4" w:space="0"/>
                    <w:bottom w:val="single" w:color="000000" w:sz="4" w:space="0"/>
                    <w:right w:val="single" w:color="000000" w:sz="4" w:space="0"/>
                  </w:tcBorders>
                  <w:noWrap w:val="0"/>
                  <w:vAlign w:val="center"/>
                </w:tcPr>
                <w:p w14:paraId="2F73579A">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包单</w:t>
                  </w:r>
                </w:p>
              </w:tc>
              <w:tc>
                <w:tcPr>
                  <w:tcW w:w="946" w:type="dxa"/>
                  <w:tcBorders>
                    <w:top w:val="single" w:color="000000" w:sz="4" w:space="0"/>
                    <w:left w:val="single" w:color="000000" w:sz="4" w:space="0"/>
                    <w:bottom w:val="single" w:color="000000" w:sz="4" w:space="0"/>
                    <w:right w:val="single" w:color="000000" w:sz="4" w:space="0"/>
                  </w:tcBorders>
                  <w:noWrap w:val="0"/>
                  <w:vAlign w:val="center"/>
                </w:tcPr>
                <w:p w14:paraId="0D24A2AE">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件</w:t>
                  </w:r>
                </w:p>
              </w:tc>
              <w:tc>
                <w:tcPr>
                  <w:tcW w:w="950" w:type="dxa"/>
                  <w:tcBorders>
                    <w:top w:val="single" w:color="000000" w:sz="4" w:space="0"/>
                    <w:left w:val="single" w:color="000000" w:sz="4" w:space="0"/>
                    <w:bottom w:val="single" w:color="000000" w:sz="4" w:space="0"/>
                    <w:right w:val="single" w:color="000000" w:sz="4" w:space="0"/>
                  </w:tcBorders>
                  <w:noWrap w:val="0"/>
                  <w:vAlign w:val="center"/>
                </w:tcPr>
                <w:p w14:paraId="42F74721">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09C7DF0">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1.5</w:t>
                  </w:r>
                </w:p>
              </w:tc>
            </w:tr>
            <w:tr w14:paraId="5C397712">
              <w:tblPrEx>
                <w:tblCellMar>
                  <w:top w:w="0" w:type="dxa"/>
                  <w:left w:w="108" w:type="dxa"/>
                  <w:bottom w:w="0" w:type="dxa"/>
                  <w:right w:w="108" w:type="dxa"/>
                </w:tblCellMar>
              </w:tblPrEx>
              <w:trPr>
                <w:jc w:val="center"/>
              </w:trPr>
              <w:tc>
                <w:tcPr>
                  <w:tcW w:w="4732" w:type="dxa"/>
                  <w:gridSpan w:val="4"/>
                  <w:tcBorders>
                    <w:top w:val="single" w:color="000000" w:sz="4" w:space="0"/>
                    <w:left w:val="single" w:color="000000" w:sz="4" w:space="0"/>
                    <w:bottom w:val="single" w:color="000000" w:sz="4" w:space="0"/>
                    <w:right w:val="single" w:color="000000" w:sz="4" w:space="0"/>
                  </w:tcBorders>
                  <w:noWrap w:val="0"/>
                  <w:vAlign w:val="center"/>
                </w:tcPr>
                <w:p w14:paraId="1EABE630">
                  <w:pPr>
                    <w:spacing w:line="360" w:lineRule="auto"/>
                    <w:jc w:val="center"/>
                    <w:outlineLvl w:val="1"/>
                    <w:rPr>
                      <w:rFonts w:ascii="宋体" w:hAnsi="宋体" w:cs="宋体"/>
                      <w:bCs/>
                      <w:color w:val="auto"/>
                      <w:sz w:val="20"/>
                      <w:szCs w:val="20"/>
                    </w:rPr>
                  </w:pPr>
                  <w:r>
                    <w:rPr>
                      <w:rFonts w:hint="eastAsia" w:ascii="宋体" w:hAnsi="宋体" w:cs="宋体"/>
                      <w:bCs/>
                      <w:color w:val="auto"/>
                      <w:sz w:val="20"/>
                      <w:szCs w:val="20"/>
                    </w:rPr>
                    <w:t>单价合计限价</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60BC269D">
                  <w:pPr>
                    <w:spacing w:line="360" w:lineRule="auto"/>
                    <w:jc w:val="center"/>
                    <w:outlineLvl w:val="1"/>
                    <w:rPr>
                      <w:rFonts w:hint="eastAsia" w:ascii="宋体" w:hAnsi="宋体" w:cs="宋体"/>
                      <w:bCs/>
                      <w:color w:val="auto"/>
                      <w:sz w:val="20"/>
                      <w:szCs w:val="20"/>
                    </w:rPr>
                  </w:pPr>
                  <w:r>
                    <w:rPr>
                      <w:rFonts w:hint="eastAsia" w:ascii="宋体" w:hAnsi="宋体" w:cs="宋体"/>
                      <w:bCs/>
                      <w:color w:val="auto"/>
                      <w:sz w:val="20"/>
                      <w:szCs w:val="20"/>
                    </w:rPr>
                    <w:t>89.4</w:t>
                  </w:r>
                </w:p>
              </w:tc>
            </w:tr>
          </w:tbl>
          <w:p w14:paraId="4ED1BF17">
            <w:pPr>
              <w:rPr>
                <w:rFonts w:hint="eastAsia" w:ascii="新宋体" w:hAnsi="新宋体" w:eastAsia="新宋体" w:cs="新宋体"/>
                <w:kern w:val="0"/>
                <w:sz w:val="24"/>
              </w:rPr>
            </w:pPr>
          </w:p>
        </w:tc>
      </w:tr>
    </w:tbl>
    <w:p w14:paraId="1D5ABABC">
      <w:pPr>
        <w:pStyle w:val="5"/>
        <w:outlineLvl w:val="2"/>
        <w:rPr>
          <w:rFonts w:ascii="宋体" w:hAnsi="宋体" w:cs="宋体"/>
        </w:rPr>
      </w:pPr>
      <w:r>
        <w:rPr>
          <w:rFonts w:ascii="宋体" w:hAnsi="宋体" w:cs="宋体"/>
          <w:b/>
          <w:sz w:val="28"/>
        </w:rPr>
        <w:t>3.2.3人员配置要求</w:t>
      </w:r>
    </w:p>
    <w:p w14:paraId="5F5427E7">
      <w:pPr>
        <w:pStyle w:val="5"/>
        <w:rPr>
          <w:rFonts w:ascii="宋体" w:hAnsi="宋体" w:cs="宋体"/>
        </w:rPr>
      </w:pPr>
      <w:r>
        <w:rPr>
          <w:rFonts w:ascii="宋体" w:hAnsi="宋体" w:cs="宋体"/>
        </w:rPr>
        <w:t>采购包1：</w:t>
      </w:r>
    </w:p>
    <w:p w14:paraId="6EE9C364">
      <w:pPr>
        <w:pStyle w:val="5"/>
        <w:outlineLvl w:val="2"/>
        <w:rPr>
          <w:rFonts w:ascii="宋体" w:hAnsi="宋体" w:cs="宋体"/>
        </w:rPr>
      </w:pPr>
      <w:r>
        <w:rPr>
          <w:rFonts w:ascii="宋体" w:hAnsi="宋体" w:cs="宋体"/>
        </w:rPr>
        <w:t>达到服务要求所必须的人员，详见服务要求。</w:t>
      </w:r>
    </w:p>
    <w:p w14:paraId="6550C369">
      <w:pPr>
        <w:pStyle w:val="5"/>
        <w:outlineLvl w:val="2"/>
        <w:rPr>
          <w:rFonts w:ascii="宋体" w:hAnsi="宋体" w:cs="宋体"/>
        </w:rPr>
      </w:pPr>
      <w:r>
        <w:rPr>
          <w:rFonts w:ascii="宋体" w:hAnsi="宋体" w:cs="宋体"/>
          <w:b/>
          <w:sz w:val="28"/>
        </w:rPr>
        <w:t>3.2.4设施设备要求</w:t>
      </w:r>
    </w:p>
    <w:p w14:paraId="0E8FF019">
      <w:pPr>
        <w:pStyle w:val="5"/>
        <w:rPr>
          <w:rFonts w:ascii="宋体" w:hAnsi="宋体" w:cs="宋体"/>
        </w:rPr>
      </w:pPr>
      <w:r>
        <w:rPr>
          <w:rFonts w:ascii="宋体" w:hAnsi="宋体" w:cs="宋体"/>
        </w:rPr>
        <w:t>采购包1：</w:t>
      </w:r>
    </w:p>
    <w:p w14:paraId="21C264D4">
      <w:pPr>
        <w:pStyle w:val="5"/>
        <w:rPr>
          <w:rFonts w:ascii="宋体" w:hAnsi="宋体" w:cs="宋体"/>
        </w:rPr>
      </w:pPr>
      <w:r>
        <w:rPr>
          <w:rFonts w:ascii="宋体" w:hAnsi="宋体" w:cs="宋体"/>
          <w:lang w:eastAsia="zh-CN"/>
        </w:rPr>
        <w:t>满足采购文件</w:t>
      </w:r>
      <w:r>
        <w:rPr>
          <w:rFonts w:ascii="宋体" w:hAnsi="宋体" w:cs="宋体"/>
        </w:rPr>
        <w:t>要求</w:t>
      </w:r>
    </w:p>
    <w:p w14:paraId="48CAFCA9">
      <w:pPr>
        <w:pStyle w:val="5"/>
        <w:outlineLvl w:val="2"/>
        <w:rPr>
          <w:rFonts w:ascii="宋体" w:hAnsi="宋体" w:cs="宋体"/>
        </w:rPr>
      </w:pPr>
      <w:r>
        <w:rPr>
          <w:rFonts w:ascii="宋体" w:hAnsi="宋体" w:cs="宋体"/>
          <w:b/>
          <w:sz w:val="28"/>
        </w:rPr>
        <w:t>3.2.5其他要求</w:t>
      </w:r>
    </w:p>
    <w:p w14:paraId="49173FCD">
      <w:pPr>
        <w:pStyle w:val="5"/>
        <w:rPr>
          <w:rFonts w:ascii="宋体" w:hAnsi="宋体" w:cs="宋体"/>
        </w:rPr>
      </w:pPr>
      <w:r>
        <w:rPr>
          <w:rFonts w:ascii="宋体" w:hAnsi="宋体" w:cs="宋体"/>
        </w:rPr>
        <w:t>采购包1：</w:t>
      </w:r>
    </w:p>
    <w:p w14:paraId="32F95BA1">
      <w:pPr>
        <w:pStyle w:val="5"/>
        <w:ind w:firstLine="400" w:firstLineChars="200"/>
        <w:rPr>
          <w:rFonts w:ascii="宋体" w:hAnsi="宋体" w:cs="宋体"/>
          <w:lang w:eastAsia="zh-CN"/>
        </w:rPr>
      </w:pPr>
      <w:r>
        <w:rPr>
          <w:rFonts w:ascii="宋体" w:hAnsi="宋体" w:cs="宋体"/>
          <w:lang w:eastAsia="zh-CN"/>
        </w:rPr>
        <w:t>无。</w:t>
      </w:r>
    </w:p>
    <w:p w14:paraId="14809BA0">
      <w:pPr>
        <w:pStyle w:val="5"/>
        <w:outlineLvl w:val="2"/>
        <w:rPr>
          <w:rFonts w:ascii="宋体" w:hAnsi="宋体" w:cs="宋体"/>
        </w:rPr>
      </w:pPr>
      <w:r>
        <w:rPr>
          <w:rFonts w:ascii="宋体" w:hAnsi="宋体" w:cs="宋体"/>
          <w:b/>
          <w:sz w:val="28"/>
        </w:rPr>
        <w:t>3.3商务要求</w:t>
      </w:r>
    </w:p>
    <w:p w14:paraId="19FA672A">
      <w:pPr>
        <w:pStyle w:val="5"/>
        <w:outlineLvl w:val="3"/>
        <w:rPr>
          <w:rFonts w:ascii="宋体" w:hAnsi="宋体" w:cs="宋体"/>
        </w:rPr>
      </w:pPr>
      <w:r>
        <w:rPr>
          <w:rFonts w:ascii="宋体" w:hAnsi="宋体" w:cs="宋体"/>
          <w:b/>
          <w:sz w:val="24"/>
        </w:rPr>
        <w:t>3.3.1服务期限</w:t>
      </w:r>
    </w:p>
    <w:p w14:paraId="65A62824">
      <w:pPr>
        <w:pStyle w:val="5"/>
        <w:rPr>
          <w:rFonts w:ascii="宋体" w:hAnsi="宋体" w:cs="宋体"/>
        </w:rPr>
      </w:pPr>
      <w:r>
        <w:rPr>
          <w:rFonts w:ascii="宋体" w:hAnsi="宋体" w:cs="宋体"/>
        </w:rPr>
        <w:t>采购包1：</w:t>
      </w:r>
    </w:p>
    <w:p w14:paraId="62E67AD6">
      <w:pPr>
        <w:pStyle w:val="5"/>
        <w:rPr>
          <w:rFonts w:ascii="宋体" w:hAnsi="宋体" w:cs="宋体"/>
          <w:highlight w:val="none"/>
        </w:rPr>
      </w:pPr>
      <w:r>
        <w:rPr>
          <w:rFonts w:ascii="宋体" w:hAnsi="宋体" w:cs="宋体"/>
          <w:lang w:eastAsia="zh-CN"/>
        </w:rPr>
        <w:t>服务期</w:t>
      </w:r>
      <w:r>
        <w:rPr>
          <w:rFonts w:hint="eastAsia" w:ascii="宋体" w:hAnsi="宋体" w:cs="宋体"/>
          <w:lang w:eastAsia="zh-CN"/>
        </w:rPr>
        <w:t>：</w:t>
      </w:r>
      <w:r>
        <w:rPr>
          <w:rFonts w:ascii="宋体" w:hAnsi="宋体" w:cs="宋体"/>
          <w:lang w:eastAsia="zh-CN"/>
        </w:rPr>
        <w:t>1年</w:t>
      </w:r>
    </w:p>
    <w:p w14:paraId="2FC1643D">
      <w:pPr>
        <w:pStyle w:val="5"/>
        <w:outlineLvl w:val="3"/>
        <w:rPr>
          <w:rFonts w:ascii="宋体" w:hAnsi="宋体" w:cs="宋体"/>
        </w:rPr>
      </w:pPr>
      <w:r>
        <w:rPr>
          <w:rFonts w:ascii="宋体" w:hAnsi="宋体" w:cs="宋体"/>
          <w:b/>
          <w:sz w:val="24"/>
        </w:rPr>
        <w:t>3.3.2服务地点</w:t>
      </w:r>
    </w:p>
    <w:p w14:paraId="0FB1E7CE">
      <w:pPr>
        <w:pStyle w:val="5"/>
        <w:rPr>
          <w:rFonts w:ascii="宋体" w:hAnsi="宋体" w:cs="宋体"/>
        </w:rPr>
      </w:pPr>
      <w:r>
        <w:rPr>
          <w:rFonts w:ascii="宋体" w:hAnsi="宋体" w:cs="宋体"/>
        </w:rPr>
        <w:t>采购包1：</w:t>
      </w:r>
    </w:p>
    <w:p w14:paraId="3957DF99">
      <w:pPr>
        <w:pStyle w:val="5"/>
        <w:rPr>
          <w:rFonts w:ascii="宋体" w:hAnsi="宋体" w:cs="宋体"/>
        </w:rPr>
      </w:pPr>
      <w:r>
        <w:rPr>
          <w:rFonts w:ascii="宋体" w:hAnsi="宋体" w:cs="宋体"/>
        </w:rPr>
        <w:t>西安市</w:t>
      </w:r>
      <w:r>
        <w:rPr>
          <w:rFonts w:ascii="宋体" w:hAnsi="宋体" w:cs="宋体"/>
          <w:lang w:eastAsia="zh-CN"/>
        </w:rPr>
        <w:t>儿童医院</w:t>
      </w:r>
    </w:p>
    <w:p w14:paraId="0DAE4A5D">
      <w:pPr>
        <w:pStyle w:val="5"/>
        <w:outlineLvl w:val="3"/>
        <w:rPr>
          <w:rFonts w:ascii="宋体" w:hAnsi="宋体" w:cs="宋体"/>
        </w:rPr>
      </w:pPr>
      <w:r>
        <w:rPr>
          <w:rFonts w:ascii="宋体" w:hAnsi="宋体" w:cs="宋体"/>
          <w:b/>
          <w:sz w:val="24"/>
        </w:rPr>
        <w:t>3.3.3考核（验收）标准和方法</w:t>
      </w:r>
    </w:p>
    <w:p w14:paraId="5F47A0FB">
      <w:pPr>
        <w:pStyle w:val="5"/>
        <w:rPr>
          <w:rFonts w:ascii="宋体" w:hAnsi="宋体" w:cs="宋体"/>
        </w:rPr>
      </w:pPr>
      <w:r>
        <w:rPr>
          <w:rFonts w:ascii="宋体" w:hAnsi="宋体" w:cs="宋体"/>
        </w:rPr>
        <w:t>采购包1：</w:t>
      </w:r>
    </w:p>
    <w:p w14:paraId="5F3F4F53">
      <w:pPr>
        <w:spacing w:before="84"/>
        <w:rPr>
          <w:rFonts w:hint="eastAsia" w:ascii="宋体" w:hAnsi="宋体" w:cs="宋体"/>
        </w:rPr>
      </w:pPr>
      <w:r>
        <w:rPr>
          <w:rFonts w:hint="eastAsia" w:ascii="宋体" w:hAnsi="宋体" w:cs="宋体"/>
        </w:rPr>
        <w:t>1）甲乙双方负责人共同对乙方送还甲方的洗涤成品进行检查。</w:t>
      </w:r>
    </w:p>
    <w:p w14:paraId="66F32EB8">
      <w:pPr>
        <w:spacing w:before="84"/>
        <w:rPr>
          <w:rFonts w:hint="eastAsia" w:ascii="宋体" w:hAnsi="宋体" w:cs="宋体"/>
        </w:rPr>
      </w:pPr>
      <w:r>
        <w:rPr>
          <w:rFonts w:hint="eastAsia" w:ascii="宋体" w:hAnsi="宋体" w:cs="宋体"/>
        </w:rPr>
        <w:t>2）检查内容为医疗织物类别数量与质量要点。</w:t>
      </w:r>
    </w:p>
    <w:p w14:paraId="37653A46">
      <w:pPr>
        <w:spacing w:before="84"/>
        <w:rPr>
          <w:rFonts w:hint="eastAsia" w:ascii="宋体" w:hAnsi="宋体" w:cs="宋体"/>
        </w:rPr>
      </w:pPr>
      <w:r>
        <w:rPr>
          <w:rFonts w:hint="eastAsia" w:ascii="宋体" w:hAnsi="宋体" w:cs="宋体"/>
        </w:rPr>
        <w:t xml:space="preserve">3）乙方送还洗净的医用织物时，由甲方派人按双方约定的验收及质量标准进行检查。验收完毕，双方责任人共同在验收交接单上签字确认。以验收单注明的类别及数目作为结算依据。 </w:t>
      </w:r>
    </w:p>
    <w:p w14:paraId="53D3315D">
      <w:pPr>
        <w:pStyle w:val="5"/>
        <w:outlineLvl w:val="3"/>
        <w:rPr>
          <w:rFonts w:ascii="宋体" w:hAnsi="宋体" w:cs="宋体"/>
        </w:rPr>
      </w:pPr>
      <w:r>
        <w:rPr>
          <w:rFonts w:ascii="宋体" w:hAnsi="宋体" w:cs="宋体"/>
          <w:b/>
          <w:sz w:val="24"/>
        </w:rPr>
        <w:t>3.3.4支付方式</w:t>
      </w:r>
    </w:p>
    <w:p w14:paraId="3BFD101F">
      <w:pPr>
        <w:pStyle w:val="5"/>
        <w:rPr>
          <w:rFonts w:hint="default" w:ascii="宋体" w:hAnsi="宋体" w:eastAsia="宋体" w:cs="宋体"/>
          <w:lang w:val="en-US" w:eastAsia="zh-CN"/>
        </w:rPr>
      </w:pPr>
      <w:r>
        <w:rPr>
          <w:rFonts w:ascii="宋体" w:hAnsi="宋体" w:cs="宋体"/>
        </w:rPr>
        <w:t>采购包1：按</w:t>
      </w:r>
      <w:r>
        <w:rPr>
          <w:rFonts w:ascii="宋体" w:hAnsi="宋体" w:cs="宋体"/>
          <w:lang w:eastAsia="zh-CN"/>
        </w:rPr>
        <w:t>月</w:t>
      </w:r>
      <w:r>
        <w:rPr>
          <w:rFonts w:hint="eastAsia" w:ascii="宋体" w:hAnsi="宋体" w:cs="宋体"/>
          <w:lang w:val="en-US" w:eastAsia="zh-CN"/>
        </w:rPr>
        <w:t>核</w:t>
      </w:r>
      <w:r>
        <w:rPr>
          <w:rFonts w:ascii="宋体" w:hAnsi="宋体" w:cs="宋体"/>
        </w:rPr>
        <w:t>算</w:t>
      </w:r>
      <w:r>
        <w:rPr>
          <w:rFonts w:hint="eastAsia" w:ascii="宋体" w:hAnsi="宋体" w:cs="宋体"/>
          <w:lang w:eastAsia="zh-CN"/>
        </w:rPr>
        <w:t>、</w:t>
      </w:r>
      <w:r>
        <w:rPr>
          <w:rFonts w:hint="eastAsia" w:ascii="宋体" w:hAnsi="宋体" w:cs="宋体"/>
          <w:lang w:val="en-US" w:eastAsia="zh-CN"/>
        </w:rPr>
        <w:t>季度支付</w:t>
      </w:r>
    </w:p>
    <w:p w14:paraId="0EA56AEE">
      <w:pPr>
        <w:pStyle w:val="5"/>
        <w:outlineLvl w:val="3"/>
        <w:rPr>
          <w:rFonts w:ascii="宋体" w:hAnsi="宋体" w:cs="宋体"/>
        </w:rPr>
      </w:pPr>
      <w:r>
        <w:rPr>
          <w:rFonts w:ascii="宋体" w:hAnsi="宋体" w:cs="宋体"/>
          <w:b/>
          <w:sz w:val="24"/>
        </w:rPr>
        <w:t>3.3.5支付约定</w:t>
      </w:r>
    </w:p>
    <w:p w14:paraId="71044672">
      <w:pPr>
        <w:pStyle w:val="5"/>
        <w:ind w:firstLine="400" w:firstLineChars="200"/>
        <w:rPr>
          <w:rFonts w:ascii="宋体" w:hAnsi="宋体" w:cs="宋体"/>
          <w:lang w:eastAsia="zh-CN"/>
        </w:rPr>
      </w:pPr>
      <w:r>
        <w:rPr>
          <w:rFonts w:ascii="宋体" w:hAnsi="宋体" w:cs="宋体"/>
          <w:lang w:eastAsia="zh-CN"/>
        </w:rPr>
        <w:t>采购包1： 每月根据洗涤实际品种数量，依照前述各品种单价，经考核达标后，结合实际数量据实</w:t>
      </w:r>
      <w:r>
        <w:rPr>
          <w:rFonts w:hint="eastAsia" w:ascii="宋体" w:hAnsi="宋体" w:cs="宋体"/>
          <w:lang w:val="en-US" w:eastAsia="zh-CN"/>
        </w:rPr>
        <w:t>核</w:t>
      </w:r>
      <w:r>
        <w:rPr>
          <w:rFonts w:ascii="宋体" w:hAnsi="宋体" w:cs="宋体"/>
          <w:lang w:eastAsia="zh-CN"/>
        </w:rPr>
        <w:t>算，按季度付款。供应商每季度结束后，次月的5日前将上一季度洗涤服务《医用织物洗涤对账报表》及发票开给甲方，甲方在收票当月15日前付清上季度款项。如合同期限未到期时，供应商提供的服务总价大于140万</w:t>
      </w:r>
      <w:r>
        <w:rPr>
          <w:rFonts w:hint="eastAsia" w:ascii="宋体" w:hAnsi="宋体" w:cs="宋体"/>
          <w:lang w:val="en-US" w:eastAsia="zh-CN"/>
        </w:rPr>
        <w:t>元</w:t>
      </w:r>
      <w:r>
        <w:rPr>
          <w:rFonts w:ascii="宋体" w:hAnsi="宋体" w:cs="宋体"/>
          <w:lang w:eastAsia="zh-CN"/>
        </w:rPr>
        <w:t>，本合同终止。</w:t>
      </w:r>
    </w:p>
    <w:p w14:paraId="575419FE">
      <w:pPr>
        <w:pStyle w:val="5"/>
        <w:ind w:firstLine="400" w:firstLineChars="200"/>
        <w:rPr>
          <w:rFonts w:ascii="宋体" w:hAnsi="宋体" w:cs="宋体"/>
          <w:lang w:eastAsia="zh-CN"/>
        </w:rPr>
      </w:pPr>
      <w:r>
        <w:rPr>
          <w:rFonts w:ascii="宋体" w:hAnsi="宋体" w:cs="宋体"/>
          <w:lang w:eastAsia="zh-CN"/>
        </w:rPr>
        <w:t>支付方式：银行转账</w:t>
      </w:r>
    </w:p>
    <w:p w14:paraId="46C387F5">
      <w:pPr>
        <w:pStyle w:val="5"/>
        <w:ind w:firstLine="400" w:firstLineChars="200"/>
        <w:rPr>
          <w:rFonts w:ascii="宋体" w:hAnsi="宋体" w:cs="宋体"/>
          <w:lang w:eastAsia="zh-CN"/>
        </w:rPr>
      </w:pPr>
      <w:r>
        <w:rPr>
          <w:rFonts w:ascii="宋体" w:hAnsi="宋体" w:cs="宋体"/>
          <w:lang w:eastAsia="zh-CN"/>
        </w:rPr>
        <w:t>结算方式：发票按季度开具，乙方持合同、发票与甲方进行结算。</w:t>
      </w:r>
    </w:p>
    <w:p w14:paraId="2B2803F0">
      <w:pPr>
        <w:pStyle w:val="5"/>
        <w:outlineLvl w:val="3"/>
        <w:rPr>
          <w:rFonts w:ascii="宋体" w:hAnsi="宋体" w:cs="宋体"/>
        </w:rPr>
      </w:pPr>
      <w:r>
        <w:rPr>
          <w:rFonts w:ascii="宋体" w:hAnsi="宋体" w:cs="宋体"/>
          <w:b/>
          <w:sz w:val="24"/>
        </w:rPr>
        <w:t>3.3.6违约责任及解决争议的方法</w:t>
      </w:r>
    </w:p>
    <w:p w14:paraId="58345A97">
      <w:pPr>
        <w:pStyle w:val="5"/>
        <w:rPr>
          <w:rFonts w:ascii="宋体" w:hAnsi="宋体" w:cs="宋体"/>
        </w:rPr>
      </w:pPr>
      <w:r>
        <w:rPr>
          <w:rFonts w:ascii="宋体" w:hAnsi="宋体" w:cs="宋体"/>
        </w:rPr>
        <w:t>采购包1：</w:t>
      </w:r>
    </w:p>
    <w:p w14:paraId="13EC9C31">
      <w:pPr>
        <w:pStyle w:val="5"/>
        <w:ind w:firstLine="400" w:firstLineChars="200"/>
        <w:rPr>
          <w:rFonts w:ascii="宋体" w:hAnsi="宋体" w:cs="宋体"/>
        </w:rPr>
      </w:pPr>
      <w:r>
        <w:rPr>
          <w:rFonts w:ascii="宋体" w:hAnsi="宋体" w:cs="宋体"/>
          <w:lang w:eastAsia="zh-CN"/>
        </w:rPr>
        <w:t>双方在执行合同中所发生的一切争议，应通过协商解决。如协商不成，可向甲方所在地人民法院起诉。</w:t>
      </w:r>
    </w:p>
    <w:p w14:paraId="38CA5CAE">
      <w:pPr>
        <w:pStyle w:val="5"/>
        <w:outlineLvl w:val="2"/>
        <w:rPr>
          <w:rFonts w:ascii="宋体" w:hAnsi="宋体" w:cs="宋体"/>
        </w:rPr>
      </w:pPr>
      <w:r>
        <w:rPr>
          <w:rFonts w:ascii="宋体" w:hAnsi="宋体" w:cs="宋体"/>
          <w:b/>
          <w:sz w:val="28"/>
        </w:rPr>
        <w:t>3.4其他要求</w:t>
      </w:r>
    </w:p>
    <w:p w14:paraId="09684362">
      <w:r>
        <w:t>1.各供应商应根据“陕西省财政厅 陕财办采函[2023]14号文”陕西省财政厅关于省级预算单位全面推行政府采购项目电子化交易的通知”、《政府采购项目电子化交易规则》等文件的要求，做好人员配备、设施设备、系统操作的相应准备，熟悉并正确实施相关操作流程，承担由于操作或其他因素造成的不利后果；2.供应商需要在线提交所有通过电子化交易平台实施的政府采购项目的响应文件，同时，线下提交纸质响应文件正本壹份、副本贰份、电子版壹份（U盘壹份），纸质响文件应与电子化交易平台提交的电子响应文件一致，若电子响应文件与纸质响应文件不一致的，以电子响应文件为准。纸质响应文件正副本须分袋密封，电子版响应文件一份（U盘）密封在响应文件正本封袋中递交；3.线下纸质文件递交截止时间：同在线递交电子响应文件截止时间一致；线下纸质文件递交地点：西安市航天基地雁塔南路391号正衡金融广场A座18楼会议室。4.供应商参与投标时</w:t>
      </w:r>
      <w:r>
        <w:rPr>
          <w:lang w:eastAsia="zh-CN"/>
        </w:rPr>
        <w:t>可</w:t>
      </w:r>
      <w:r>
        <w:t>携带笔记本电脑。</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D14B7A"/>
    <w:rsid w:val="597E1E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1"/>
    <w:pPr>
      <w:ind w:left="490"/>
    </w:pPr>
    <w:rPr>
      <w:rFonts w:ascii="宋体" w:hAnsi="宋体" w:eastAsia="宋体" w:cs="宋体"/>
      <w:sz w:val="19"/>
      <w:szCs w:val="19"/>
    </w:rPr>
  </w:style>
  <w:style w:type="paragraph" w:customStyle="1" w:styleId="5">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3695</Words>
  <Characters>4004</Characters>
  <Lines>0</Lines>
  <Paragraphs>0</Paragraphs>
  <TotalTime>0</TotalTime>
  <ScaleCrop>false</ScaleCrop>
  <LinksUpToDate>false</LinksUpToDate>
  <CharactersWithSpaces>4040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2026-07-01T02:39:00Z</dcterms:created>
  <dc:creator>wjj</dc:creator>
  <cp:lastModifiedBy>wjj</cp:lastModifiedBy>
  <dcterms:modified xsi:type="dcterms:W3CDTF">2026-07-02T08:27:40Z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eyJoZGlkIjoiMzEwNTM5NzYwMDRjMzkwZTVkZjY2ODkwMGIxNGU0OTUiLCJ1c2VySWQiOiIxMDg5Nzk1MjM1In0=</vt:lpwstr>
  </property>
  <property fmtid="{D5CDD505-2E9C-101B-9397-08002B2CF9AE}" pid="4" name="ICV">
    <vt:lpwstr>843C0F9F267F4EAFB7AF6FFFD31C456E_12</vt:lpwstr>
  </property>
</Properties>
</file>