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E777E">
      <w:pPr>
        <w:jc w:val="center"/>
        <w:rPr>
          <w:rFonts w:hint="eastAsia" w:ascii="华文中宋" w:hAnsi="华文中宋" w:eastAsia="华文中宋"/>
          <w:b/>
          <w:bCs/>
          <w:color w:val="000000"/>
          <w:kern w:val="0"/>
          <w:sz w:val="48"/>
          <w:szCs w:val="48"/>
          <w:lang w:eastAsia="zh-CN"/>
        </w:rPr>
      </w:pPr>
    </w:p>
    <w:p w14:paraId="44EDC691">
      <w:pPr>
        <w:pStyle w:val="13"/>
        <w:rPr>
          <w:rFonts w:hint="eastAsia" w:ascii="华文中宋" w:hAnsi="华文中宋" w:eastAsia="华文中宋"/>
          <w:b/>
          <w:bCs/>
          <w:color w:val="000000"/>
          <w:kern w:val="0"/>
          <w:sz w:val="48"/>
          <w:szCs w:val="48"/>
          <w:lang w:eastAsia="zh-CN"/>
        </w:rPr>
      </w:pPr>
    </w:p>
    <w:p w14:paraId="23AE4C05">
      <w:pPr>
        <w:jc w:val="center"/>
        <w:rPr>
          <w:rFonts w:hint="eastAsia" w:ascii="华文中宋" w:hAnsi="华文中宋" w:eastAsia="华文中宋"/>
          <w:b/>
          <w:bCs/>
          <w:color w:val="000000"/>
          <w:kern w:val="0"/>
          <w:sz w:val="36"/>
          <w:szCs w:val="36"/>
          <w:lang w:val="en-US" w:eastAsia="zh-CN"/>
        </w:rPr>
      </w:pPr>
      <w:r>
        <w:rPr>
          <w:rFonts w:hint="eastAsia" w:ascii="华文中宋" w:hAnsi="华文中宋" w:eastAsia="华文中宋"/>
          <w:b/>
          <w:bCs/>
          <w:color w:val="000000"/>
          <w:kern w:val="0"/>
          <w:sz w:val="36"/>
          <w:szCs w:val="36"/>
          <w:lang w:val="en-US" w:eastAsia="zh-CN"/>
        </w:rPr>
        <w:t>12309检察服务热线全省“一号通办”建设项目</w:t>
      </w:r>
    </w:p>
    <w:p w14:paraId="65C13CC3">
      <w:pPr>
        <w:pStyle w:val="14"/>
        <w:rPr>
          <w:rFonts w:hint="eastAsia"/>
          <w:lang w:eastAsia="zh-CN"/>
        </w:rPr>
      </w:pPr>
    </w:p>
    <w:p w14:paraId="5C47E656">
      <w:pPr>
        <w:rPr>
          <w:rFonts w:hint="eastAsia"/>
          <w:lang w:eastAsia="zh-CN"/>
        </w:rPr>
      </w:pPr>
    </w:p>
    <w:p w14:paraId="6AA8E2DF">
      <w:pPr>
        <w:rPr>
          <w:rFonts w:hint="eastAsia"/>
          <w:lang w:eastAsia="zh-CN"/>
        </w:rPr>
      </w:pPr>
    </w:p>
    <w:p w14:paraId="1969123D">
      <w:pPr>
        <w:pStyle w:val="3"/>
        <w:rPr>
          <w:rFonts w:hint="eastAsia"/>
          <w:lang w:eastAsia="zh-CN"/>
        </w:rPr>
      </w:pPr>
    </w:p>
    <w:p w14:paraId="370E8A75">
      <w:pPr>
        <w:jc w:val="center"/>
        <w:rPr>
          <w:rFonts w:hint="default" w:ascii="华文中宋" w:hAnsi="华文中宋" w:eastAsia="华文中宋" w:cs="Times New Roman"/>
          <w:b/>
          <w:bCs/>
          <w:color w:val="000000"/>
          <w:kern w:val="0"/>
          <w:sz w:val="72"/>
          <w:szCs w:val="72"/>
          <w:lang w:val="en-US" w:eastAsia="zh-CN"/>
        </w:rPr>
      </w:pPr>
      <w:r>
        <w:rPr>
          <w:rFonts w:hint="eastAsia" w:ascii="华文中宋" w:hAnsi="华文中宋" w:eastAsia="华文中宋" w:cs="Times New Roman"/>
          <w:b/>
          <w:bCs/>
          <w:color w:val="000000"/>
          <w:kern w:val="0"/>
          <w:sz w:val="72"/>
          <w:szCs w:val="72"/>
          <w:lang w:val="en-US" w:eastAsia="zh-CN"/>
        </w:rPr>
        <w:t>合 同 书</w:t>
      </w:r>
    </w:p>
    <w:p w14:paraId="1A946F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Times New Roman"/>
          <w:color w:val="000000"/>
          <w:kern w:val="0"/>
          <w:sz w:val="52"/>
          <w:szCs w:val="52"/>
        </w:rPr>
      </w:pPr>
    </w:p>
    <w:p w14:paraId="6DAE1147">
      <w:pPr>
        <w:pStyle w:val="14"/>
        <w:rPr>
          <w:rFonts w:hint="eastAsia" w:ascii="华文中宋" w:hAnsi="华文中宋" w:eastAsia="华文中宋" w:cs="Times New Roman"/>
          <w:color w:val="000000"/>
          <w:kern w:val="0"/>
          <w:sz w:val="52"/>
          <w:szCs w:val="52"/>
        </w:rPr>
      </w:pPr>
    </w:p>
    <w:p w14:paraId="563557A4">
      <w:pPr>
        <w:rPr>
          <w:rFonts w:hint="eastAsia" w:ascii="华文中宋" w:hAnsi="华文中宋" w:eastAsia="华文中宋" w:cs="Times New Roman"/>
          <w:color w:val="000000"/>
          <w:kern w:val="0"/>
          <w:sz w:val="52"/>
          <w:szCs w:val="52"/>
        </w:rPr>
      </w:pPr>
    </w:p>
    <w:p w14:paraId="048B8B10">
      <w:pPr>
        <w:rPr>
          <w:rFonts w:hint="eastAsia" w:ascii="华文中宋" w:hAnsi="华文中宋" w:eastAsia="华文中宋" w:cs="Times New Roman"/>
          <w:color w:val="000000"/>
          <w:kern w:val="0"/>
          <w:sz w:val="52"/>
          <w:szCs w:val="52"/>
        </w:rPr>
      </w:pPr>
    </w:p>
    <w:p w14:paraId="5A6E3EA7">
      <w:pPr>
        <w:spacing w:line="660" w:lineRule="exact"/>
        <w:ind w:firstLine="1760" w:firstLineChars="550"/>
        <w:rPr>
          <w:rFonts w:hint="default"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项目编号：SNJZ-2026-123</w:t>
      </w:r>
    </w:p>
    <w:p w14:paraId="5231DA67">
      <w:pPr>
        <w:spacing w:line="660" w:lineRule="exact"/>
        <w:ind w:firstLine="1760" w:firstLineChars="550"/>
        <w:rPr>
          <w:rFonts w:hint="eastAsia" w:ascii="华文中宋" w:hAnsi="华文中宋" w:eastAsia="华文中宋"/>
          <w:color w:val="000000"/>
          <w:kern w:val="0"/>
          <w:sz w:val="32"/>
          <w:szCs w:val="32"/>
          <w:lang w:val="en-US" w:eastAsia="zh-CN"/>
        </w:rPr>
      </w:pPr>
      <w:r>
        <w:rPr>
          <w:rFonts w:hint="eastAsia" w:ascii="华文中宋" w:hAnsi="华文中宋" w:eastAsia="华文中宋"/>
          <w:color w:val="000000"/>
          <w:kern w:val="0"/>
          <w:sz w:val="32"/>
          <w:szCs w:val="32"/>
        </w:rPr>
        <w:t>甲    方：</w:t>
      </w:r>
      <w:r>
        <w:rPr>
          <w:rFonts w:hint="eastAsia" w:ascii="华文中宋" w:hAnsi="华文中宋" w:eastAsia="华文中宋"/>
          <w:color w:val="000000"/>
          <w:kern w:val="0"/>
          <w:sz w:val="32"/>
          <w:szCs w:val="32"/>
          <w:lang w:eastAsia="zh-CN"/>
        </w:rPr>
        <w:t>陕西省</w:t>
      </w:r>
      <w:r>
        <w:rPr>
          <w:rFonts w:hint="eastAsia" w:ascii="华文中宋" w:hAnsi="华文中宋" w:eastAsia="华文中宋"/>
          <w:color w:val="000000"/>
          <w:kern w:val="0"/>
          <w:sz w:val="32"/>
          <w:szCs w:val="32"/>
          <w:lang w:val="en-US" w:eastAsia="zh-CN"/>
        </w:rPr>
        <w:t>人民检察院</w:t>
      </w:r>
    </w:p>
    <w:p w14:paraId="12009406">
      <w:pPr>
        <w:spacing w:line="660" w:lineRule="exact"/>
        <w:ind w:firstLine="1760" w:firstLineChars="550"/>
        <w:rPr>
          <w:rFonts w:hint="eastAsia" w:ascii="华文中宋" w:hAnsi="华文中宋" w:eastAsia="华文中宋" w:cs="Times New Roman"/>
          <w:color w:val="000000"/>
          <w:kern w:val="0"/>
          <w:sz w:val="32"/>
          <w:szCs w:val="32"/>
          <w:lang w:eastAsia="zh-CN"/>
        </w:rPr>
      </w:pPr>
      <w:r>
        <w:rPr>
          <w:rFonts w:hint="eastAsia" w:ascii="华文中宋" w:hAnsi="华文中宋" w:eastAsia="华文中宋" w:cs="Times New Roman"/>
          <w:color w:val="000000"/>
          <w:kern w:val="0"/>
          <w:sz w:val="32"/>
          <w:szCs w:val="32"/>
          <w:lang w:eastAsia="zh-CN"/>
        </w:rPr>
        <w:t>乙    方：</w:t>
      </w:r>
    </w:p>
    <w:p w14:paraId="369ECF03">
      <w:pPr>
        <w:spacing w:line="660" w:lineRule="exact"/>
        <w:ind w:firstLine="1760" w:firstLineChars="550"/>
        <w:rPr>
          <w:rFonts w:hint="eastAsia"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签定地点：陕西·西安</w:t>
      </w:r>
    </w:p>
    <w:p w14:paraId="1799871A">
      <w:pPr>
        <w:spacing w:line="660" w:lineRule="exact"/>
        <w:ind w:firstLine="1760" w:firstLineChars="550"/>
        <w:rPr>
          <w:rFonts w:hint="default"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签订时间：    年    月</w:t>
      </w:r>
    </w:p>
    <w:p w14:paraId="4F8D7818">
      <w:pPr>
        <w:spacing w:line="440" w:lineRule="exact"/>
        <w:jc w:val="center"/>
        <w:rPr>
          <w:rFonts w:hint="eastAsia" w:asciiTheme="minorEastAsia" w:hAnsiTheme="minorEastAsia" w:eastAsiaTheme="minorEastAsia" w:cstheme="minorEastAsia"/>
          <w:b/>
          <w:color w:val="auto"/>
          <w:sz w:val="32"/>
          <w:szCs w:val="32"/>
          <w:highlight w:val="none"/>
        </w:rPr>
      </w:pPr>
    </w:p>
    <w:p w14:paraId="2892ACC8">
      <w:pPr>
        <w:pStyle w:val="12"/>
        <w:spacing w:line="338" w:lineRule="auto"/>
        <w:rPr>
          <w:rFonts w:ascii="仿宋" w:hAnsi="仿宋" w:eastAsia="仿宋"/>
          <w:sz w:val="24"/>
          <w:szCs w:val="24"/>
        </w:rPr>
      </w:pPr>
    </w:p>
    <w:p w14:paraId="1B35C0B1">
      <w:pPr>
        <w:spacing w:before="374" w:after="374" w:line="440" w:lineRule="exact"/>
        <w:jc w:val="center"/>
        <w:rPr>
          <w:rFonts w:ascii="仿宋" w:hAnsi="仿宋" w:eastAsia="仿宋"/>
          <w:b/>
          <w:bCs/>
          <w:color w:val="000000" w:themeColor="text1"/>
          <w:sz w:val="36"/>
          <w:szCs w:val="36"/>
          <w14:textFill>
            <w14:solidFill>
              <w14:schemeClr w14:val="tx1"/>
            </w14:solidFill>
          </w14:textFill>
        </w:rPr>
      </w:pPr>
      <w:r>
        <w:rPr>
          <w:rFonts w:hint="eastAsia" w:ascii="仿宋" w:hAnsi="仿宋" w:eastAsia="仿宋"/>
          <w:b/>
          <w:bCs/>
          <w:color w:val="000000" w:themeColor="text1"/>
          <w:sz w:val="36"/>
          <w:szCs w:val="36"/>
          <w14:textFill>
            <w14:solidFill>
              <w14:schemeClr w14:val="tx1"/>
            </w14:solidFill>
          </w14:textFill>
        </w:rPr>
        <w:t>合  同</w:t>
      </w:r>
    </w:p>
    <w:p w14:paraId="2B82F8C6">
      <w:pPr>
        <w:pStyle w:val="12"/>
        <w:spacing w:line="338" w:lineRule="auto"/>
        <w:rPr>
          <w:rFonts w:ascii="仿宋" w:hAnsi="仿宋" w:eastAsia="仿宋"/>
          <w:sz w:val="24"/>
          <w:szCs w:val="24"/>
        </w:rPr>
      </w:pPr>
    </w:p>
    <w:p w14:paraId="0C3E45A4">
      <w:pPr>
        <w:pStyle w:val="12"/>
        <w:spacing w:line="338"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rPr>
        <w:t>甲方:</w:t>
      </w:r>
      <w:r>
        <w:rPr>
          <w:rFonts w:hint="eastAsia" w:ascii="宋体" w:hAnsi="宋体" w:eastAsia="宋体" w:cs="宋体"/>
          <w:b/>
          <w:bCs/>
          <w:sz w:val="24"/>
          <w:szCs w:val="24"/>
          <w:lang w:val="en-US" w:eastAsia="zh-CN"/>
        </w:rPr>
        <w:t>陕西省人民检察院</w:t>
      </w:r>
    </w:p>
    <w:p w14:paraId="5BE2DAF0">
      <w:pPr>
        <w:pStyle w:val="12"/>
        <w:spacing w:line="338"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乙方:</w:t>
      </w:r>
    </w:p>
    <w:p w14:paraId="278C7521">
      <w:pPr>
        <w:pStyle w:val="12"/>
        <w:spacing w:line="360" w:lineRule="auto"/>
        <w:ind w:firstLine="560"/>
        <w:jc w:val="both"/>
        <w:rPr>
          <w:rFonts w:hint="eastAsia" w:ascii="宋体" w:hAnsi="宋体" w:eastAsia="宋体" w:cs="宋体"/>
          <w:sz w:val="24"/>
          <w:szCs w:val="24"/>
        </w:rPr>
      </w:pPr>
      <w:r>
        <w:rPr>
          <w:rFonts w:hint="eastAsia" w:ascii="宋体" w:hAnsi="宋体" w:eastAsia="宋体" w:cs="宋体"/>
          <w:sz w:val="24"/>
          <w:szCs w:val="24"/>
          <w:lang w:val="en-US" w:eastAsia="zh-CN"/>
        </w:rPr>
        <w:t>根</w:t>
      </w:r>
      <w:r>
        <w:rPr>
          <w:rFonts w:hint="eastAsia" w:ascii="宋体" w:hAnsi="宋体" w:eastAsia="宋体" w:cs="宋体"/>
          <w:sz w:val="24"/>
          <w:szCs w:val="24"/>
        </w:rPr>
        <w:t>据《中华人民共和国民法典》</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中华人民共和国政府采购法》及相关法律、法规之</w:t>
      </w:r>
      <w:r>
        <w:rPr>
          <w:rFonts w:hint="eastAsia" w:ascii="宋体" w:hAnsi="宋体" w:eastAsia="宋体" w:cs="宋体"/>
          <w:sz w:val="24"/>
          <w:szCs w:val="24"/>
        </w:rPr>
        <w:t>规定，本着平等自愿、友好合作的基本原则，甲、乙双方经友好协商，就甲方委托乙方负责</w:t>
      </w:r>
      <w:r>
        <w:rPr>
          <w:rFonts w:hint="eastAsia" w:ascii="宋体" w:hAnsi="宋体" w:eastAsia="宋体" w:cs="宋体"/>
          <w:color w:val="0000FF"/>
          <w:sz w:val="24"/>
          <w:szCs w:val="24"/>
          <w:u w:val="single"/>
          <w:lang w:val="en-US" w:eastAsia="zh-CN"/>
        </w:rPr>
        <w:t>12309检察服务热线全省“一号通办”建设项目</w:t>
      </w:r>
      <w:r>
        <w:rPr>
          <w:rFonts w:hint="eastAsia" w:ascii="宋体" w:hAnsi="宋体" w:eastAsia="宋体" w:cs="宋体"/>
          <w:sz w:val="24"/>
          <w:szCs w:val="24"/>
        </w:rPr>
        <w:t>事宜达成一致，签订本合同，以兹共同遵守。</w:t>
      </w:r>
    </w:p>
    <w:p w14:paraId="634E47CE">
      <w:pPr>
        <w:pStyle w:val="12"/>
        <w:spacing w:line="338" w:lineRule="auto"/>
        <w:ind w:firstLine="482" w:firstLineChars="200"/>
        <w:outlineLvl w:val="0"/>
        <w:rPr>
          <w:rFonts w:hint="eastAsia" w:ascii="宋体" w:hAnsi="宋体" w:eastAsia="宋体" w:cs="宋体"/>
          <w:b/>
          <w:bCs/>
          <w:sz w:val="24"/>
          <w:szCs w:val="24"/>
          <w:lang w:eastAsia="zh-CN"/>
        </w:rPr>
      </w:pPr>
      <w:bookmarkStart w:id="0" w:name="_Toc8769"/>
      <w:bookmarkStart w:id="1" w:name="_Toc10676"/>
      <w:bookmarkStart w:id="2" w:name="_Toc10660"/>
      <w:bookmarkStart w:id="3" w:name="_Toc17130"/>
      <w:bookmarkStart w:id="4" w:name="_Toc29278"/>
      <w:bookmarkStart w:id="5" w:name="_Toc1093"/>
      <w:r>
        <w:rPr>
          <w:rFonts w:hint="eastAsia" w:ascii="宋体" w:hAnsi="宋体" w:eastAsia="宋体" w:cs="宋体"/>
          <w:b/>
          <w:bCs/>
          <w:sz w:val="24"/>
          <w:szCs w:val="24"/>
          <w:lang w:eastAsia="zh-CN"/>
        </w:rPr>
        <w:t>一、服务内容及标准</w:t>
      </w:r>
      <w:bookmarkEnd w:id="0"/>
      <w:bookmarkEnd w:id="1"/>
      <w:bookmarkEnd w:id="2"/>
      <w:bookmarkEnd w:id="3"/>
      <w:bookmarkEnd w:id="4"/>
      <w:bookmarkEnd w:id="5"/>
    </w:p>
    <w:p w14:paraId="2A3F93AA">
      <w:pPr>
        <w:pStyle w:val="12"/>
        <w:spacing w:line="338"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（一）服务地点：</w:t>
      </w:r>
      <w:r>
        <w:rPr>
          <w:rFonts w:hint="eastAsia" w:ascii="宋体" w:hAnsi="宋体" w:eastAsia="宋体" w:cs="宋体"/>
          <w:sz w:val="24"/>
          <w:szCs w:val="24"/>
          <w:lang w:val="en-US" w:eastAsia="zh-CN"/>
        </w:rPr>
        <w:t>甲方指定地点</w:t>
      </w:r>
    </w:p>
    <w:p w14:paraId="3E59E534">
      <w:pPr>
        <w:pStyle w:val="12"/>
        <w:spacing w:line="360" w:lineRule="auto"/>
        <w:ind w:firstLine="480" w:firstLineChars="200"/>
        <w:jc w:val="both"/>
        <w:rPr>
          <w:rFonts w:hint="eastAsia" w:ascii="宋体" w:hAnsi="宋体" w:eastAsia="宋体" w:cs="宋体"/>
          <w:color w:val="0000FF"/>
          <w:sz w:val="24"/>
          <w:szCs w:val="24"/>
          <w:u w:val="none"/>
          <w:lang w:eastAsia="zh-CN"/>
        </w:rPr>
      </w:pPr>
      <w:r>
        <w:rPr>
          <w:rFonts w:hint="eastAsia" w:ascii="宋体" w:hAnsi="宋体" w:eastAsia="宋体" w:cs="宋体"/>
          <w:sz w:val="24"/>
          <w:szCs w:val="24"/>
          <w:lang w:eastAsia="zh-CN"/>
        </w:rPr>
        <w:t>（二）项目</w:t>
      </w:r>
      <w:r>
        <w:rPr>
          <w:rFonts w:hint="eastAsia" w:ascii="宋体" w:hAnsi="宋体" w:eastAsia="宋体" w:cs="宋体"/>
          <w:color w:val="auto"/>
          <w:sz w:val="24"/>
          <w:szCs w:val="24"/>
          <w:lang w:eastAsia="zh-CN"/>
        </w:rPr>
        <w:t>名称：</w:t>
      </w:r>
      <w:r>
        <w:rPr>
          <w:rFonts w:hint="eastAsia" w:ascii="宋体" w:hAnsi="宋体" w:eastAsia="宋体" w:cs="宋体"/>
          <w:color w:val="0000FF"/>
          <w:sz w:val="24"/>
          <w:szCs w:val="24"/>
          <w:u w:val="none"/>
          <w:lang w:val="en-US" w:eastAsia="zh-CN"/>
        </w:rPr>
        <w:t>12309检察服务热线全省“一号通办”建设项目</w:t>
      </w:r>
    </w:p>
    <w:p w14:paraId="5C8D19C1">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（三）乙方同意向甲方提供的服务内容以甲方招标文件为准。</w:t>
      </w:r>
    </w:p>
    <w:p w14:paraId="7F23AE85">
      <w:pPr>
        <w:pStyle w:val="12"/>
        <w:numPr>
          <w:ilvl w:val="0"/>
          <w:numId w:val="1"/>
        </w:numPr>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乙方的服务标准：以乙方提供</w:t>
      </w:r>
      <w:r>
        <w:rPr>
          <w:rFonts w:hint="eastAsia" w:ascii="宋体" w:hAnsi="宋体" w:eastAsia="宋体" w:cs="宋体"/>
          <w:sz w:val="24"/>
          <w:szCs w:val="24"/>
          <w:lang w:val="en-US" w:eastAsia="zh-CN"/>
        </w:rPr>
        <w:t>磋商响应文件</w:t>
      </w:r>
      <w:r>
        <w:rPr>
          <w:rFonts w:hint="eastAsia" w:ascii="宋体" w:hAnsi="宋体" w:eastAsia="宋体" w:cs="宋体"/>
          <w:sz w:val="24"/>
          <w:szCs w:val="24"/>
          <w:lang w:eastAsia="zh-CN"/>
        </w:rPr>
        <w:t>的约定内容为准。</w:t>
      </w:r>
    </w:p>
    <w:p w14:paraId="5268B3CD">
      <w:pPr>
        <w:pStyle w:val="12"/>
        <w:numPr>
          <w:ilvl w:val="0"/>
          <w:numId w:val="0"/>
        </w:numPr>
        <w:spacing w:line="338" w:lineRule="auto"/>
        <w:ind w:left="0" w:leftChars="0" w:firstLine="723" w:firstLineChars="300"/>
        <w:outlineLvl w:val="0"/>
        <w:rPr>
          <w:rFonts w:hint="eastAsia" w:ascii="宋体" w:hAnsi="宋体" w:eastAsia="宋体" w:cs="宋体"/>
          <w:b/>
          <w:bCs/>
          <w:sz w:val="24"/>
          <w:szCs w:val="24"/>
          <w:lang w:eastAsia="zh-CN"/>
        </w:rPr>
      </w:pPr>
      <w:bookmarkStart w:id="6" w:name="_Toc21071"/>
      <w:bookmarkStart w:id="7" w:name="_Toc8234"/>
      <w:bookmarkStart w:id="8" w:name="_Toc26873"/>
      <w:bookmarkStart w:id="9" w:name="_Toc3244"/>
      <w:bookmarkStart w:id="10" w:name="_Toc1331"/>
      <w:bookmarkStart w:id="11" w:name="_Toc3328"/>
      <w:r>
        <w:rPr>
          <w:rFonts w:hint="eastAsia" w:ascii="宋体" w:hAnsi="宋体" w:eastAsia="宋体" w:cs="宋体"/>
          <w:b/>
          <w:bCs/>
          <w:sz w:val="24"/>
          <w:szCs w:val="24"/>
          <w:lang w:eastAsia="zh-CN"/>
        </w:rPr>
        <w:t>二、服务期限</w:t>
      </w:r>
      <w:bookmarkEnd w:id="6"/>
      <w:bookmarkEnd w:id="7"/>
      <w:bookmarkEnd w:id="8"/>
      <w:bookmarkEnd w:id="9"/>
      <w:bookmarkEnd w:id="10"/>
      <w:bookmarkEnd w:id="11"/>
    </w:p>
    <w:p w14:paraId="3E178089">
      <w:pPr>
        <w:pStyle w:val="12"/>
        <w:spacing w:line="360" w:lineRule="auto"/>
        <w:ind w:firstLine="480" w:firstLineChars="200"/>
        <w:jc w:val="both"/>
        <w:rPr>
          <w:rFonts w:hint="eastAsia" w:ascii="宋体" w:hAnsi="宋体" w:eastAsia="宋体" w:cs="宋体"/>
          <w:color w:val="0000FF"/>
          <w:sz w:val="24"/>
          <w:szCs w:val="24"/>
          <w:u w:val="none"/>
          <w:lang w:val="en-US" w:eastAsia="zh-CN"/>
        </w:rPr>
      </w:pPr>
      <w:bookmarkStart w:id="12" w:name="_Toc7383"/>
      <w:bookmarkStart w:id="13" w:name="_Toc6756"/>
      <w:bookmarkStart w:id="14" w:name="_Toc10808"/>
      <w:bookmarkStart w:id="15" w:name="_Toc15718"/>
      <w:bookmarkStart w:id="16" w:name="_Toc12417"/>
      <w:bookmarkStart w:id="17" w:name="_Toc11891"/>
      <w:r>
        <w:rPr>
          <w:rFonts w:hint="eastAsia" w:ascii="宋体" w:hAnsi="宋体" w:eastAsia="宋体" w:cs="宋体"/>
          <w:color w:val="0000FF"/>
          <w:sz w:val="24"/>
          <w:szCs w:val="24"/>
          <w:u w:val="none"/>
          <w:lang w:val="en-US" w:eastAsia="zh-CN"/>
        </w:rPr>
        <w:t>服务期1年。本项目采购后合同签一年续签二年（后续两年在服务内容不变，采购预算不变前提下，根据供应商提供服务的质量考核评价情况按年续签）。</w:t>
      </w:r>
    </w:p>
    <w:p w14:paraId="1890A1D2">
      <w:pPr>
        <w:pStyle w:val="12"/>
        <w:spacing w:line="338" w:lineRule="auto"/>
        <w:ind w:firstLine="723" w:firstLineChars="300"/>
        <w:outlineLvl w:val="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三、服务费金额及支付方式</w:t>
      </w:r>
      <w:bookmarkEnd w:id="12"/>
      <w:bookmarkEnd w:id="13"/>
      <w:bookmarkEnd w:id="14"/>
      <w:bookmarkEnd w:id="15"/>
      <w:bookmarkEnd w:id="16"/>
      <w:bookmarkEnd w:id="17"/>
    </w:p>
    <w:p w14:paraId="6D6B6DFA">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（一）服务费金额（含税）：本合同服务费金额为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（大写: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），上述金额为服务期限内的合同总金额，未经甲方书面同意，该金额不予变更。</w:t>
      </w:r>
    </w:p>
    <w:p w14:paraId="456CCC08">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（二）支付方式：</w:t>
      </w:r>
    </w:p>
    <w:p w14:paraId="57641A9F">
      <w:pPr>
        <w:pStyle w:val="12"/>
        <w:spacing w:line="360" w:lineRule="auto"/>
        <w:ind w:firstLine="480" w:firstLineChars="200"/>
        <w:jc w:val="both"/>
        <w:rPr>
          <w:rFonts w:hint="eastAsia" w:ascii="宋体" w:hAnsi="宋体" w:eastAsia="宋体" w:cs="宋体"/>
          <w:color w:val="0000FF"/>
          <w:sz w:val="24"/>
          <w:szCs w:val="24"/>
          <w:u w:val="none"/>
          <w:lang w:val="en-US" w:eastAsia="zh-CN"/>
        </w:rPr>
      </w:pPr>
      <w:r>
        <w:rPr>
          <w:rFonts w:hint="eastAsia" w:ascii="宋体" w:hAnsi="宋体" w:eastAsia="宋体" w:cs="宋体"/>
          <w:color w:val="0000FF"/>
          <w:sz w:val="24"/>
          <w:szCs w:val="24"/>
          <w:u w:val="none"/>
          <w:lang w:val="en-US" w:eastAsia="zh-CN"/>
        </w:rPr>
        <w:t>预付款，签订合同后30日内，由乙方书面提出支付申请及相应发票 ，达到付款条件起30个工作日内，支付合同总金额的50.0%</w:t>
      </w:r>
    </w:p>
    <w:p w14:paraId="6B507EBB">
      <w:pPr>
        <w:pStyle w:val="12"/>
        <w:spacing w:line="360" w:lineRule="auto"/>
        <w:ind w:firstLine="480" w:firstLineChars="200"/>
        <w:jc w:val="both"/>
        <w:rPr>
          <w:rFonts w:hint="eastAsia" w:ascii="宋体" w:hAnsi="宋体" w:eastAsia="宋体" w:cs="宋体"/>
          <w:color w:val="0000FF"/>
          <w:sz w:val="24"/>
          <w:szCs w:val="24"/>
          <w:u w:val="none"/>
          <w:lang w:val="en-US" w:eastAsia="zh-CN"/>
        </w:rPr>
      </w:pPr>
      <w:bookmarkStart w:id="64" w:name="_GoBack"/>
      <w:bookmarkEnd w:id="64"/>
      <w:r>
        <w:rPr>
          <w:rFonts w:hint="eastAsia" w:ascii="宋体" w:hAnsi="宋体" w:eastAsia="宋体" w:cs="宋体"/>
          <w:color w:val="0000FF"/>
          <w:sz w:val="24"/>
          <w:szCs w:val="24"/>
          <w:u w:val="none"/>
          <w:lang w:val="en-US" w:eastAsia="zh-CN"/>
        </w:rPr>
        <w:t>进度款，服务期满后，由乙方书面提出支付申请及相应发票，达到付款条件起30个工作日内，支付合同总金额的50.0%</w:t>
      </w:r>
    </w:p>
    <w:p w14:paraId="5D882A72">
      <w:pPr>
        <w:pStyle w:val="12"/>
        <w:spacing w:line="360" w:lineRule="auto"/>
        <w:ind w:firstLine="480" w:firstLineChars="200"/>
        <w:jc w:val="both"/>
        <w:rPr>
          <w:rFonts w:hint="eastAsia" w:ascii="宋体" w:hAnsi="宋体" w:eastAsia="宋体" w:cs="宋体"/>
          <w:color w:val="0000FF"/>
          <w:sz w:val="24"/>
          <w:szCs w:val="24"/>
          <w:u w:val="none"/>
          <w:lang w:val="en-US" w:eastAsia="zh-CN"/>
        </w:rPr>
      </w:pPr>
    </w:p>
    <w:p w14:paraId="08E52E20">
      <w:pPr>
        <w:pStyle w:val="12"/>
        <w:spacing w:line="338" w:lineRule="auto"/>
        <w:rPr>
          <w:rFonts w:hint="eastAsia" w:ascii="宋体" w:hAnsi="宋体" w:eastAsia="宋体" w:cs="宋体"/>
          <w:sz w:val="24"/>
          <w:szCs w:val="24"/>
          <w:lang w:val="en-US" w:eastAsia="zh-CN"/>
        </w:rPr>
      </w:pPr>
    </w:p>
    <w:p w14:paraId="1590D3F6">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（三）甲方每次付款前，乙方应向甲方开具符合甲方要求的等额正式增值税发票。因乙方迟延提供发票或提供发票不符合甲方要求，导致甲方逾期付款的，责任由乙方承担，甲方不承担逾期付款的违约责任。</w:t>
      </w:r>
    </w:p>
    <w:p w14:paraId="3249B627">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（四）甲方通过银行转账的方式向乙方支付服务费。乙方账户信息如下， 乙方承担因提供信息有误造成的一切不利后果。</w:t>
      </w:r>
    </w:p>
    <w:p w14:paraId="7E364F3A">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开户行：</w:t>
      </w:r>
    </w:p>
    <w:p w14:paraId="102DCB93">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户名：</w:t>
      </w:r>
    </w:p>
    <w:p w14:paraId="07F6EF54">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账号：</w:t>
      </w:r>
    </w:p>
    <w:p w14:paraId="78761161">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统一社会信用代码：</w:t>
      </w:r>
    </w:p>
    <w:p w14:paraId="2FDB4B34">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p>
    <w:p w14:paraId="347E596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电话：</w:t>
      </w:r>
    </w:p>
    <w:p w14:paraId="7CB53E92">
      <w:pPr>
        <w:pStyle w:val="12"/>
        <w:spacing w:line="338" w:lineRule="auto"/>
        <w:ind w:firstLine="482" w:firstLineChars="200"/>
        <w:outlineLvl w:val="0"/>
        <w:rPr>
          <w:rFonts w:hint="eastAsia" w:ascii="宋体" w:hAnsi="宋体" w:eastAsia="宋体" w:cs="宋体"/>
          <w:b/>
          <w:bCs/>
          <w:sz w:val="24"/>
          <w:szCs w:val="24"/>
          <w:lang w:val="en-US" w:eastAsia="zh-CN"/>
        </w:rPr>
      </w:pPr>
      <w:bookmarkStart w:id="18" w:name="_Toc10929"/>
      <w:bookmarkStart w:id="19" w:name="_Toc12290"/>
      <w:bookmarkStart w:id="20" w:name="_Toc3729"/>
      <w:bookmarkStart w:id="21" w:name="_Toc7629"/>
      <w:bookmarkStart w:id="22" w:name="_Toc24124"/>
      <w:bookmarkStart w:id="23" w:name="_Toc13498"/>
      <w:r>
        <w:rPr>
          <w:rFonts w:hint="eastAsia" w:ascii="宋体" w:hAnsi="宋体" w:eastAsia="宋体" w:cs="宋体"/>
          <w:b/>
          <w:bCs/>
          <w:sz w:val="24"/>
          <w:szCs w:val="24"/>
          <w:lang w:val="en-US" w:eastAsia="zh-CN"/>
        </w:rPr>
        <w:t>四、服务保证及考核</w:t>
      </w:r>
      <w:bookmarkEnd w:id="18"/>
      <w:bookmarkEnd w:id="19"/>
      <w:bookmarkEnd w:id="20"/>
      <w:bookmarkEnd w:id="21"/>
      <w:bookmarkEnd w:id="22"/>
      <w:bookmarkEnd w:id="23"/>
    </w:p>
    <w:p w14:paraId="178C2D7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服务保证</w:t>
      </w:r>
    </w:p>
    <w:p w14:paraId="6D7B5406">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乙方保证，乙方提供服务的要求应按本合同附件约定的标准进行，同时不低于国家、省、市有关部门规定的质量标准执行。</w:t>
      </w:r>
    </w:p>
    <w:p w14:paraId="0B6BDB7A">
      <w:pPr>
        <w:pStyle w:val="12"/>
        <w:keepNext w:val="0"/>
        <w:keepLines w:val="0"/>
        <w:pageBreakBefore w:val="0"/>
        <w:kinsoku/>
        <w:wordWrap/>
        <w:overflowPunct/>
        <w:topLinePunct w:val="0"/>
        <w:autoSpaceDE/>
        <w:autoSpaceDN/>
        <w:bidi w:val="0"/>
        <w:adjustRightInd/>
        <w:snapToGrid/>
        <w:spacing w:line="339" w:lineRule="auto"/>
        <w:ind w:firstLine="480" w:firstLineChars="200"/>
        <w:textAlignment w:val="auto"/>
        <w:rPr>
          <w:rFonts w:hint="eastAsia" w:ascii="宋体" w:hAnsi="宋体" w:eastAsia="宋体" w:cs="宋体"/>
          <w:color w:val="0000FF"/>
          <w:sz w:val="24"/>
          <w:szCs w:val="24"/>
        </w:rPr>
      </w:pPr>
      <w:r>
        <w:rPr>
          <w:rFonts w:hint="eastAsia" w:ascii="宋体" w:hAnsi="宋体" w:eastAsia="宋体" w:cs="宋体"/>
          <w:color w:val="0000FF"/>
          <w:sz w:val="24"/>
          <w:szCs w:val="24"/>
          <w:lang w:val="en-US" w:eastAsia="zh-CN"/>
        </w:rPr>
        <w:t>2.</w:t>
      </w:r>
      <w:r>
        <w:rPr>
          <w:rFonts w:hint="eastAsia" w:ascii="宋体" w:hAnsi="宋体" w:eastAsia="宋体" w:cs="宋体"/>
          <w:color w:val="0000FF"/>
          <w:sz w:val="24"/>
          <w:szCs w:val="24"/>
        </w:rPr>
        <w:t>服务期满后，服务期内考核合格，服务质量无争议，</w:t>
      </w:r>
      <w:r>
        <w:rPr>
          <w:rFonts w:hint="eastAsia" w:ascii="宋体" w:hAnsi="宋体" w:eastAsia="宋体" w:cs="宋体"/>
          <w:color w:val="0000FF"/>
          <w:sz w:val="24"/>
          <w:szCs w:val="24"/>
          <w:lang w:val="en-US" w:eastAsia="zh-CN"/>
        </w:rPr>
        <w:t>甲方</w:t>
      </w:r>
      <w:r>
        <w:rPr>
          <w:rFonts w:hint="eastAsia" w:ascii="宋体" w:hAnsi="宋体" w:eastAsia="宋体" w:cs="宋体"/>
          <w:color w:val="0000FF"/>
          <w:sz w:val="24"/>
          <w:szCs w:val="24"/>
        </w:rPr>
        <w:t>组织验收。验收依据：合同、招标文件、投标文件。</w:t>
      </w:r>
    </w:p>
    <w:p w14:paraId="76CFF0AA">
      <w:pPr>
        <w:pStyle w:val="12"/>
        <w:spacing w:line="338" w:lineRule="auto"/>
        <w:ind w:firstLine="482" w:firstLineChars="200"/>
        <w:outlineLvl w:val="0"/>
        <w:rPr>
          <w:rFonts w:hint="eastAsia" w:ascii="宋体" w:hAnsi="宋体" w:eastAsia="宋体" w:cs="宋体"/>
          <w:b/>
          <w:bCs/>
          <w:sz w:val="24"/>
          <w:szCs w:val="24"/>
          <w:lang w:val="en-US" w:eastAsia="zh-CN"/>
        </w:rPr>
      </w:pPr>
      <w:bookmarkStart w:id="24" w:name="_Toc18738"/>
      <w:bookmarkStart w:id="25" w:name="_Toc26075"/>
      <w:bookmarkStart w:id="26" w:name="_Toc5927"/>
      <w:bookmarkStart w:id="27" w:name="_Toc16336"/>
      <w:bookmarkStart w:id="28" w:name="_Toc12388"/>
      <w:r>
        <w:rPr>
          <w:rFonts w:hint="eastAsia" w:ascii="宋体" w:hAnsi="宋体" w:eastAsia="宋体" w:cs="宋体"/>
          <w:b/>
          <w:bCs/>
          <w:sz w:val="24"/>
          <w:szCs w:val="24"/>
          <w:lang w:val="en-US" w:eastAsia="zh-CN"/>
        </w:rPr>
        <w:t>五、甲乙双方权利义务</w:t>
      </w:r>
      <w:bookmarkEnd w:id="24"/>
      <w:bookmarkEnd w:id="25"/>
      <w:bookmarkEnd w:id="26"/>
      <w:bookmarkEnd w:id="27"/>
      <w:bookmarkEnd w:id="28"/>
    </w:p>
    <w:p w14:paraId="484341CE">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甲方负责提供服务内容相关的资料、信息，以书面形式告知乙方，并且向乙方提供有关的服务规程及要求。</w:t>
      </w:r>
    </w:p>
    <w:p w14:paraId="28A654B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甲方承诺，将按照本合同约定的时间及标准向乙方支付服务费。</w:t>
      </w:r>
    </w:p>
    <w:p w14:paraId="78987F3E">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甲方对乙方有监督考核的权利，甲方有权对乙方各种业务指标进行考核，并按照考核的结果结算乙方的服务费用。</w:t>
      </w:r>
    </w:p>
    <w:p w14:paraId="78AC7B7C">
      <w:pPr>
        <w:pStyle w:val="12"/>
        <w:spacing w:line="338"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4.乙方</w:t>
      </w:r>
      <w:r>
        <w:rPr>
          <w:rFonts w:hint="eastAsia" w:ascii="宋体" w:hAnsi="宋体" w:eastAsia="宋体" w:cs="宋体"/>
          <w:sz w:val="24"/>
          <w:szCs w:val="24"/>
          <w:lang w:eastAsia="zh-CN"/>
        </w:rPr>
        <w:t>保证话务人员日常工作与运营管理均符合招标文件要求，满足呼叫中心运营所需。</w:t>
      </w:r>
    </w:p>
    <w:p w14:paraId="1A8D453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5.乙方</w:t>
      </w:r>
      <w:r>
        <w:rPr>
          <w:rFonts w:hint="eastAsia" w:ascii="宋体" w:hAnsi="宋体" w:eastAsia="宋体" w:cs="宋体"/>
          <w:sz w:val="24"/>
          <w:szCs w:val="24"/>
          <w:lang w:eastAsia="zh-CN"/>
        </w:rPr>
        <w:t>需根据本项目座席人员需求波动及呼叫中心正常人员流失情况，指定人员管理规范，建立充足的人员补充渠道，保障人员出勤率，满足项目用工需求。</w:t>
      </w:r>
    </w:p>
    <w:p w14:paraId="479E4C88">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6.乙方</w:t>
      </w:r>
      <w:r>
        <w:rPr>
          <w:rFonts w:hint="eastAsia" w:ascii="宋体" w:hAnsi="宋体" w:eastAsia="宋体" w:cs="宋体"/>
          <w:sz w:val="24"/>
          <w:szCs w:val="24"/>
          <w:lang w:eastAsia="zh-CN"/>
        </w:rPr>
        <w:t>在前期建设和提供服务期间遵守国家各项法律法规，若因侵权或因管理不善等原因而产生的一切后果，由</w:t>
      </w:r>
      <w:r>
        <w:rPr>
          <w:rFonts w:hint="eastAsia" w:ascii="宋体" w:hAnsi="宋体" w:eastAsia="宋体" w:cs="宋体"/>
          <w:sz w:val="24"/>
          <w:szCs w:val="24"/>
          <w:lang w:val="en-US" w:eastAsia="zh-CN"/>
        </w:rPr>
        <w:t>乙方</w:t>
      </w:r>
      <w:r>
        <w:rPr>
          <w:rFonts w:hint="eastAsia" w:ascii="宋体" w:hAnsi="宋体" w:eastAsia="宋体" w:cs="宋体"/>
          <w:sz w:val="24"/>
          <w:szCs w:val="24"/>
          <w:lang w:eastAsia="zh-CN"/>
        </w:rPr>
        <w:t>负责。</w:t>
      </w:r>
      <w:r>
        <w:rPr>
          <w:rFonts w:hint="eastAsia" w:ascii="宋体" w:hAnsi="宋体" w:eastAsia="宋体" w:cs="宋体"/>
          <w:sz w:val="24"/>
          <w:szCs w:val="24"/>
          <w:lang w:val="en-US" w:eastAsia="zh-CN"/>
        </w:rPr>
        <w:t>甲方</w:t>
      </w:r>
      <w:r>
        <w:rPr>
          <w:rFonts w:hint="eastAsia" w:ascii="宋体" w:hAnsi="宋体" w:eastAsia="宋体" w:cs="宋体"/>
          <w:sz w:val="24"/>
          <w:szCs w:val="24"/>
          <w:lang w:eastAsia="zh-CN"/>
        </w:rPr>
        <w:t>保留索赔权力。</w:t>
      </w:r>
    </w:p>
    <w:p w14:paraId="3F89E0F0">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7.乙方</w:t>
      </w:r>
      <w:r>
        <w:rPr>
          <w:rFonts w:hint="eastAsia" w:ascii="宋体" w:hAnsi="宋体" w:eastAsia="宋体" w:cs="宋体"/>
          <w:sz w:val="24"/>
          <w:szCs w:val="24"/>
          <w:lang w:eastAsia="zh-CN"/>
        </w:rPr>
        <w:t>保证合法用工，保证人员稳定，不得拖欠人员薪酬，并按国家规定为人员缴纳社保，做到合法用工。若因用工引起的任何纠纷均由中标方承担。</w:t>
      </w:r>
    </w:p>
    <w:p w14:paraId="2D7F0913">
      <w:pPr>
        <w:pStyle w:val="12"/>
        <w:spacing w:line="338"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8.乙方</w:t>
      </w:r>
      <w:r>
        <w:rPr>
          <w:rFonts w:hint="eastAsia" w:ascii="宋体" w:hAnsi="宋体" w:eastAsia="宋体" w:cs="宋体"/>
          <w:sz w:val="24"/>
          <w:szCs w:val="24"/>
          <w:lang w:eastAsia="zh-CN"/>
        </w:rPr>
        <w:t>承诺在合同期满后，若服务外包商发生变更，能积极配合交接和转签。</w:t>
      </w:r>
    </w:p>
    <w:p w14:paraId="4138FF58">
      <w:pPr>
        <w:pStyle w:val="12"/>
        <w:spacing w:line="338" w:lineRule="auto"/>
        <w:ind w:firstLine="482" w:firstLineChars="200"/>
        <w:outlineLvl w:val="0"/>
        <w:rPr>
          <w:rFonts w:hint="eastAsia" w:ascii="宋体" w:hAnsi="宋体" w:eastAsia="宋体" w:cs="宋体"/>
          <w:b/>
          <w:bCs/>
          <w:color w:val="auto"/>
          <w:sz w:val="24"/>
          <w:szCs w:val="24"/>
          <w:lang w:eastAsia="zh-CN"/>
        </w:rPr>
      </w:pPr>
      <w:bookmarkStart w:id="29" w:name="_Toc15033"/>
      <w:bookmarkStart w:id="30" w:name="_Toc9807"/>
      <w:bookmarkStart w:id="31" w:name="_Toc4817"/>
      <w:bookmarkStart w:id="32" w:name="_Toc7439"/>
      <w:bookmarkStart w:id="33" w:name="_Toc869"/>
      <w:bookmarkStart w:id="34" w:name="_Toc31417"/>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lang w:eastAsia="zh-CN"/>
        </w:rPr>
        <w:t>保密义务</w:t>
      </w:r>
      <w:bookmarkEnd w:id="29"/>
      <w:bookmarkEnd w:id="30"/>
      <w:bookmarkEnd w:id="31"/>
      <w:bookmarkEnd w:id="32"/>
      <w:bookmarkEnd w:id="33"/>
      <w:bookmarkEnd w:id="34"/>
    </w:p>
    <w:p w14:paraId="59C7EE85">
      <w:pPr>
        <w:pStyle w:val="12"/>
        <w:spacing w:line="338" w:lineRule="auto"/>
        <w:ind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1.任何一方对其获知的本合同及附件中其他方的商业秘密和国家秘密负有保密义务。</w:t>
      </w:r>
    </w:p>
    <w:p w14:paraId="1DCC7A6A">
      <w:pPr>
        <w:pStyle w:val="12"/>
        <w:spacing w:line="338" w:lineRule="auto"/>
        <w:ind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2.对于甲方提供的技术资料和政策文件，乙方负有保密义务，不得向其它方泄露，保密期限为乙方获得技术资料和政策文件之日起至该资料成为公众信息之日止。</w:t>
      </w:r>
    </w:p>
    <w:p w14:paraId="6417D932">
      <w:pPr>
        <w:pStyle w:val="12"/>
        <w:spacing w:line="338" w:lineRule="auto"/>
        <w:ind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3.乙方</w:t>
      </w:r>
      <w:r>
        <w:rPr>
          <w:rFonts w:hint="eastAsia" w:ascii="宋体" w:hAnsi="宋体" w:eastAsia="宋体" w:cs="宋体"/>
          <w:b w:val="0"/>
          <w:bCs w:val="0"/>
          <w:color w:val="auto"/>
          <w:sz w:val="24"/>
          <w:szCs w:val="24"/>
          <w:lang w:eastAsia="zh-CN"/>
        </w:rPr>
        <w:t>团队人员需向</w:t>
      </w:r>
      <w:r>
        <w:rPr>
          <w:rFonts w:hint="eastAsia" w:ascii="宋体" w:hAnsi="宋体" w:eastAsia="宋体" w:cs="宋体"/>
          <w:b w:val="0"/>
          <w:bCs w:val="0"/>
          <w:color w:val="auto"/>
          <w:sz w:val="24"/>
          <w:szCs w:val="24"/>
          <w:lang w:val="en-US" w:eastAsia="zh-CN"/>
        </w:rPr>
        <w:t>甲方</w:t>
      </w:r>
      <w:r>
        <w:rPr>
          <w:rFonts w:hint="eastAsia" w:ascii="宋体" w:hAnsi="宋体" w:eastAsia="宋体" w:cs="宋体"/>
          <w:b w:val="0"/>
          <w:bCs w:val="0"/>
          <w:color w:val="auto"/>
          <w:sz w:val="24"/>
          <w:szCs w:val="24"/>
          <w:lang w:eastAsia="zh-CN"/>
        </w:rPr>
        <w:t>备案，并签署保密协议。</w:t>
      </w:r>
    </w:p>
    <w:p w14:paraId="53AFA9C2">
      <w:pPr>
        <w:pStyle w:val="12"/>
        <w:spacing w:line="338" w:lineRule="auto"/>
        <w:ind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lang w:eastAsia="zh-CN"/>
        </w:rPr>
        <w:t>.违反上述保密义务的，违约方应向守约方支付项目总额的10%的违约金。</w:t>
      </w:r>
    </w:p>
    <w:p w14:paraId="150A2837">
      <w:pPr>
        <w:pStyle w:val="12"/>
        <w:spacing w:line="338"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lang w:eastAsia="zh-CN"/>
        </w:rPr>
        <w:t>.乙方的保密义务不因本合同的履行、撤销、无效、终止、变更或解除而失效。</w:t>
      </w:r>
    </w:p>
    <w:p w14:paraId="289C18C4">
      <w:pPr>
        <w:pStyle w:val="12"/>
        <w:spacing w:line="338" w:lineRule="auto"/>
        <w:ind w:firstLine="482" w:firstLineChars="200"/>
        <w:outlineLvl w:val="0"/>
        <w:rPr>
          <w:rFonts w:hint="eastAsia" w:ascii="宋体" w:hAnsi="宋体" w:eastAsia="宋体" w:cs="宋体"/>
          <w:b/>
          <w:bCs/>
          <w:color w:val="auto"/>
          <w:sz w:val="24"/>
          <w:szCs w:val="24"/>
          <w:lang w:eastAsia="zh-CN"/>
        </w:rPr>
      </w:pPr>
      <w:bookmarkStart w:id="35" w:name="_Toc3412"/>
      <w:bookmarkStart w:id="36" w:name="_Toc8364"/>
      <w:bookmarkStart w:id="37" w:name="_Toc640"/>
      <w:bookmarkStart w:id="38" w:name="_Toc2866"/>
      <w:bookmarkStart w:id="39" w:name="_Toc18565"/>
      <w:bookmarkStart w:id="40" w:name="_Toc8718"/>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lang w:eastAsia="zh-CN"/>
        </w:rPr>
        <w:t>、违约责任</w:t>
      </w:r>
      <w:bookmarkEnd w:id="35"/>
      <w:bookmarkEnd w:id="36"/>
      <w:bookmarkEnd w:id="37"/>
      <w:bookmarkEnd w:id="38"/>
      <w:bookmarkEnd w:id="39"/>
      <w:bookmarkEnd w:id="40"/>
    </w:p>
    <w:p w14:paraId="292BF5A1">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（一）在合同履行中，乙方无正当理由而停止向甲方继续提供服务的，或乙方未经甲方同意，擅自变更服务内容或提高收费标准、降低服务质量或提供服务不符合合同约定，每发生一次，乙方承担本合同</w:t>
      </w:r>
      <w:r>
        <w:rPr>
          <w:rFonts w:hint="eastAsia" w:ascii="宋体" w:hAnsi="宋体" w:eastAsia="宋体" w:cs="宋体"/>
          <w:sz w:val="24"/>
          <w:szCs w:val="24"/>
          <w:lang w:val="en-US" w:eastAsia="zh-CN"/>
        </w:rPr>
        <w:t>合同总价款</w:t>
      </w:r>
      <w:r>
        <w:rPr>
          <w:rFonts w:hint="eastAsia" w:ascii="宋体" w:hAnsi="宋体" w:eastAsia="宋体" w:cs="宋体"/>
          <w:sz w:val="24"/>
          <w:szCs w:val="24"/>
          <w:lang w:eastAsia="zh-CN"/>
        </w:rPr>
        <w:t>3‰的违约责任；发生三次以上的，甲方还有权单方解除合同，并要求乙方退还已支付的相关费用且有权要求乙方支付合同</w:t>
      </w:r>
      <w:r>
        <w:rPr>
          <w:rFonts w:hint="eastAsia" w:ascii="宋体" w:hAnsi="宋体" w:eastAsia="宋体" w:cs="宋体"/>
          <w:sz w:val="24"/>
          <w:szCs w:val="24"/>
          <w:lang w:val="en-US" w:eastAsia="zh-CN"/>
        </w:rPr>
        <w:t>总</w:t>
      </w:r>
      <w:r>
        <w:rPr>
          <w:rFonts w:hint="eastAsia" w:ascii="宋体" w:hAnsi="宋体" w:eastAsia="宋体" w:cs="宋体"/>
          <w:sz w:val="24"/>
          <w:szCs w:val="24"/>
          <w:lang w:eastAsia="zh-CN"/>
        </w:rPr>
        <w:t>价款20%的违约金，违约金不足以弥补损失的，乙方应予补足。</w:t>
      </w:r>
    </w:p>
    <w:p w14:paraId="1860EA37">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）乙方擅自将本合同所涉事项转委托给第三人的，甲方有权单方解除本合同，同时，乙方还应按照本合同总价款的20%向甲方支付违约金，违约金不足以弥补损失的，乙方应予补足。</w:t>
      </w:r>
    </w:p>
    <w:p w14:paraId="74A9F63E">
      <w:pPr>
        <w:pStyle w:val="12"/>
        <w:spacing w:line="338"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）服务过程中，乙方无正当理由提前终止本合同的，甲方有权拒绝支付费用，乙方应返还甲方已支付全部费用，甲方还有权要求乙方支付本合同总价款20%的违约金，违约金不足以弥补甲方损失的，乙方应予补足。</w:t>
      </w:r>
    </w:p>
    <w:p w14:paraId="2D92069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）本合同一经签订，即具有法律效力，双方均应全面、适当履行。任何一方不履行合同约定的义务，即构成违约。除本合同另有约定外，违约方应赔偿守约方因其违约行为而造成的全部损失。</w:t>
      </w:r>
    </w:p>
    <w:p w14:paraId="7197C584">
      <w:pPr>
        <w:pStyle w:val="12"/>
        <w:spacing w:line="338" w:lineRule="auto"/>
        <w:ind w:firstLine="482" w:firstLineChars="200"/>
        <w:outlineLvl w:val="0"/>
        <w:rPr>
          <w:rFonts w:hint="eastAsia" w:ascii="宋体" w:hAnsi="宋体" w:eastAsia="宋体" w:cs="宋体"/>
          <w:b/>
          <w:bCs/>
          <w:sz w:val="24"/>
          <w:szCs w:val="24"/>
          <w:lang w:eastAsia="zh-CN"/>
        </w:rPr>
      </w:pPr>
      <w:bookmarkStart w:id="41" w:name="_Toc25456"/>
      <w:bookmarkStart w:id="42" w:name="_Toc31081"/>
      <w:bookmarkStart w:id="43" w:name="_Toc9517"/>
      <w:bookmarkStart w:id="44" w:name="_Toc17566"/>
      <w:bookmarkStart w:id="45" w:name="_Toc21788"/>
      <w:bookmarkStart w:id="46" w:name="_Toc25247"/>
      <w:r>
        <w:rPr>
          <w:rFonts w:hint="eastAsia" w:ascii="宋体" w:hAnsi="宋体" w:eastAsia="宋体" w:cs="宋体"/>
          <w:b/>
          <w:bCs/>
          <w:sz w:val="24"/>
          <w:szCs w:val="24"/>
          <w:lang w:val="en-US" w:eastAsia="zh-CN"/>
        </w:rPr>
        <w:t>八</w:t>
      </w:r>
      <w:r>
        <w:rPr>
          <w:rFonts w:hint="eastAsia" w:ascii="宋体" w:hAnsi="宋体" w:eastAsia="宋体" w:cs="宋体"/>
          <w:b/>
          <w:bCs/>
          <w:sz w:val="24"/>
          <w:szCs w:val="24"/>
          <w:lang w:eastAsia="zh-CN"/>
        </w:rPr>
        <w:t>、合同解除</w:t>
      </w:r>
      <w:bookmarkEnd w:id="41"/>
      <w:bookmarkEnd w:id="42"/>
      <w:bookmarkEnd w:id="43"/>
      <w:bookmarkEnd w:id="44"/>
      <w:bookmarkEnd w:id="45"/>
      <w:bookmarkEnd w:id="46"/>
    </w:p>
    <w:p w14:paraId="697195D2">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如发生下列任意一项，甲方有权责令乙方整改并向上级主管部门报备解除合同，并要求乙方赔偿相关损失及承担相关法律责任：</w:t>
      </w:r>
    </w:p>
    <w:p w14:paraId="2009167A">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（一）考核不合格，拒不改正、影响服务质量或损害国家利益的；</w:t>
      </w:r>
    </w:p>
    <w:p w14:paraId="3A1B284B">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（二）因成交乙方原因导致重大火灾、伤亡、档案丢失等；</w:t>
      </w:r>
    </w:p>
    <w:p w14:paraId="5B58966C">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（三）发生重大安全事件隐瞒不报；</w:t>
      </w:r>
    </w:p>
    <w:p w14:paraId="5A6DE619">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（四）其他违反法律、法规和规章制度行为，造成恶劣影响的。</w:t>
      </w:r>
    </w:p>
    <w:p w14:paraId="1EA50817">
      <w:pPr>
        <w:pStyle w:val="12"/>
        <w:spacing w:line="338" w:lineRule="auto"/>
        <w:ind w:firstLine="482" w:firstLineChars="200"/>
        <w:outlineLvl w:val="0"/>
        <w:rPr>
          <w:rFonts w:hint="eastAsia" w:ascii="宋体" w:hAnsi="宋体" w:eastAsia="宋体" w:cs="宋体"/>
          <w:b/>
          <w:bCs/>
          <w:sz w:val="24"/>
          <w:szCs w:val="24"/>
          <w:lang w:eastAsia="zh-CN"/>
        </w:rPr>
      </w:pPr>
      <w:bookmarkStart w:id="47" w:name="_Toc28461"/>
      <w:bookmarkStart w:id="48" w:name="_Toc28587"/>
      <w:bookmarkStart w:id="49" w:name="_Toc25893"/>
      <w:bookmarkStart w:id="50" w:name="_Toc25437"/>
      <w:bookmarkStart w:id="51" w:name="_Toc2187"/>
      <w:bookmarkStart w:id="52" w:name="_Toc9660"/>
      <w:r>
        <w:rPr>
          <w:rFonts w:hint="eastAsia" w:ascii="宋体" w:hAnsi="宋体" w:eastAsia="宋体" w:cs="宋体"/>
          <w:b/>
          <w:bCs/>
          <w:sz w:val="24"/>
          <w:szCs w:val="24"/>
          <w:lang w:val="en-US" w:eastAsia="zh-CN"/>
        </w:rPr>
        <w:t>九</w:t>
      </w:r>
      <w:r>
        <w:rPr>
          <w:rFonts w:hint="eastAsia" w:ascii="宋体" w:hAnsi="宋体" w:eastAsia="宋体" w:cs="宋体"/>
          <w:b/>
          <w:bCs/>
          <w:sz w:val="24"/>
          <w:szCs w:val="24"/>
          <w:lang w:eastAsia="zh-CN"/>
        </w:rPr>
        <w:t>、争议解决</w:t>
      </w:r>
      <w:bookmarkEnd w:id="47"/>
      <w:bookmarkEnd w:id="48"/>
      <w:bookmarkEnd w:id="49"/>
      <w:bookmarkEnd w:id="50"/>
      <w:bookmarkEnd w:id="51"/>
      <w:bookmarkEnd w:id="52"/>
    </w:p>
    <w:p w14:paraId="23FB8B5F">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在履行本合同过程中所发生一切争议，甲、乙双方应友好协商解决。协商不成的，任何一方均有权向甲方所在地有管辖权的法院提起诉讼。</w:t>
      </w:r>
    </w:p>
    <w:p w14:paraId="76674516">
      <w:pPr>
        <w:pStyle w:val="12"/>
        <w:spacing w:line="338" w:lineRule="auto"/>
        <w:ind w:firstLine="482" w:firstLineChars="200"/>
        <w:outlineLvl w:val="0"/>
        <w:rPr>
          <w:rFonts w:hint="eastAsia" w:ascii="宋体" w:hAnsi="宋体" w:eastAsia="宋体" w:cs="宋体"/>
          <w:b/>
          <w:bCs/>
          <w:sz w:val="24"/>
          <w:szCs w:val="24"/>
          <w:lang w:eastAsia="zh-CN"/>
        </w:rPr>
      </w:pPr>
      <w:bookmarkStart w:id="53" w:name="_Toc28641"/>
      <w:bookmarkStart w:id="54" w:name="_Toc13844"/>
      <w:bookmarkStart w:id="55" w:name="_Toc21359"/>
      <w:bookmarkStart w:id="56" w:name="_Toc6090"/>
      <w:bookmarkStart w:id="57" w:name="_Toc17274"/>
      <w:bookmarkStart w:id="58" w:name="_Toc12589"/>
      <w:r>
        <w:rPr>
          <w:rFonts w:hint="eastAsia" w:ascii="宋体" w:hAnsi="宋体" w:eastAsia="宋体" w:cs="宋体"/>
          <w:b/>
          <w:bCs/>
          <w:sz w:val="24"/>
          <w:szCs w:val="24"/>
          <w:lang w:val="en-US" w:eastAsia="zh-CN"/>
        </w:rPr>
        <w:t>十、</w:t>
      </w:r>
      <w:r>
        <w:rPr>
          <w:rFonts w:hint="eastAsia" w:ascii="宋体" w:hAnsi="宋体" w:eastAsia="宋体" w:cs="宋体"/>
          <w:b/>
          <w:bCs/>
          <w:sz w:val="24"/>
          <w:szCs w:val="24"/>
          <w:lang w:eastAsia="zh-CN"/>
        </w:rPr>
        <w:t>不可抗力</w:t>
      </w:r>
      <w:bookmarkEnd w:id="53"/>
      <w:bookmarkEnd w:id="54"/>
      <w:bookmarkEnd w:id="55"/>
      <w:bookmarkEnd w:id="56"/>
      <w:bookmarkEnd w:id="57"/>
      <w:bookmarkEnd w:id="58"/>
    </w:p>
    <w:p w14:paraId="500539C0">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1.因发生不可抗力（战争、严重火灾、水灾、台风、地震、洪水以及其他不可控制、不能避免且不能克服的事件）；</w:t>
      </w:r>
    </w:p>
    <w:p w14:paraId="7010BDE4">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2.受不可抗力影响的一方对于不可抗力事件导致的合同义务的延迟履行或不能履行不承担任何责任；</w:t>
      </w:r>
    </w:p>
    <w:p w14:paraId="70E4F881">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3.双方应在不可抗力事件结束或其影响消除后立即继续履行其合同义务，合同期限也相应延长。如果不可抗力事件的影响持续120天以上，任何一方均有权终止合同。</w:t>
      </w:r>
    </w:p>
    <w:p w14:paraId="40266DB0">
      <w:pPr>
        <w:pStyle w:val="12"/>
        <w:spacing w:line="338" w:lineRule="auto"/>
        <w:ind w:firstLine="482" w:firstLineChars="200"/>
        <w:outlineLvl w:val="0"/>
        <w:rPr>
          <w:rFonts w:hint="eastAsia" w:ascii="宋体" w:hAnsi="宋体" w:eastAsia="宋体" w:cs="宋体"/>
          <w:b/>
          <w:bCs/>
          <w:sz w:val="24"/>
          <w:szCs w:val="24"/>
          <w:lang w:eastAsia="zh-CN"/>
        </w:rPr>
      </w:pPr>
      <w:bookmarkStart w:id="59" w:name="_Toc16325"/>
      <w:bookmarkStart w:id="60" w:name="_Toc5849"/>
      <w:bookmarkStart w:id="61" w:name="_Toc19241"/>
      <w:bookmarkStart w:id="62" w:name="_Toc22336"/>
      <w:bookmarkStart w:id="63" w:name="_Toc3973"/>
      <w:r>
        <w:rPr>
          <w:rFonts w:hint="eastAsia" w:ascii="宋体" w:hAnsi="宋体" w:eastAsia="宋体" w:cs="宋体"/>
          <w:b/>
          <w:bCs/>
          <w:sz w:val="24"/>
          <w:szCs w:val="24"/>
          <w:lang w:val="en-US" w:eastAsia="zh-CN"/>
        </w:rPr>
        <w:t>十一</w:t>
      </w:r>
      <w:r>
        <w:rPr>
          <w:rFonts w:hint="eastAsia" w:ascii="宋体" w:hAnsi="宋体" w:eastAsia="宋体" w:cs="宋体"/>
          <w:b/>
          <w:bCs/>
          <w:sz w:val="24"/>
          <w:szCs w:val="24"/>
          <w:lang w:eastAsia="zh-CN"/>
        </w:rPr>
        <w:t>、其他</w:t>
      </w:r>
      <w:bookmarkEnd w:id="59"/>
      <w:bookmarkEnd w:id="60"/>
      <w:bookmarkEnd w:id="61"/>
      <w:bookmarkEnd w:id="62"/>
      <w:bookmarkEnd w:id="63"/>
    </w:p>
    <w:p w14:paraId="68E3A48B">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（一）本合同自</w:t>
      </w:r>
      <w:r>
        <w:rPr>
          <w:rFonts w:hint="eastAsia" w:ascii="宋体" w:hAnsi="宋体" w:eastAsia="宋体" w:cs="宋体"/>
          <w:sz w:val="24"/>
          <w:szCs w:val="24"/>
          <w:lang w:val="en-US" w:eastAsia="zh-CN"/>
        </w:rPr>
        <w:t>双方法定代表人或其授权代表</w:t>
      </w:r>
      <w:r>
        <w:rPr>
          <w:rFonts w:hint="eastAsia" w:ascii="宋体" w:hAnsi="宋体" w:eastAsia="宋体" w:cs="宋体"/>
          <w:sz w:val="24"/>
          <w:szCs w:val="24"/>
          <w:lang w:eastAsia="zh-CN"/>
        </w:rPr>
        <w:t>签</w:t>
      </w:r>
      <w:r>
        <w:rPr>
          <w:rFonts w:hint="eastAsia" w:ascii="宋体" w:hAnsi="宋体" w:eastAsia="宋体" w:cs="宋体"/>
          <w:sz w:val="24"/>
          <w:szCs w:val="24"/>
          <w:lang w:val="en-US" w:eastAsia="zh-CN"/>
        </w:rPr>
        <w:t>字、盖章并加盖公章</w:t>
      </w:r>
      <w:r>
        <w:rPr>
          <w:rFonts w:hint="eastAsia" w:ascii="宋体" w:hAnsi="宋体" w:eastAsia="宋体" w:cs="宋体"/>
          <w:sz w:val="24"/>
          <w:szCs w:val="24"/>
          <w:lang w:eastAsia="zh-CN"/>
        </w:rPr>
        <w:t>之日起生效。</w:t>
      </w:r>
    </w:p>
    <w:p w14:paraId="5F303EB0">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（二）本合同一式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份，甲、乙双方各执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份，</w:t>
      </w:r>
      <w:r>
        <w:rPr>
          <w:rFonts w:hint="eastAsia" w:ascii="宋体" w:hAnsi="宋体" w:eastAsia="宋体" w:cs="宋体"/>
          <w:sz w:val="24"/>
          <w:szCs w:val="24"/>
          <w:lang w:val="en-US" w:eastAsia="zh-CN"/>
        </w:rPr>
        <w:t>具有同等法律效力</w:t>
      </w:r>
      <w:r>
        <w:rPr>
          <w:rFonts w:hint="eastAsia" w:ascii="宋体" w:hAnsi="宋体" w:eastAsia="宋体" w:cs="宋体"/>
          <w:sz w:val="24"/>
          <w:szCs w:val="24"/>
          <w:lang w:eastAsia="zh-CN"/>
        </w:rPr>
        <w:t>。</w:t>
      </w:r>
    </w:p>
    <w:p w14:paraId="6AB9CCD1">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（三）本合同未尽宜，由合同双方协商另行签订补充协议，补充协议与本合同具有同等法律效力。</w:t>
      </w:r>
    </w:p>
    <w:p w14:paraId="3586BC68">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（四）本合同附件与本合同具有同等法律效力。</w:t>
      </w:r>
    </w:p>
    <w:p w14:paraId="15DAEE93">
      <w:pPr>
        <w:pStyle w:val="12"/>
        <w:spacing w:line="338" w:lineRule="auto"/>
        <w:ind w:firstLine="480" w:firstLineChars="200"/>
        <w:rPr>
          <w:rFonts w:hint="eastAsia" w:ascii="宋体" w:hAnsi="宋体" w:eastAsia="宋体" w:cs="宋体"/>
          <w:sz w:val="24"/>
          <w:szCs w:val="24"/>
          <w:lang w:eastAsia="zh-CN"/>
        </w:rPr>
      </w:pPr>
    </w:p>
    <w:p w14:paraId="724EB998">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p>
    <w:p w14:paraId="31ABE49C">
      <w:pPr>
        <w:pStyle w:val="12"/>
        <w:spacing w:line="338" w:lineRule="auto"/>
        <w:rPr>
          <w:rFonts w:hint="eastAsia" w:ascii="宋体" w:hAnsi="宋体" w:eastAsia="宋体" w:cs="宋体"/>
          <w:sz w:val="24"/>
          <w:szCs w:val="24"/>
          <w:lang w:eastAsia="zh-CN"/>
        </w:rPr>
      </w:pPr>
    </w:p>
    <w:p w14:paraId="164C2CAE">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甲方：</w:t>
      </w:r>
      <w:r>
        <w:rPr>
          <w:rFonts w:hint="eastAsia" w:ascii="宋体" w:hAnsi="宋体" w:eastAsia="宋体" w:cs="宋体"/>
          <w:sz w:val="24"/>
          <w:szCs w:val="24"/>
          <w:lang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乙方：</w:t>
      </w:r>
    </w:p>
    <w:p w14:paraId="72961210">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法定代表人/负责人</w:t>
      </w:r>
      <w:r>
        <w:rPr>
          <w:rFonts w:hint="eastAsia" w:ascii="宋体" w:hAnsi="宋体" w:eastAsia="宋体" w:cs="宋体"/>
          <w:sz w:val="24"/>
          <w:szCs w:val="24"/>
          <w:lang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法定代表人/负责人</w:t>
      </w:r>
    </w:p>
    <w:p w14:paraId="7E184FA0">
      <w:pPr>
        <w:pStyle w:val="12"/>
        <w:spacing w:line="338"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或授权代表：</w:t>
      </w:r>
      <w:r>
        <w:rPr>
          <w:rFonts w:hint="eastAsia" w:ascii="宋体" w:hAnsi="宋体" w:eastAsia="宋体" w:cs="宋体"/>
          <w:sz w:val="24"/>
          <w:szCs w:val="24"/>
          <w:lang w:eastAsia="zh-CN"/>
        </w:rPr>
        <w:tab/>
      </w:r>
      <w:r>
        <w:rPr>
          <w:rFonts w:hint="eastAsia" w:ascii="宋体" w:hAnsi="宋体" w:eastAsia="宋体" w:cs="宋体"/>
          <w:sz w:val="24"/>
          <w:szCs w:val="24"/>
          <w:lang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或授权代表：</w:t>
      </w:r>
    </w:p>
    <w:p w14:paraId="794BA25E">
      <w:pPr>
        <w:pStyle w:val="12"/>
        <w:spacing w:line="338" w:lineRule="auto"/>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eastAsia="zh-CN"/>
        </w:rPr>
        <w:t>日期：</w:t>
      </w:r>
      <w:r>
        <w:rPr>
          <w:rFonts w:hint="eastAsia" w:ascii="宋体" w:hAnsi="宋体" w:eastAsia="宋体" w:cs="宋体"/>
          <w:sz w:val="24"/>
          <w:szCs w:val="24"/>
          <w:lang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日期：</w:t>
      </w:r>
    </w:p>
    <w:p w14:paraId="4493D038">
      <w:pPr>
        <w:spacing w:line="440" w:lineRule="exact"/>
        <w:jc w:val="center"/>
        <w:rPr>
          <w:rFonts w:hint="eastAsia" w:asciiTheme="minorEastAsia" w:hAnsiTheme="minorEastAsia" w:eastAsiaTheme="minorEastAsia" w:cstheme="minorEastAsia"/>
          <w:b/>
          <w:color w:val="auto"/>
          <w:sz w:val="32"/>
          <w:szCs w:val="32"/>
          <w:highlight w:val="none"/>
        </w:rPr>
      </w:pPr>
    </w:p>
    <w:sectPr>
      <w:footerReference r:id="rId3" w:type="default"/>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824D4">
    <w:pPr>
      <w:pStyle w:val="5"/>
      <w:jc w:val="center"/>
      <w:rPr>
        <w:rFonts w:ascii="楷体_GB2312" w:eastAsia="楷体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91DB0">
                          <w:pPr>
                            <w:pStyle w:val="5"/>
                          </w:pPr>
                          <w:r>
                            <w:t xml:space="preserve">— </w:t>
                          </w:r>
                          <w:r>
                            <w:fldChar w:fldCharType="begin"/>
                          </w:r>
                          <w:r>
                            <w:instrText xml:space="preserve"> PAGE  \* MERGEFORMAT </w:instrText>
                          </w:r>
                          <w:r>
                            <w:fldChar w:fldCharType="separate"/>
                          </w:r>
                          <w:r>
                            <w:t>52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3CD91DB0">
                    <w:pPr>
                      <w:pStyle w:val="5"/>
                    </w:pPr>
                    <w:r>
                      <w:t xml:space="preserve">— </w:t>
                    </w:r>
                    <w:r>
                      <w:fldChar w:fldCharType="begin"/>
                    </w:r>
                    <w:r>
                      <w:instrText xml:space="preserve"> PAGE  \* MERGEFORMAT </w:instrText>
                    </w:r>
                    <w:r>
                      <w:fldChar w:fldCharType="separate"/>
                    </w:r>
                    <w:r>
                      <w:t>52</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2CCA7"/>
    <w:multiLevelType w:val="singleLevel"/>
    <w:tmpl w:val="ED32CCA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NWMyMWQwODgzYWU0M2JiYWU5ZDNiOWM4ZjE2ZDkifQ=="/>
  </w:docVars>
  <w:rsids>
    <w:rsidRoot w:val="56B476BB"/>
    <w:rsid w:val="02CD7086"/>
    <w:rsid w:val="07350929"/>
    <w:rsid w:val="09E0077E"/>
    <w:rsid w:val="0B52745A"/>
    <w:rsid w:val="0DCB65DA"/>
    <w:rsid w:val="15666AC3"/>
    <w:rsid w:val="15BB209F"/>
    <w:rsid w:val="16A841C6"/>
    <w:rsid w:val="1B1C5874"/>
    <w:rsid w:val="1E502434"/>
    <w:rsid w:val="236B26A5"/>
    <w:rsid w:val="24B91EA0"/>
    <w:rsid w:val="28695261"/>
    <w:rsid w:val="2AC60A5D"/>
    <w:rsid w:val="2D5F5294"/>
    <w:rsid w:val="31A87524"/>
    <w:rsid w:val="3EBD6CAB"/>
    <w:rsid w:val="42D722D4"/>
    <w:rsid w:val="4C8F20EA"/>
    <w:rsid w:val="551B1C37"/>
    <w:rsid w:val="56B476BB"/>
    <w:rsid w:val="58A559D0"/>
    <w:rsid w:val="5A4C2893"/>
    <w:rsid w:val="5FC86D2B"/>
    <w:rsid w:val="62620EA5"/>
    <w:rsid w:val="63D47B81"/>
    <w:rsid w:val="66917E24"/>
    <w:rsid w:val="6FA54153"/>
    <w:rsid w:val="708C1B2E"/>
    <w:rsid w:val="71D3477A"/>
    <w:rsid w:val="72FD0776"/>
    <w:rsid w:val="7DBF4FA6"/>
    <w:rsid w:val="7E37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Body Text Indent"/>
    <w:basedOn w:val="1"/>
    <w:next w:val="1"/>
    <w:qFormat/>
    <w:uiPriority w:val="0"/>
    <w:pPr>
      <w:spacing w:afterLines="50" w:line="360" w:lineRule="exact"/>
      <w:ind w:firstLine="480" w:firstLineChars="200"/>
    </w:pPr>
    <w:rPr>
      <w:rFonts w:ascii="宋体" w:hAnsi="宋体"/>
      <w:sz w:val="24"/>
    </w:rPr>
  </w:style>
  <w:style w:type="paragraph" w:styleId="5">
    <w:name w:val="footer"/>
    <w:basedOn w:val="1"/>
    <w:next w:val="6"/>
    <w:qFormat/>
    <w:uiPriority w:val="0"/>
    <w:pPr>
      <w:tabs>
        <w:tab w:val="center" w:pos="4153"/>
        <w:tab w:val="right" w:pos="8306"/>
      </w:tabs>
      <w:snapToGrid w:val="0"/>
      <w:jc w:val="left"/>
    </w:pPr>
    <w:rPr>
      <w:sz w:val="18"/>
      <w:szCs w:val="18"/>
    </w:rPr>
  </w:style>
  <w:style w:type="paragraph" w:customStyle="1" w:styleId="6">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next w:val="1"/>
    <w:qFormat/>
    <w:uiPriority w:val="0"/>
    <w:pPr>
      <w:tabs>
        <w:tab w:val="left" w:pos="4900"/>
      </w:tabs>
      <w:ind w:firstLine="420"/>
    </w:pPr>
  </w:style>
  <w:style w:type="paragraph" w:customStyle="1" w:styleId="11">
    <w:name w:val="Char Char4 Char Char Char Char"/>
    <w:basedOn w:val="1"/>
    <w:autoRedefine/>
    <w:qFormat/>
    <w:uiPriority w:val="0"/>
    <w:pPr>
      <w:spacing w:line="440" w:lineRule="atLeast"/>
      <w:ind w:firstLine="482" w:firstLineChars="200"/>
    </w:pPr>
    <w:rPr>
      <w:rFonts w:ascii="宋体" w:hAnsi="宋体"/>
      <w:b/>
      <w:color w:val="000000"/>
      <w:sz w:val="24"/>
    </w:r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13">
    <w:name w:val="首行缩进"/>
    <w:basedOn w:val="1"/>
    <w:qFormat/>
    <w:uiPriority w:val="0"/>
    <w:pPr>
      <w:ind w:firstLine="480" w:firstLineChars="200"/>
    </w:pPr>
    <w:rPr>
      <w:rFonts w:ascii="Calibri" w:hAnsi="Calibri"/>
      <w:lang w:val="zh-CN"/>
    </w:rPr>
  </w:style>
  <w:style w:type="paragraph" w:customStyle="1" w:styleId="14">
    <w:name w:val="BodyText1I2"/>
    <w:basedOn w:val="15"/>
    <w:next w:val="1"/>
    <w:qFormat/>
    <w:uiPriority w:val="0"/>
    <w:pPr>
      <w:spacing w:after="120"/>
      <w:ind w:left="420" w:leftChars="200" w:firstLine="420" w:firstLineChars="200"/>
      <w:jc w:val="both"/>
      <w:textAlignment w:val="baseline"/>
    </w:pPr>
    <w:rPr>
      <w:rFonts w:ascii="Calibri" w:hAnsi="Calibri"/>
      <w:sz w:val="21"/>
      <w:szCs w:val="24"/>
    </w:rPr>
  </w:style>
  <w:style w:type="paragraph" w:customStyle="1" w:styleId="15">
    <w:name w:val="BodyTextIndent"/>
    <w:basedOn w:val="1"/>
    <w:qFormat/>
    <w:uiPriority w:val="0"/>
    <w:pPr>
      <w:spacing w:after="120"/>
      <w:ind w:left="200" w:leftChars="200"/>
      <w:jc w:val="both"/>
      <w:textAlignment w:val="baseline"/>
    </w:pPr>
  </w:style>
  <w:style w:type="paragraph" w:customStyle="1" w:styleId="16">
    <w:name w:val="正文1"/>
    <w:basedOn w:val="1"/>
    <w:qFormat/>
    <w:uiPriority w:val="0"/>
    <w:pPr>
      <w:ind w:firstLine="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2472</Words>
  <Characters>2537</Characters>
  <Lines>0</Lines>
  <Paragraphs>0</Paragraphs>
  <TotalTime>1</TotalTime>
  <ScaleCrop>false</ScaleCrop>
  <LinksUpToDate>false</LinksUpToDate>
  <CharactersWithSpaces>2712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2024-08-27T05:12:00Z</dcterms:created>
  <dc:creator>海若</dc:creator>
  <cp:lastModifiedBy>JYZB</cp:lastModifiedBy>
  <dcterms:modified xsi:type="dcterms:W3CDTF">2026-06-01T09:20:57Z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7D2915F8F1B04347A8DECA08571703A4_11</vt:lpwstr>
  </property>
  <property fmtid="{D5CDD505-2E9C-101B-9397-08002B2CF9AE}" pid="4" name="KSOTemplateDocerSaveRecord">
    <vt:lpwstr>eyJoZGlkIjoiYzZkYjI3YWY3Y2EyYzFjYzc3Mjc1NjQ2MjIxMjE1MmUiLCJ1c2VySWQiOiIyNDIxOTA0MzAifQ==</vt:lpwstr>
  </property>
</Properties>
</file>