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版本号：HXGJXM2026-ZC-CS105420260903001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北张村戏楼修缮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HXGJXM2026-ZC-CS1054</w:t>
      </w:r>
      <w:r>
        <w:br/>
      </w:r>
      <w:r>
        <w:br/>
      </w:r>
      <w:r>
        <w:br/>
      </w:r>
    </w:p>
    <w:p>
      <w:pPr>
        <w:pStyle w:val="null3"/>
        <w:jc w:val="center"/>
        <w:outlineLvl w:val="2"/>
      </w:pPr>
      <w:r>
        <w:rPr>
          <w:rFonts w:ascii="仿宋_GB2312" w:hAnsi="仿宋_GB2312" w:cs="仿宋_GB2312" w:eastAsia="仿宋_GB2312"/>
          <w:sz w:val="28"/>
          <w:b/>
        </w:rPr>
        <w:t>西安高新技术产业开发区宣传文旅局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西安高新技术产业开发区宣传文旅局</w:t>
      </w:r>
      <w:r>
        <w:rPr>
          <w:rFonts w:ascii="仿宋_GB2312" w:hAnsi="仿宋_GB2312" w:cs="仿宋_GB2312" w:eastAsia="仿宋_GB2312"/>
        </w:rPr>
        <w:t>委托，拟对</w:t>
      </w:r>
      <w:r>
        <w:rPr>
          <w:rFonts w:ascii="仿宋_GB2312" w:hAnsi="仿宋_GB2312" w:cs="仿宋_GB2312" w:eastAsia="仿宋_GB2312"/>
        </w:rPr>
        <w:t>北张村戏楼修缮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HXGJXM2026-ZC-CS1054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北张村戏楼修缮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北张村戏楼位于区兴隆街道北张村，是未定级不可移动文物，建于清代，戏楼坐北向南，面阔三间，是西安地区现存少有的地方特色古戏楼，具有重要价值。由于年久失修，屋面瓦件大面积破损、脱落，椽望和木构架糟朽开裂严重，部分墙体破损掏蚀，散水缺失，周边排水不畅，建筑本体出现了基础下沉、墙体失稳等险情，急需开展保护修缮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采购包1（北张村戏楼修缮）：属于专门面向中小企业采购。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p>
    <w:p>
      <w:pPr>
        <w:pStyle w:val="null3"/>
      </w:pPr>
      <w:r>
        <w:rPr>
          <w:rFonts w:ascii="仿宋_GB2312" w:hAnsi="仿宋_GB2312" w:cs="仿宋_GB2312" w:eastAsia="仿宋_GB2312"/>
        </w:rPr>
        <w:t>2、资质证书：供应商应具备文物保护工程施工二级及以上资质。</w:t>
      </w:r>
    </w:p>
    <w:p>
      <w:pPr>
        <w:pStyle w:val="null3"/>
      </w:pPr>
      <w:r>
        <w:rPr>
          <w:rFonts w:ascii="仿宋_GB2312" w:hAnsi="仿宋_GB2312" w:cs="仿宋_GB2312" w:eastAsia="仿宋_GB2312"/>
        </w:rPr>
        <w:t>3、拟派项目负责人资质专业要求：拟派项目经理须具有文物保护工程责任工程师资质</w:t>
      </w:r>
    </w:p>
    <w:p>
      <w:pPr>
        <w:pStyle w:val="null3"/>
      </w:pPr>
      <w:r>
        <w:rPr>
          <w:rFonts w:ascii="仿宋_GB2312" w:hAnsi="仿宋_GB2312" w:cs="仿宋_GB2312" w:eastAsia="仿宋_GB2312"/>
        </w:rPr>
        <w:t>4、信用记录：信用记录：供应商未被“信用中国”网站（www.creditchina.gov.cn）列入失信被执行人和重大税收违法失信主体，未被中国政府采购网（www.ccgp.gov.cn）列入政府采购严重违法失信行为记录名单。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5、非联合体：本项目不接受联合体磋商。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西安高新技术产业开发区宣传文旅局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西安高新区成章路丝路创智谷6号楼609室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宋文倩、陆文科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029-88899972-863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采购包1：733,900.00元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如有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代理服务费收费标准：定额9000元。 户名：华夏国际项目管理（西安）有限公司 开户行：中国工商银行股份有限公司西安城南科技支行 账号：3700024819200130193 成交单位在领取成交通知书前，须向采购代理机构一次性支付招标代理服务费。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西安高新技术产业开发区宣传文旅局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西安高新技术产业开发区宣传文旅局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西安高新技术产业开发区宣传文旅局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联系人：宋文倩、陆文科</w:t>
      </w:r>
    </w:p>
    <w:p>
      <w:pPr>
        <w:pStyle w:val="null3"/>
      </w:pPr>
      <w:r>
        <w:rPr>
          <w:rFonts w:ascii="仿宋_GB2312" w:hAnsi="仿宋_GB2312" w:cs="仿宋_GB2312" w:eastAsia="仿宋_GB2312"/>
        </w:rPr>
        <w:t>联系电话： 029-88899972-863</w:t>
      </w:r>
    </w:p>
    <w:p>
      <w:pPr>
        <w:pStyle w:val="null3"/>
      </w:pPr>
      <w:r>
        <w:rPr>
          <w:rFonts w:ascii="仿宋_GB2312" w:hAnsi="仿宋_GB2312" w:cs="仿宋_GB2312" w:eastAsia="仿宋_GB2312"/>
        </w:rPr>
        <w:t>地址：陕西省西安市莲湖区二环南路西段202号九座花园16层1605室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733,900.00</w:t>
      </w:r>
    </w:p>
    <w:p>
      <w:pPr>
        <w:pStyle w:val="null3"/>
      </w:pPr>
      <w:r>
        <w:rPr>
          <w:rFonts w:ascii="仿宋_GB2312" w:hAnsi="仿宋_GB2312" w:cs="仿宋_GB2312" w:eastAsia="仿宋_GB2312"/>
        </w:rPr>
        <w:t>采购包最高限价（元）: 733,900.00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北张村戏楼修缮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733,900.00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标的名称：北张村戏楼修缮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北张村戏楼位于区兴隆街道北张村，是未定级不可移动文物，建于清代，戏楼坐北向南，面阔三间，是西安地区现存少有的地方特色古戏楼，具有重要价值。由于年久失修，屋面瓦件大面积破损、脱落，椽望和木构架糟朽开裂严重，部分墙体破损掏蚀，散水缺失，周边排水不畅，建筑本体出现了基础下沉、墙体失稳等险情，急需开展保护修缮工作。</w:t>
            </w:r>
          </w:p>
          <w:p>
            <w:pPr>
              <w:pStyle w:val="null3"/>
              <w:jc w:val="both"/>
            </w:pPr>
            <w:r>
              <w:rPr>
                <w:rFonts w:ascii="仿宋_GB2312" w:hAnsi="仿宋_GB2312" w:cs="仿宋_GB2312" w:eastAsia="仿宋_GB2312"/>
                <w:sz w:val="21"/>
              </w:rPr>
              <w:t>编制依据</w:t>
            </w:r>
          </w:p>
          <w:p>
            <w:pPr>
              <w:pStyle w:val="null3"/>
              <w:jc w:val="both"/>
            </w:pPr>
            <w:r>
              <w:rPr>
                <w:rFonts w:ascii="仿宋_GB2312" w:hAnsi="仿宋_GB2312" w:cs="仿宋_GB2312" w:eastAsia="仿宋_GB2312"/>
                <w:sz w:val="21"/>
              </w:rPr>
              <w:t>1.陕西省《建设工程工程量清单计价标准》DB 61/T5126-2025，陕西省建设工程各专业工程量计算标准及国家现行有关法律法规、规范和标准的相关规定，参照《陕西省建设工程费用规则》（2025）、陕西省各专业工程消耗量定额（2025）及各专业工程基价表（2025）及配套费率等文件及其他相关的计价依据、办法及其配套的相关说明和规定文件。</w:t>
            </w:r>
          </w:p>
          <w:p>
            <w:pPr>
              <w:pStyle w:val="null3"/>
              <w:jc w:val="both"/>
            </w:pPr>
            <w:r>
              <w:rPr>
                <w:rFonts w:ascii="仿宋_GB2312" w:hAnsi="仿宋_GB2312" w:cs="仿宋_GB2312" w:eastAsia="仿宋_GB2312"/>
                <w:sz w:val="21"/>
              </w:rPr>
              <w:t>2.与建设工程有关的标准文件（包括标准图集）、规范、技术资料等。</w:t>
            </w:r>
          </w:p>
          <w:p>
            <w:pPr>
              <w:pStyle w:val="null3"/>
              <w:jc w:val="both"/>
            </w:pPr>
            <w:r>
              <w:rPr>
                <w:rFonts w:ascii="仿宋_GB2312" w:hAnsi="仿宋_GB2312" w:cs="仿宋_GB2312" w:eastAsia="仿宋_GB2312"/>
                <w:sz w:val="21"/>
              </w:rPr>
              <w:t>3.施工现场情况、工程特点及常规施工方案。</w:t>
            </w:r>
          </w:p>
          <w:p>
            <w:pPr>
              <w:pStyle w:val="null3"/>
              <w:jc w:val="both"/>
            </w:pPr>
            <w:r>
              <w:rPr>
                <w:rFonts w:ascii="仿宋_GB2312" w:hAnsi="仿宋_GB2312" w:cs="仿宋_GB2312" w:eastAsia="仿宋_GB2312"/>
                <w:sz w:val="21"/>
              </w:rPr>
              <w:t>4.建设单位提供的工程量清单编制要求。</w:t>
            </w:r>
          </w:p>
          <w:p>
            <w:pPr>
              <w:pStyle w:val="null3"/>
              <w:jc w:val="both"/>
            </w:pPr>
            <w:r>
              <w:rPr>
                <w:rFonts w:ascii="仿宋_GB2312" w:hAnsi="仿宋_GB2312" w:cs="仿宋_GB2312" w:eastAsia="仿宋_GB2312"/>
                <w:sz w:val="21"/>
              </w:rPr>
              <w:t>5.其他有关文件、资料。</w:t>
            </w:r>
          </w:p>
          <w:p>
            <w:pPr>
              <w:pStyle w:val="null3"/>
            </w:pPr>
            <w:r>
              <w:rPr>
                <w:rFonts w:ascii="仿宋_GB2312" w:hAnsi="仿宋_GB2312" w:cs="仿宋_GB2312" w:eastAsia="仿宋_GB2312"/>
                <w:sz w:val="21"/>
              </w:rPr>
              <w:t>具体项目信息详见清单和图纸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1、工期：自合同签订之日起90日历天，质保期：该工程项目质量保修期3年，中标人承诺的质保时间超过国家标准要求的，按其承诺时间质保。 2、结算方式 （1）合同签订后，达到甲方支付条件10个工作日内，支付合同总价款的40%，作为预付款； （2）工程进度完成70%，达到甲方支付条件10个工作日内，甲方向乙方支付合同总价款的30%； （3）项目经验收合格后，达到甲方支付条件10个工作日内，支付至审定价款的100%； （4）乙方应于甲方每次付款前提供等额正规发票。最后一次付款时应提供剩余款项全额正规发票。</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本项目预留金：6.7万元。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合格有效的法人或者其他组织的营业执照等证明文件，自然人的身份证明；供应商是法人或其他组织的应提供营业执照等证明文件，供应商是自然人的应提供有效的自然人身份证明。 (2)提供【2024或2025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(4)提供谈判截止日前一年内已缴存的至少一个月的社会保障资金缴存单据或社保机构开具的社会保险参保缴 费情况证明，依法不需要缴纳社会保 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供应商应具备文物保护工程施工二级及以上资质。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拟派项目负责人资质专业要求</w:t>
            </w:r>
          </w:p>
        </w:tc>
        <w:tc>
          <w:tcPr>
            <w:tcW w:type="dxa" w:w="3322"/>
          </w:tcPr>
          <w:p>
            <w:pPr>
              <w:pStyle w:val="null3"/>
            </w:pPr>
            <w:r>
              <w:rPr>
                <w:rFonts w:ascii="仿宋_GB2312" w:hAnsi="仿宋_GB2312" w:cs="仿宋_GB2312" w:eastAsia="仿宋_GB2312"/>
              </w:rPr>
              <w:t>拟派项目经理须具有文物保护工程责任工程师资质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其它资料.docx 施工组织设计.docx 强制优先采购产品承诺函 响应文件封面 供应商应提交的相关资格证明材料.docx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其它资料.docx 施工组织设计.docx 强制优先采购产品承诺函 响应文件封面 供应商应提交的相关资格证明材料.docx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其它资料.docx 施工组织设计.docx 强制优先采购产品承诺函 响应文件封面 供应商应提交的相关资格证明材料.docx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工期及质量保修期</w:t>
            </w:r>
          </w:p>
        </w:tc>
        <w:tc>
          <w:tcPr>
            <w:tcW w:type="dxa" w:w="3322"/>
          </w:tcPr>
          <w:p>
            <w:pPr>
              <w:pStyle w:val="null3"/>
            </w:pPr>
            <w:r>
              <w:rPr>
                <w:rFonts w:ascii="仿宋_GB2312" w:hAnsi="仿宋_GB2312" w:cs="仿宋_GB2312" w:eastAsia="仿宋_GB2312"/>
              </w:rPr>
              <w:t>应满足磋商文件中要求的工期、质量保修期</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其它资料.docx 施工组织设计.docx 强制优先采购产品承诺函 响应文件封面 供应商应提交的相关资格证明材料.docx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其它资料.docx 施工组织设计.docx 强制优先采购产品承诺函 响应文件封面 供应商应提交的相关资格证明材料.docx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项目实施方案详细完整可行、有针对性；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项目部人员配备及劳动力安排计划</w:t>
            </w:r>
          </w:p>
        </w:tc>
        <w:tc>
          <w:tcPr>
            <w:tcW w:type="dxa" w:w="2492"/>
          </w:tcPr>
          <w:p>
            <w:pPr>
              <w:pStyle w:val="null3"/>
            </w:pPr>
            <w:r>
              <w:rPr>
                <w:rFonts w:ascii="仿宋_GB2312" w:hAnsi="仿宋_GB2312" w:cs="仿宋_GB2312" w:eastAsia="仿宋_GB2312"/>
              </w:rPr>
              <w:t>一、评审内容 项目部人员配备充分、劳动力安排计划及劳务分包合理、可行；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w:t>
            </w:r>
          </w:p>
        </w:tc>
        <w:tc>
          <w:tcPr>
            <w:tcW w:type="dxa" w:w="2492"/>
          </w:tcPr>
          <w:p>
            <w:pPr>
              <w:pStyle w:val="null3"/>
            </w:pPr>
            <w:r>
              <w:rPr>
                <w:rFonts w:ascii="仿宋_GB2312" w:hAnsi="仿宋_GB2312" w:cs="仿宋_GB2312" w:eastAsia="仿宋_GB2312"/>
              </w:rPr>
              <w:t>一、评审内容 措施及环境保护计划方案齐全、合理且切实可行，覆盖全流程文明施工管控、扬尘噪声治理，完全满足采购人；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施工进度计划及工期保障措施</w:t>
            </w:r>
          </w:p>
        </w:tc>
        <w:tc>
          <w:tcPr>
            <w:tcW w:type="dxa" w:w="2492"/>
          </w:tcPr>
          <w:p>
            <w:pPr>
              <w:pStyle w:val="null3"/>
            </w:pPr>
            <w:r>
              <w:rPr>
                <w:rFonts w:ascii="仿宋_GB2312" w:hAnsi="仿宋_GB2312" w:cs="仿宋_GB2312" w:eastAsia="仿宋_GB2312"/>
              </w:rPr>
              <w:t>一、评审内容 有确切的施工进度横道图，明确总工期节点，列出了常规的人员、物资保障措施等；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针对本项目的临时性工作</w:t>
            </w:r>
          </w:p>
        </w:tc>
        <w:tc>
          <w:tcPr>
            <w:tcW w:type="dxa" w:w="2492"/>
          </w:tcPr>
          <w:p>
            <w:pPr>
              <w:pStyle w:val="null3"/>
            </w:pPr>
            <w:r>
              <w:rPr>
                <w:rFonts w:ascii="仿宋_GB2312" w:hAnsi="仿宋_GB2312" w:cs="仿宋_GB2312" w:eastAsia="仿宋_GB2312"/>
              </w:rPr>
              <w:t>一、评审内容 包含但不限于施工前置临时协调工作、工序衔接临时补位工作等方案；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阶段性工作及突发事件的应急处理方案</w:t>
            </w:r>
          </w:p>
        </w:tc>
        <w:tc>
          <w:tcPr>
            <w:tcW w:type="dxa" w:w="2492"/>
          </w:tcPr>
          <w:p>
            <w:pPr>
              <w:pStyle w:val="null3"/>
            </w:pPr>
            <w:r>
              <w:rPr>
                <w:rFonts w:ascii="仿宋_GB2312" w:hAnsi="仿宋_GB2312" w:cs="仿宋_GB2312" w:eastAsia="仿宋_GB2312"/>
              </w:rPr>
              <w:t>一、评审内容 项目的阶段性工作安排及突发事件的应急处理方案，包含不限于极端天气应急处置、高空坠物应急处置、突发火情应急处置等方案；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拟投入本项目的设备、机械、工具等</w:t>
            </w:r>
          </w:p>
        </w:tc>
        <w:tc>
          <w:tcPr>
            <w:tcW w:type="dxa" w:w="2492"/>
          </w:tcPr>
          <w:p>
            <w:pPr>
              <w:pStyle w:val="null3"/>
            </w:pPr>
            <w:r>
              <w:rPr>
                <w:rFonts w:ascii="仿宋_GB2312" w:hAnsi="仿宋_GB2312" w:cs="仿宋_GB2312" w:eastAsia="仿宋_GB2312"/>
              </w:rPr>
              <w:t>一、评审内容 施工机械配备合理并提供设备来源证明材料，及投入材料环保性达到国家标准；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一、评审内容 提供的安全作业方案及安全配套措施具体、详细，完全符合并优于采购人安全作业的要求；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工程质量通病专项防控方案</w:t>
            </w:r>
          </w:p>
        </w:tc>
        <w:tc>
          <w:tcPr>
            <w:tcW w:type="dxa" w:w="2492"/>
          </w:tcPr>
          <w:p>
            <w:pPr>
              <w:pStyle w:val="null3"/>
            </w:pPr>
            <w:r>
              <w:rPr>
                <w:rFonts w:ascii="仿宋_GB2312" w:hAnsi="仿宋_GB2312" w:cs="仿宋_GB2312" w:eastAsia="仿宋_GB2312"/>
              </w:rPr>
              <w:t>一、评审内容 屋面渗漏、木构件开裂、外墙彩绘起壳脱落、石作风化松动等高频质量问题建立全流程防控体系；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既有建筑成品保护方案</w:t>
            </w:r>
          </w:p>
        </w:tc>
        <w:tc>
          <w:tcPr>
            <w:tcW w:type="dxa" w:w="2492"/>
          </w:tcPr>
          <w:p>
            <w:pPr>
              <w:pStyle w:val="null3"/>
            </w:pPr>
            <w:r>
              <w:rPr>
                <w:rFonts w:ascii="仿宋_GB2312" w:hAnsi="仿宋_GB2312" w:cs="仿宋_GB2312" w:eastAsia="仿宋_GB2312"/>
              </w:rPr>
              <w:t>一、评审内容 需严格遵循文物保护“不改变文物原状”“最小干预”“可逆性”原则，避免对戏楼既有建筑本体造成二次破坏，完整保留其历史信息与文化价值，制定专项保护措施方案；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建筑垃圾闭环清运处置方案</w:t>
            </w:r>
          </w:p>
        </w:tc>
        <w:tc>
          <w:tcPr>
            <w:tcW w:type="dxa" w:w="2492"/>
          </w:tcPr>
          <w:p>
            <w:pPr>
              <w:pStyle w:val="null3"/>
            </w:pPr>
            <w:r>
              <w:rPr>
                <w:rFonts w:ascii="仿宋_GB2312" w:hAnsi="仿宋_GB2312" w:cs="仿宋_GB2312" w:eastAsia="仿宋_GB2312"/>
              </w:rPr>
              <w:t>一、评审内容 供应商制定施工垃圾当日分类清运计划，所有建筑垃圾不占用消防通道等区域，清运过程的降尘防护方案；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施工全过程留痕</w:t>
            </w:r>
          </w:p>
        </w:tc>
        <w:tc>
          <w:tcPr>
            <w:tcW w:type="dxa" w:w="2492"/>
          </w:tcPr>
          <w:p>
            <w:pPr>
              <w:pStyle w:val="null3"/>
            </w:pPr>
            <w:r>
              <w:rPr>
                <w:rFonts w:ascii="仿宋_GB2312" w:hAnsi="仿宋_GB2312" w:cs="仿宋_GB2312" w:eastAsia="仿宋_GB2312"/>
              </w:rPr>
              <w:t>一、评审内容 供应商对屋面基层处理、外墙基层施工等隐蔽工程环节全程留有相应资料，完工后同步提交完整的竣工图纸、检测报告等全套归档资料方案；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售后服务安排</w:t>
            </w:r>
          </w:p>
        </w:tc>
        <w:tc>
          <w:tcPr>
            <w:tcW w:type="dxa" w:w="2492"/>
          </w:tcPr>
          <w:p>
            <w:pPr>
              <w:pStyle w:val="null3"/>
            </w:pPr>
            <w:r>
              <w:rPr>
                <w:rFonts w:ascii="仿宋_GB2312" w:hAnsi="仿宋_GB2312" w:cs="仿宋_GB2312" w:eastAsia="仿宋_GB2312"/>
              </w:rPr>
              <w:t>一、评审内容 针对本项目售后响应时效机制，后期延续服务、应急兜底预案等；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w:t>
            </w:r>
          </w:p>
        </w:tc>
        <w:tc>
          <w:tcPr>
            <w:tcW w:type="dxa" w:w="2492"/>
          </w:tcPr>
          <w:p>
            <w:pPr>
              <w:pStyle w:val="null3"/>
            </w:pPr>
            <w:r>
              <w:rPr>
                <w:rFonts w:ascii="仿宋_GB2312" w:hAnsi="仿宋_GB2312" w:cs="仿宋_GB2312" w:eastAsia="仿宋_GB2312"/>
              </w:rPr>
              <w:t>新技术、新产品、新工艺、新材料应用，提供证明材料得1分，未提供不得分.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供应商2023年8月1日（以合同签订日期为准）同类项目业绩；每提供1份计3分，最高得15分。业绩证明（以合同为准，须在磋商响应文件中附合同复印件加盖单位公章）弄虚作假者，取消其成交资格。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2、有效最低报价为基准价得30分。 3、按（磋商基准价/有效最终磋商报价）×30的公式计算报价得分。 4、报价不完整的，不进入磋商基准价的计算，本项得0分。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