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B285E">
      <w:pPr>
        <w:pStyle w:val="9"/>
        <w:jc w:val="center"/>
        <w:outlineLvl w:val="1"/>
        <w:rPr>
          <w:color w:val="auto"/>
        </w:rPr>
      </w:pPr>
      <w:r>
        <w:rPr>
          <w:rFonts w:ascii="仿宋_GB2312" w:hAnsi="仿宋_GB2312" w:eastAsia="仿宋_GB2312" w:cs="仿宋_GB2312"/>
          <w:b/>
          <w:color w:val="auto"/>
          <w:sz w:val="36"/>
        </w:rPr>
        <w:t>拟签订采购合同文本</w:t>
      </w:r>
    </w:p>
    <w:p w14:paraId="3B54DF8F">
      <w:pPr>
        <w:pStyle w:val="9"/>
        <w:rPr>
          <w:color w:val="auto"/>
        </w:rPr>
      </w:pPr>
      <w:r>
        <w:rPr>
          <w:rFonts w:ascii="仿宋_GB2312" w:hAnsi="仿宋_GB2312" w:eastAsia="仿宋_GB2312" w:cs="仿宋_GB2312"/>
          <w:color w:val="auto"/>
        </w:rPr>
        <w:t>详见附件：</w:t>
      </w:r>
      <w:r>
        <w:rPr>
          <w:rFonts w:hint="eastAsia" w:ascii="仿宋_GB2312" w:hAnsi="仿宋_GB2312" w:eastAsia="仿宋_GB2312" w:cs="仿宋_GB2312"/>
          <w:color w:val="auto"/>
          <w:lang w:eastAsia="zh-CN"/>
        </w:rPr>
        <w:t>北张村戏楼修缮</w:t>
      </w:r>
      <w:r>
        <w:rPr>
          <w:rFonts w:ascii="仿宋_GB2312" w:hAnsi="仿宋_GB2312" w:eastAsia="仿宋_GB2312" w:cs="仿宋_GB2312"/>
          <w:color w:val="auto"/>
        </w:rPr>
        <w:t>项目施工合同.docx</w:t>
      </w:r>
    </w:p>
    <w:p w14:paraId="173ED51D">
      <w:pPr>
        <w:pStyle w:val="5"/>
        <w:jc w:val="center"/>
        <w:rPr>
          <w:rFonts w:hint="eastAsia" w:ascii="仿宋" w:hAnsi="仿宋" w:eastAsia="仿宋" w:cs="仿宋"/>
          <w:b/>
          <w:color w:val="auto"/>
          <w:spacing w:val="4"/>
          <w:sz w:val="36"/>
          <w:szCs w:val="48"/>
          <w:highlight w:val="none"/>
          <w:lang w:eastAsia="zh-CN"/>
        </w:rPr>
      </w:pPr>
      <w:r>
        <w:rPr>
          <w:rFonts w:ascii="仿宋_GB2312" w:hAnsi="仿宋_GB2312" w:eastAsia="仿宋_GB2312" w:cs="仿宋_GB2312"/>
          <w:color w:val="auto"/>
        </w:rPr>
        <w:t xml:space="preserve"> </w:t>
      </w:r>
      <w:r>
        <w:rPr>
          <w:rFonts w:ascii="仿宋_GB2312" w:hAnsi="仿宋_GB2312" w:eastAsia="仿宋_GB2312" w:cs="仿宋_GB2312"/>
          <w:color w:val="auto"/>
        </w:rPr>
        <w:br w:type="textWrapping"/>
      </w:r>
      <w:r>
        <w:rPr>
          <w:rFonts w:hint="eastAsia" w:ascii="仿宋" w:hAnsi="仿宋" w:eastAsia="仿宋" w:cs="仿宋"/>
          <w:b/>
          <w:color w:val="auto"/>
          <w:spacing w:val="4"/>
          <w:sz w:val="36"/>
          <w:szCs w:val="48"/>
          <w:highlight w:val="none"/>
          <w:lang w:eastAsia="zh-CN"/>
        </w:rPr>
        <w:t>北张村戏楼修缮</w:t>
      </w:r>
    </w:p>
    <w:p w14:paraId="1D3ED1EE">
      <w:pPr>
        <w:pStyle w:val="5"/>
        <w:rPr>
          <w:rFonts w:hint="eastAsia" w:ascii="仿宋" w:hAnsi="仿宋" w:eastAsia="仿宋" w:cs="仿宋"/>
          <w:b/>
          <w:color w:val="auto"/>
          <w:spacing w:val="4"/>
          <w:sz w:val="36"/>
          <w:szCs w:val="48"/>
          <w:highlight w:val="none"/>
          <w:lang w:eastAsia="zh-CN"/>
        </w:rPr>
      </w:pPr>
    </w:p>
    <w:p w14:paraId="4B1DED11">
      <w:pPr>
        <w:pStyle w:val="5"/>
        <w:jc w:val="center"/>
        <w:rPr>
          <w:rFonts w:hint="eastAsia" w:ascii="仿宋" w:hAnsi="仿宋" w:eastAsia="仿宋" w:cs="仿宋"/>
          <w:color w:val="auto"/>
          <w:sz w:val="16"/>
          <w:szCs w:val="20"/>
        </w:rPr>
      </w:pPr>
      <w:r>
        <w:rPr>
          <w:rFonts w:hint="eastAsia" w:ascii="仿宋" w:hAnsi="仿宋" w:eastAsia="仿宋" w:cs="仿宋"/>
          <w:b/>
          <w:color w:val="auto"/>
          <w:spacing w:val="4"/>
          <w:sz w:val="36"/>
          <w:szCs w:val="48"/>
          <w:highlight w:val="none"/>
          <w:lang w:eastAsia="zh-CN"/>
        </w:rPr>
        <w:t>（示范文本）</w:t>
      </w:r>
    </w:p>
    <w:p w14:paraId="3EE66706">
      <w:pPr>
        <w:adjustRightInd w:val="0"/>
        <w:snapToGrid w:val="0"/>
        <w:spacing w:before="60" w:after="60" w:line="360" w:lineRule="auto"/>
        <w:rPr>
          <w:rFonts w:hint="eastAsia" w:ascii="仿宋" w:hAnsi="仿宋" w:eastAsia="仿宋" w:cs="仿宋"/>
          <w:color w:val="auto"/>
          <w:sz w:val="24"/>
          <w:szCs w:val="24"/>
          <w:highlight w:val="none"/>
        </w:rPr>
      </w:pPr>
    </w:p>
    <w:p w14:paraId="1FA14DFB">
      <w:pPr>
        <w:adjustRightInd w:val="0"/>
        <w:snapToGrid w:val="0"/>
        <w:spacing w:before="60" w:after="60" w:line="360" w:lineRule="auto"/>
        <w:rPr>
          <w:rFonts w:hint="eastAsia" w:ascii="仿宋" w:hAnsi="仿宋" w:eastAsia="仿宋" w:cs="仿宋"/>
          <w:color w:val="auto"/>
          <w:sz w:val="24"/>
          <w:szCs w:val="24"/>
          <w:highlight w:val="none"/>
        </w:rPr>
      </w:pPr>
    </w:p>
    <w:p w14:paraId="452D1D00">
      <w:pPr>
        <w:adjustRightInd w:val="0"/>
        <w:snapToGrid w:val="0"/>
        <w:spacing w:before="60" w:after="60" w:line="360" w:lineRule="auto"/>
        <w:rPr>
          <w:rFonts w:hint="eastAsia" w:ascii="仿宋" w:hAnsi="仿宋" w:eastAsia="仿宋" w:cs="仿宋"/>
          <w:color w:val="auto"/>
          <w:sz w:val="24"/>
          <w:szCs w:val="24"/>
          <w:highlight w:val="none"/>
        </w:rPr>
      </w:pPr>
    </w:p>
    <w:p w14:paraId="4992F3A5">
      <w:pPr>
        <w:pStyle w:val="4"/>
        <w:rPr>
          <w:rFonts w:hint="eastAsia" w:ascii="仿宋" w:hAnsi="仿宋" w:eastAsia="仿宋" w:cs="仿宋"/>
          <w:color w:val="auto"/>
          <w:sz w:val="24"/>
          <w:szCs w:val="24"/>
          <w:highlight w:val="none"/>
        </w:rPr>
      </w:pPr>
    </w:p>
    <w:p w14:paraId="34A5E433">
      <w:pPr>
        <w:pStyle w:val="4"/>
        <w:rPr>
          <w:rFonts w:hint="eastAsia" w:ascii="仿宋" w:hAnsi="仿宋" w:eastAsia="仿宋" w:cs="仿宋"/>
          <w:color w:val="auto"/>
          <w:sz w:val="24"/>
          <w:szCs w:val="24"/>
          <w:highlight w:val="none"/>
        </w:rPr>
      </w:pPr>
    </w:p>
    <w:p w14:paraId="131A519B">
      <w:pPr>
        <w:adjustRightInd w:val="0"/>
        <w:snapToGrid w:val="0"/>
        <w:spacing w:before="60" w:after="60" w:line="360" w:lineRule="auto"/>
        <w:rPr>
          <w:rFonts w:hint="eastAsia" w:ascii="仿宋" w:hAnsi="仿宋" w:eastAsia="仿宋" w:cs="仿宋"/>
          <w:color w:val="auto"/>
          <w:sz w:val="24"/>
          <w:szCs w:val="24"/>
          <w:highlight w:val="none"/>
        </w:rPr>
      </w:pPr>
    </w:p>
    <w:p w14:paraId="2815AD33">
      <w:pPr>
        <w:pStyle w:val="5"/>
        <w:rPr>
          <w:rFonts w:hint="eastAsia" w:ascii="仿宋" w:hAnsi="仿宋" w:eastAsia="仿宋" w:cs="仿宋"/>
          <w:color w:val="auto"/>
        </w:rPr>
      </w:pPr>
    </w:p>
    <w:p w14:paraId="21EE521F">
      <w:pPr>
        <w:pStyle w:val="2"/>
        <w:rPr>
          <w:rFonts w:hint="eastAsia" w:ascii="仿宋" w:hAnsi="仿宋" w:eastAsia="仿宋" w:cs="仿宋"/>
          <w:color w:val="auto"/>
          <w:highlight w:val="none"/>
        </w:rPr>
      </w:pPr>
    </w:p>
    <w:p w14:paraId="097F8C20">
      <w:pPr>
        <w:spacing w:line="360" w:lineRule="auto"/>
        <w:ind w:firstLine="2049" w:firstLineChars="745"/>
        <w:jc w:val="left"/>
        <w:rPr>
          <w:rFonts w:hint="eastAsia" w:ascii="仿宋" w:hAnsi="仿宋" w:eastAsia="仿宋" w:cs="仿宋"/>
          <w:b/>
          <w:color w:val="auto"/>
          <w:w w:val="98"/>
          <w:sz w:val="28"/>
          <w:szCs w:val="28"/>
          <w:highlight w:val="none"/>
          <w:lang w:val="en-US" w:eastAsia="zh-CN"/>
        </w:rPr>
      </w:pPr>
      <w:r>
        <w:rPr>
          <w:rFonts w:hint="eastAsia" w:ascii="仿宋" w:hAnsi="仿宋" w:eastAsia="仿宋" w:cs="仿宋"/>
          <w:b/>
          <w:color w:val="auto"/>
          <w:w w:val="98"/>
          <w:sz w:val="28"/>
          <w:szCs w:val="28"/>
          <w:highlight w:val="none"/>
        </w:rPr>
        <w:t>项目编号：</w:t>
      </w:r>
      <w:r>
        <w:rPr>
          <w:rFonts w:hint="eastAsia" w:ascii="仿宋" w:hAnsi="仿宋" w:eastAsia="仿宋" w:cs="仿宋"/>
          <w:b/>
          <w:color w:val="auto"/>
          <w:w w:val="98"/>
          <w:sz w:val="28"/>
          <w:szCs w:val="28"/>
          <w:highlight w:val="none"/>
          <w:lang w:eastAsia="zh-CN"/>
        </w:rPr>
        <w:t>HXGJXM2026-ZC-CS1054</w:t>
      </w:r>
    </w:p>
    <w:p w14:paraId="25640BF7">
      <w:pPr>
        <w:spacing w:line="360" w:lineRule="auto"/>
        <w:ind w:firstLine="2049" w:firstLineChars="745"/>
        <w:jc w:val="left"/>
        <w:rPr>
          <w:rFonts w:hint="eastAsia" w:ascii="仿宋" w:hAnsi="仿宋" w:eastAsia="仿宋" w:cs="仿宋"/>
          <w:b/>
          <w:color w:val="auto"/>
          <w:w w:val="98"/>
          <w:sz w:val="28"/>
          <w:szCs w:val="28"/>
          <w:highlight w:val="none"/>
          <w:lang w:eastAsia="zh-CN"/>
        </w:rPr>
      </w:pPr>
      <w:r>
        <w:rPr>
          <w:rFonts w:hint="eastAsia" w:ascii="仿宋" w:hAnsi="仿宋" w:eastAsia="仿宋" w:cs="仿宋"/>
          <w:b/>
          <w:color w:val="auto"/>
          <w:w w:val="98"/>
          <w:sz w:val="28"/>
          <w:szCs w:val="28"/>
          <w:highlight w:val="none"/>
        </w:rPr>
        <w:t>项目名称：</w:t>
      </w:r>
      <w:r>
        <w:rPr>
          <w:rFonts w:hint="eastAsia" w:ascii="仿宋" w:hAnsi="仿宋" w:eastAsia="仿宋" w:cs="仿宋"/>
          <w:b/>
          <w:color w:val="auto"/>
          <w:w w:val="98"/>
          <w:sz w:val="28"/>
          <w:szCs w:val="28"/>
          <w:highlight w:val="none"/>
          <w:lang w:eastAsia="zh-CN"/>
        </w:rPr>
        <w:t>北张村戏楼修缮</w:t>
      </w:r>
    </w:p>
    <w:p w14:paraId="6804E3CA">
      <w:pPr>
        <w:spacing w:line="360" w:lineRule="auto"/>
        <w:ind w:firstLine="2094" w:firstLineChars="745"/>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发包人：</w:t>
      </w:r>
      <w:r>
        <w:rPr>
          <w:rFonts w:hint="eastAsia" w:ascii="仿宋" w:hAnsi="仿宋" w:eastAsia="仿宋" w:cs="仿宋"/>
          <w:b/>
          <w:color w:val="auto"/>
          <w:sz w:val="28"/>
          <w:szCs w:val="28"/>
          <w:highlight w:val="none"/>
          <w:lang w:val="en-US" w:eastAsia="zh-CN"/>
        </w:rPr>
        <w:t>西安高新技术产业开发区宣传文旅局</w:t>
      </w:r>
    </w:p>
    <w:p w14:paraId="376DD936">
      <w:pPr>
        <w:spacing w:line="360" w:lineRule="auto"/>
        <w:ind w:firstLine="2094" w:firstLineChars="745"/>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 包 人:</w:t>
      </w:r>
    </w:p>
    <w:p w14:paraId="4DCAF0E4">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 </w:t>
      </w:r>
    </w:p>
    <w:p w14:paraId="2AB77206">
      <w:pPr>
        <w:adjustRightInd w:val="0"/>
        <w:snapToGrid w:val="0"/>
        <w:spacing w:before="60" w:after="60"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二〇二</w:t>
      </w:r>
      <w:r>
        <w:rPr>
          <w:rFonts w:hint="eastAsia" w:ascii="仿宋" w:hAnsi="仿宋" w:eastAsia="仿宋" w:cs="仿宋"/>
          <w:b/>
          <w:color w:val="auto"/>
          <w:sz w:val="28"/>
          <w:szCs w:val="28"/>
          <w:highlight w:val="none"/>
          <w:lang w:val="en-US" w:eastAsia="zh-CN"/>
        </w:rPr>
        <w:t>六</w:t>
      </w:r>
      <w:r>
        <w:rPr>
          <w:rFonts w:hint="eastAsia" w:ascii="仿宋" w:hAnsi="仿宋" w:eastAsia="仿宋" w:cs="仿宋"/>
          <w:b/>
          <w:color w:val="auto"/>
          <w:sz w:val="28"/>
          <w:szCs w:val="28"/>
          <w:highlight w:val="none"/>
        </w:rPr>
        <w:t>年    月    日</w:t>
      </w:r>
    </w:p>
    <w:p w14:paraId="0B13A951">
      <w:pPr>
        <w:adjustRightInd w:val="0"/>
        <w:snapToGrid w:val="0"/>
        <w:spacing w:before="60" w:after="60" w:line="360" w:lineRule="auto"/>
        <w:jc w:val="center"/>
        <w:rPr>
          <w:rFonts w:hint="eastAsia" w:ascii="仿宋" w:hAnsi="仿宋" w:eastAsia="仿宋" w:cs="仿宋"/>
          <w:color w:val="auto"/>
          <w:sz w:val="24"/>
          <w:szCs w:val="24"/>
          <w:highlight w:val="none"/>
        </w:rPr>
      </w:pPr>
    </w:p>
    <w:p w14:paraId="64FBB8AD">
      <w:pPr>
        <w:adjustRightInd w:val="0"/>
        <w:snapToGrid w:val="0"/>
        <w:spacing w:before="60" w:after="60" w:line="360" w:lineRule="auto"/>
        <w:jc w:val="center"/>
        <w:rPr>
          <w:rFonts w:hint="eastAsia" w:ascii="仿宋" w:hAnsi="仿宋" w:eastAsia="仿宋" w:cs="仿宋"/>
          <w:color w:val="auto"/>
          <w:sz w:val="24"/>
          <w:szCs w:val="24"/>
          <w:highlight w:val="none"/>
        </w:rPr>
      </w:pPr>
    </w:p>
    <w:p w14:paraId="0C3A9FA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
          <w:bCs/>
          <w:color w:val="auto"/>
          <w:sz w:val="32"/>
          <w:szCs w:val="32"/>
          <w:highlight w:val="none"/>
        </w:rPr>
        <w:t>合同文件格式</w:t>
      </w:r>
    </w:p>
    <w:p w14:paraId="6A1A8F72">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w:t>
      </w:r>
      <w:r>
        <w:rPr>
          <w:rFonts w:hint="eastAsia" w:ascii="仿宋" w:hAnsi="仿宋" w:eastAsia="仿宋" w:cs="仿宋"/>
          <w:bCs/>
          <w:color w:val="auto"/>
          <w:sz w:val="24"/>
          <w:szCs w:val="24"/>
          <w:highlight w:val="none"/>
          <w:lang w:eastAsia="zh-CN"/>
        </w:rPr>
        <w:t>招标</w:t>
      </w:r>
      <w:r>
        <w:rPr>
          <w:rFonts w:hint="eastAsia" w:ascii="仿宋" w:hAnsi="仿宋" w:eastAsia="仿宋" w:cs="仿宋"/>
          <w:bCs/>
          <w:color w:val="auto"/>
          <w:sz w:val="24"/>
          <w:szCs w:val="24"/>
          <w:highlight w:val="none"/>
        </w:rPr>
        <w:t>人）：</w:t>
      </w:r>
    </w:p>
    <w:p w14:paraId="09A66A35">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7828DB5C">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根据《中华人民共和国民法典》、《中华人民共和国</w:t>
      </w:r>
      <w:r>
        <w:rPr>
          <w:rFonts w:hint="eastAsia" w:ascii="仿宋" w:hAnsi="仿宋" w:eastAsia="仿宋" w:cs="仿宋"/>
          <w:bCs/>
          <w:color w:val="auto"/>
          <w:sz w:val="24"/>
          <w:szCs w:val="24"/>
          <w:highlight w:val="none"/>
          <w:lang w:eastAsia="zh-CN"/>
        </w:rPr>
        <w:t>政府采购</w:t>
      </w:r>
      <w:r>
        <w:rPr>
          <w:rFonts w:hint="eastAsia" w:ascii="仿宋" w:hAnsi="仿宋" w:eastAsia="仿宋" w:cs="仿宋"/>
          <w:bCs/>
          <w:color w:val="auto"/>
          <w:sz w:val="24"/>
          <w:szCs w:val="24"/>
          <w:highlight w:val="none"/>
        </w:rPr>
        <w:t>法》及其他有关法律、法规，遵循平等、自愿、公平和诚信的原则，双方就下述工程委托与相关服务事项协商一致，订立本合同。</w:t>
      </w:r>
    </w:p>
    <w:p w14:paraId="4D0013F1">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30573D1A">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lang w:val="en-US" w:eastAsia="zh-CN"/>
        </w:rPr>
        <w:t xml:space="preserve">            （￥：     元）</w:t>
      </w:r>
      <w:r>
        <w:rPr>
          <w:rFonts w:hint="eastAsia" w:ascii="仿宋" w:hAnsi="仿宋" w:eastAsia="仿宋" w:cs="仿宋"/>
          <w:bCs/>
          <w:color w:val="auto"/>
          <w:sz w:val="24"/>
          <w:szCs w:val="24"/>
          <w:highlight w:val="none"/>
        </w:rPr>
        <w:t>。</w:t>
      </w:r>
    </w:p>
    <w:p w14:paraId="3AA82C1B">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图纸及工程量清单的全部内容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3DA2450B">
      <w:pPr>
        <w:autoSpaceDE w:val="0"/>
        <w:autoSpaceDN w:val="0"/>
        <w:adjustRightInd w:val="0"/>
        <w:spacing w:line="48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1F68FA75">
      <w:pPr>
        <w:autoSpaceDE w:val="0"/>
        <w:autoSpaceDN w:val="0"/>
        <w:adjustRightInd w:val="0"/>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（1）合同签订后，达到甲方支付条件10个工作日内，支付合同总价款的40%，作为预付款；</w:t>
      </w:r>
    </w:p>
    <w:p w14:paraId="0CDE44E4">
      <w:pPr>
        <w:autoSpaceDE w:val="0"/>
        <w:autoSpaceDN w:val="0"/>
        <w:adjustRightInd w:val="0"/>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（2）工程进度完成70%，达到甲方支付条件10个工作日内，甲方向乙方支付合同总价款的30%；</w:t>
      </w:r>
    </w:p>
    <w:p w14:paraId="289F76C6">
      <w:pPr>
        <w:autoSpaceDE w:val="0"/>
        <w:autoSpaceDN w:val="0"/>
        <w:adjustRightInd w:val="0"/>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（3）项目经验收合格后，达到甲方支付条件10个工作日内，支付至审定价款的100%；</w:t>
      </w:r>
    </w:p>
    <w:p w14:paraId="22A7E99D">
      <w:pPr>
        <w:autoSpaceDE w:val="0"/>
        <w:autoSpaceDN w:val="0"/>
        <w:adjustRightInd w:val="0"/>
        <w:spacing w:line="48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（4）乙方应于甲方每次付款前提供等额正规发票。最后一次付款时应提供剩余款项全额正规发票。</w:t>
      </w:r>
    </w:p>
    <w:p w14:paraId="249B4D84">
      <w:pPr>
        <w:autoSpaceDE w:val="0"/>
        <w:autoSpaceDN w:val="0"/>
        <w:adjustRightInd w:val="0"/>
        <w:spacing w:line="48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5387CAA6">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（一）实施地点：甲方指定地点。</w:t>
      </w:r>
    </w:p>
    <w:p w14:paraId="7ACE8259">
      <w:pPr>
        <w:autoSpaceDE w:val="0"/>
        <w:autoSpaceDN w:val="0"/>
        <w:adjustRightInd w:val="0"/>
        <w:spacing w:line="48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eastAsia="zh-CN"/>
        </w:rPr>
        <w:t>自合同签订之日起90日历天</w:t>
      </w:r>
      <w:r>
        <w:rPr>
          <w:rFonts w:hint="eastAsia" w:ascii="仿宋" w:hAnsi="仿宋" w:eastAsia="仿宋" w:cs="仿宋"/>
          <w:bCs/>
          <w:color w:val="auto"/>
          <w:sz w:val="24"/>
          <w:szCs w:val="24"/>
          <w:highlight w:val="none"/>
        </w:rPr>
        <w:t>。</w:t>
      </w:r>
    </w:p>
    <w:p w14:paraId="7D824220">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4944630D">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28097C8">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pacing w:val="1"/>
          <w:sz w:val="24"/>
          <w:szCs w:val="24"/>
        </w:rPr>
        <w:t>达到国家现行施工验收规范“合格”标准</w:t>
      </w:r>
      <w:r>
        <w:rPr>
          <w:rFonts w:hint="eastAsia" w:ascii="仿宋" w:hAnsi="仿宋" w:eastAsia="仿宋" w:cs="仿宋"/>
          <w:color w:val="auto"/>
          <w:sz w:val="24"/>
          <w:szCs w:val="24"/>
          <w:highlight w:val="none"/>
          <w:lang w:val="zh-CN"/>
        </w:rPr>
        <w:t>。</w:t>
      </w:r>
    </w:p>
    <w:p w14:paraId="25D947CB">
      <w:pPr>
        <w:autoSpaceDE w:val="0"/>
        <w:autoSpaceDN w:val="0"/>
        <w:adjustRightInd w:val="0"/>
        <w:spacing w:line="48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该工程项目质量保修期3年，中标人承诺的质保时间超过国家标准要求的，按其承诺时间质保。</w:t>
      </w:r>
    </w:p>
    <w:p w14:paraId="4553096F">
      <w:pPr>
        <w:spacing w:line="48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7EC1C57A">
      <w:pPr>
        <w:spacing w:line="48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1EE12AE7">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732A0CA4">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730F1B47">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48B9F51B">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030FDB5">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1D9683A6">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41543A4A">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1057EA0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4D0647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BD34B4E">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7A6023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14384DF">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494BF10">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5079D394">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409ECCA7">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7ED72E3C">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673C02F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41495DD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0B7B8FFF">
      <w:pPr>
        <w:autoSpaceDE w:val="0"/>
        <w:autoSpaceDN w:val="0"/>
        <w:adjustRightInd w:val="0"/>
        <w:spacing w:line="48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val="zh-CN"/>
        </w:rPr>
        <w:t>违约责任</w:t>
      </w:r>
    </w:p>
    <w:p w14:paraId="18F54EBD">
      <w:pPr>
        <w:autoSpaceDE w:val="0"/>
        <w:autoSpaceDN w:val="0"/>
        <w:adjustRightInd w:val="0"/>
        <w:spacing w:line="480" w:lineRule="auto"/>
        <w:ind w:firstLine="470" w:firstLineChars="196"/>
        <w:rPr>
          <w:rFonts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承包方不得将本合同的全部或部分以任何形式转分给第三人，否则发包方有权解除合同并要求承包方承担本合同总额10%的违约金。</w:t>
      </w:r>
    </w:p>
    <w:p w14:paraId="046E6EE0">
      <w:pPr>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承包方逾期完工的，每逾期一日，发包方有权按日以本合同总额的【1%】收取违约金。逾期达到【15】日（含）的，发包方有权单方解除合同，并要求承包方承担本合同总额【20%】的违约金。以上款项发包方有权在应付款项中直接扣除。</w:t>
      </w:r>
    </w:p>
    <w:p w14:paraId="1DA7395B">
      <w:pPr>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0E181EA2">
      <w:pPr>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793BD571">
      <w:pPr>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160FB1CA">
      <w:pPr>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549484AE">
      <w:pPr>
        <w:spacing w:line="360" w:lineRule="auto"/>
        <w:ind w:firstLine="663" w:firstLineChars="300"/>
        <w:jc w:val="left"/>
        <w:textAlignment w:val="baseline"/>
        <w:rPr>
          <w:rFonts w:hint="eastAsia" w:ascii="仿宋" w:hAnsi="仿宋" w:eastAsia="仿宋" w:cs="仿宋"/>
          <w:b/>
          <w:color w:val="auto"/>
          <w:sz w:val="24"/>
          <w:szCs w:val="24"/>
          <w:highlight w:val="none"/>
        </w:rPr>
      </w:pPr>
      <w:r>
        <w:rPr>
          <w:rFonts w:hint="eastAsia" w:eastAsia="仿宋"/>
          <w:b/>
          <w:bCs/>
          <w:color w:val="auto"/>
          <w:sz w:val="22"/>
          <w:szCs w:val="22"/>
          <w:lang w:val="en-US" w:eastAsia="zh-CN"/>
        </w:rPr>
        <w:t>七</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color w:val="auto"/>
          <w:sz w:val="24"/>
          <w:szCs w:val="24"/>
          <w:highlight w:val="none"/>
        </w:rPr>
        <w:t>双方权利及义务</w:t>
      </w:r>
    </w:p>
    <w:p w14:paraId="7C78FDDE">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1.甲乙双方必须遵守本合同并执行合同中的各项规定，保证本合同的正常履行。</w:t>
      </w:r>
    </w:p>
    <w:p w14:paraId="1FF4F805">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2.本合同签订后甲乙双方不得单方终止合同，如乙方违约，应退还预付款，并赔偿给甲方实际造成的损失。</w:t>
      </w:r>
    </w:p>
    <w:p w14:paraId="7CA4C526">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3.如因乙方存在以下行为，甲方有权终止合同，依法向乙方进行经济索赔，并报请政府采购监督管理机关进行相应的行政处罚。</w:t>
      </w:r>
    </w:p>
    <w:p w14:paraId="0DCBB2F3">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① 相应资质被取消；</w:t>
      </w:r>
    </w:p>
    <w:p w14:paraId="75D5ABD0">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② 存在弄虚作假、传递虚假信息等违法违规行为；</w:t>
      </w:r>
    </w:p>
    <w:p w14:paraId="23A48B68">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③ 基础设施及人员不能满足需要，提出后拒不整改；</w:t>
      </w:r>
    </w:p>
    <w:p w14:paraId="4F181F3B">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④ 网络舆情或媒体报道存在不规范操作行为；</w:t>
      </w:r>
    </w:p>
    <w:p w14:paraId="2907F21C">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⑤ 未全面履行合同义务或者发生违约。</w:t>
      </w:r>
    </w:p>
    <w:p w14:paraId="596858AB">
      <w:pPr>
        <w:spacing w:line="360" w:lineRule="auto"/>
        <w:ind w:firstLine="631" w:firstLineChars="263"/>
        <w:jc w:val="left"/>
        <w:textAlignment w:val="baseline"/>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4.本合同未经双方同意，任何一方不得以任何形式公开本合同及附件内容，以确保双方的商业机密。</w:t>
      </w:r>
    </w:p>
    <w:p w14:paraId="4A91B45E">
      <w:pPr>
        <w:spacing w:line="360" w:lineRule="auto"/>
        <w:ind w:firstLine="631"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val="0"/>
          <w:bCs/>
          <w:color w:val="auto"/>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2CEC49">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、组成合同的文件</w:t>
      </w:r>
    </w:p>
    <w:p w14:paraId="3D4A789E">
      <w:pPr>
        <w:spacing w:line="48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7C44724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6989BFA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通知书</w:t>
      </w:r>
    </w:p>
    <w:p w14:paraId="49B9ABE4">
      <w:pPr>
        <w:spacing w:line="48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文件及其附件</w:t>
      </w:r>
      <w:r>
        <w:rPr>
          <w:rFonts w:hint="eastAsia" w:ascii="仿宋" w:hAnsi="仿宋" w:eastAsia="仿宋" w:cs="仿宋"/>
          <w:color w:val="auto"/>
          <w:sz w:val="24"/>
          <w:szCs w:val="24"/>
          <w:highlight w:val="none"/>
          <w:lang w:eastAsia="zh-CN"/>
        </w:rPr>
        <w:t>、投标报价</w:t>
      </w:r>
      <w:r>
        <w:rPr>
          <w:rFonts w:hint="eastAsia" w:ascii="仿宋" w:hAnsi="仿宋" w:eastAsia="仿宋" w:cs="仿宋"/>
          <w:color w:val="auto"/>
          <w:sz w:val="24"/>
          <w:szCs w:val="24"/>
          <w:highlight w:val="none"/>
        </w:rPr>
        <w:t>清单表</w:t>
      </w:r>
    </w:p>
    <w:p w14:paraId="7BF960D2">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8A38F65">
      <w:pPr>
        <w:autoSpaceDE w:val="0"/>
        <w:autoSpaceDN w:val="0"/>
        <w:adjustRightInd w:val="0"/>
        <w:spacing w:line="48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rPr>
        <w:t>、验收</w:t>
      </w:r>
    </w:p>
    <w:p w14:paraId="45820DD4">
      <w:pPr>
        <w:autoSpaceDE w:val="0"/>
        <w:autoSpaceDN w:val="0"/>
        <w:adjustRightInd w:val="0"/>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300D4F8">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088E1D7B">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7AA7D803">
      <w:pPr>
        <w:spacing w:line="48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验收依据：</w:t>
      </w:r>
    </w:p>
    <w:p w14:paraId="69D2DEFF">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合同、</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文件、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文件及承诺。</w:t>
      </w:r>
    </w:p>
    <w:p w14:paraId="5B5D9C4D">
      <w:pPr>
        <w:spacing w:line="48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国家相关</w:t>
      </w:r>
      <w:r>
        <w:rPr>
          <w:rFonts w:hint="eastAsia" w:ascii="仿宋" w:hAnsi="仿宋" w:eastAsia="仿宋" w:cs="仿宋"/>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37EAC74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、争议的解决方式</w:t>
      </w:r>
    </w:p>
    <w:p w14:paraId="121949C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 双方均可向项目所在地人民法院起诉。</w:t>
      </w:r>
    </w:p>
    <w:p w14:paraId="6A80F883">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、其他</w:t>
      </w:r>
    </w:p>
    <w:p w14:paraId="7D000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229A430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、附则</w:t>
      </w:r>
    </w:p>
    <w:p w14:paraId="4C6B6C8F">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（一）本合同一式份，正本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份。</w:t>
      </w:r>
    </w:p>
    <w:p w14:paraId="458C44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7"/>
        <w:tblW w:w="8403" w:type="dxa"/>
        <w:jc w:val="center"/>
        <w:tblLayout w:type="fixed"/>
        <w:tblCellMar>
          <w:top w:w="0" w:type="dxa"/>
          <w:left w:w="108" w:type="dxa"/>
          <w:bottom w:w="0" w:type="dxa"/>
          <w:right w:w="108" w:type="dxa"/>
        </w:tblCellMar>
      </w:tblPr>
      <w:tblGrid>
        <w:gridCol w:w="4201"/>
        <w:gridCol w:w="4202"/>
      </w:tblGrid>
      <w:tr w14:paraId="733B5C6E">
        <w:tblPrEx>
          <w:tblCellMar>
            <w:top w:w="0" w:type="dxa"/>
            <w:left w:w="108" w:type="dxa"/>
            <w:bottom w:w="0" w:type="dxa"/>
            <w:right w:w="108" w:type="dxa"/>
          </w:tblCellMar>
        </w:tblPrEx>
        <w:trPr>
          <w:trHeight w:val="567" w:hRule="exact"/>
          <w:jc w:val="center"/>
        </w:trPr>
        <w:tc>
          <w:tcPr>
            <w:tcW w:w="4201" w:type="dxa"/>
            <w:noWrap/>
            <w:vAlign w:val="center"/>
          </w:tcPr>
          <w:p w14:paraId="3EF8695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6670371">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00E1EEEC">
        <w:tblPrEx>
          <w:tblCellMar>
            <w:top w:w="0" w:type="dxa"/>
            <w:left w:w="108" w:type="dxa"/>
            <w:bottom w:w="0" w:type="dxa"/>
            <w:right w:w="108" w:type="dxa"/>
          </w:tblCellMar>
        </w:tblPrEx>
        <w:trPr>
          <w:trHeight w:val="567" w:hRule="exact"/>
          <w:jc w:val="center"/>
        </w:trPr>
        <w:tc>
          <w:tcPr>
            <w:tcW w:w="4201" w:type="dxa"/>
            <w:noWrap/>
            <w:vAlign w:val="center"/>
          </w:tcPr>
          <w:p w14:paraId="0A3C4850">
            <w:pPr>
              <w:autoSpaceDE w:val="0"/>
              <w:autoSpaceDN w:val="0"/>
              <w:adjustRightInd w:val="0"/>
              <w:spacing w:line="480" w:lineRule="auto"/>
              <w:ind w:firstLine="700" w:firstLineChars="35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31A95B27">
            <w:pPr>
              <w:autoSpaceDE w:val="0"/>
              <w:autoSpaceDN w:val="0"/>
              <w:adjustRightInd w:val="0"/>
              <w:spacing w:line="480" w:lineRule="auto"/>
              <w:ind w:firstLine="800" w:firstLineChars="4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31430C9A">
        <w:tblPrEx>
          <w:tblCellMar>
            <w:top w:w="0" w:type="dxa"/>
            <w:left w:w="108" w:type="dxa"/>
            <w:bottom w:w="0" w:type="dxa"/>
            <w:right w:w="108" w:type="dxa"/>
          </w:tblCellMar>
        </w:tblPrEx>
        <w:trPr>
          <w:trHeight w:val="567" w:hRule="exact"/>
          <w:jc w:val="center"/>
        </w:trPr>
        <w:tc>
          <w:tcPr>
            <w:tcW w:w="4201" w:type="dxa"/>
            <w:noWrap/>
            <w:vAlign w:val="center"/>
          </w:tcPr>
          <w:p w14:paraId="4BE5A28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0869F68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36B0DB08">
        <w:tblPrEx>
          <w:tblCellMar>
            <w:top w:w="0" w:type="dxa"/>
            <w:left w:w="108" w:type="dxa"/>
            <w:bottom w:w="0" w:type="dxa"/>
            <w:right w:w="108" w:type="dxa"/>
          </w:tblCellMar>
        </w:tblPrEx>
        <w:trPr>
          <w:trHeight w:val="567" w:hRule="exact"/>
          <w:jc w:val="center"/>
        </w:trPr>
        <w:tc>
          <w:tcPr>
            <w:tcW w:w="4201" w:type="dxa"/>
            <w:noWrap/>
            <w:vAlign w:val="center"/>
          </w:tcPr>
          <w:p w14:paraId="40B50F3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30C5A07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603041DC">
        <w:tblPrEx>
          <w:tblCellMar>
            <w:top w:w="0" w:type="dxa"/>
            <w:left w:w="108" w:type="dxa"/>
            <w:bottom w:w="0" w:type="dxa"/>
            <w:right w:w="108" w:type="dxa"/>
          </w:tblCellMar>
        </w:tblPrEx>
        <w:trPr>
          <w:trHeight w:val="567" w:hRule="exact"/>
          <w:jc w:val="center"/>
        </w:trPr>
        <w:tc>
          <w:tcPr>
            <w:tcW w:w="4201" w:type="dxa"/>
            <w:noWrap/>
            <w:vAlign w:val="center"/>
          </w:tcPr>
          <w:p w14:paraId="17C5E83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法定代表人： </w:t>
            </w:r>
          </w:p>
        </w:tc>
        <w:tc>
          <w:tcPr>
            <w:tcW w:w="4202" w:type="dxa"/>
            <w:noWrap/>
            <w:vAlign w:val="center"/>
          </w:tcPr>
          <w:p w14:paraId="598C75D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p>
        </w:tc>
      </w:tr>
      <w:tr w14:paraId="1522EFB2">
        <w:tblPrEx>
          <w:tblCellMar>
            <w:top w:w="0" w:type="dxa"/>
            <w:left w:w="108" w:type="dxa"/>
            <w:bottom w:w="0" w:type="dxa"/>
            <w:right w:w="108" w:type="dxa"/>
          </w:tblCellMar>
        </w:tblPrEx>
        <w:trPr>
          <w:trHeight w:val="567" w:hRule="exact"/>
          <w:jc w:val="center"/>
        </w:trPr>
        <w:tc>
          <w:tcPr>
            <w:tcW w:w="4201" w:type="dxa"/>
            <w:noWrap/>
            <w:vAlign w:val="center"/>
          </w:tcPr>
          <w:p w14:paraId="37E90BE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c>
          <w:tcPr>
            <w:tcW w:w="4202" w:type="dxa"/>
            <w:noWrap/>
            <w:vAlign w:val="center"/>
          </w:tcPr>
          <w:p w14:paraId="6C28EE3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r>
      <w:tr w14:paraId="4FA121B6">
        <w:tblPrEx>
          <w:tblCellMar>
            <w:top w:w="0" w:type="dxa"/>
            <w:left w:w="108" w:type="dxa"/>
            <w:bottom w:w="0" w:type="dxa"/>
            <w:right w:w="108" w:type="dxa"/>
          </w:tblCellMar>
        </w:tblPrEx>
        <w:trPr>
          <w:trHeight w:val="567" w:hRule="exact"/>
          <w:jc w:val="center"/>
        </w:trPr>
        <w:tc>
          <w:tcPr>
            <w:tcW w:w="4201" w:type="dxa"/>
            <w:noWrap/>
            <w:vAlign w:val="center"/>
          </w:tcPr>
          <w:p w14:paraId="0CD7CDF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0DA9844C">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4763CC6">
        <w:tblPrEx>
          <w:tblCellMar>
            <w:top w:w="0" w:type="dxa"/>
            <w:left w:w="108" w:type="dxa"/>
            <w:bottom w:w="0" w:type="dxa"/>
            <w:right w:w="108" w:type="dxa"/>
          </w:tblCellMar>
        </w:tblPrEx>
        <w:trPr>
          <w:trHeight w:val="567" w:hRule="exact"/>
          <w:jc w:val="center"/>
        </w:trPr>
        <w:tc>
          <w:tcPr>
            <w:tcW w:w="4201" w:type="dxa"/>
            <w:noWrap/>
            <w:vAlign w:val="center"/>
          </w:tcPr>
          <w:p w14:paraId="015397C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64DBB44F">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5E0D72B9">
        <w:tblPrEx>
          <w:tblCellMar>
            <w:top w:w="0" w:type="dxa"/>
            <w:left w:w="108" w:type="dxa"/>
            <w:bottom w:w="0" w:type="dxa"/>
            <w:right w:w="108" w:type="dxa"/>
          </w:tblCellMar>
        </w:tblPrEx>
        <w:trPr>
          <w:trHeight w:val="567" w:hRule="exact"/>
          <w:jc w:val="center"/>
        </w:trPr>
        <w:tc>
          <w:tcPr>
            <w:tcW w:w="4201" w:type="dxa"/>
            <w:noWrap/>
            <w:vAlign w:val="center"/>
          </w:tcPr>
          <w:p w14:paraId="26A5D8D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2D023731">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7D05D9A4">
        <w:tblPrEx>
          <w:tblCellMar>
            <w:top w:w="0" w:type="dxa"/>
            <w:left w:w="108" w:type="dxa"/>
            <w:bottom w:w="0" w:type="dxa"/>
            <w:right w:w="108" w:type="dxa"/>
          </w:tblCellMar>
        </w:tblPrEx>
        <w:trPr>
          <w:trHeight w:val="567" w:hRule="exact"/>
          <w:jc w:val="center"/>
        </w:trPr>
        <w:tc>
          <w:tcPr>
            <w:tcW w:w="4201" w:type="dxa"/>
            <w:noWrap/>
            <w:vAlign w:val="center"/>
          </w:tcPr>
          <w:p w14:paraId="49677088">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日期</w:t>
            </w:r>
            <w:r>
              <w:rPr>
                <w:rFonts w:hint="eastAsia" w:ascii="仿宋" w:hAnsi="仿宋" w:eastAsia="仿宋" w:cs="仿宋"/>
                <w:color w:val="auto"/>
                <w:spacing w:val="-20"/>
                <w:kern w:val="0"/>
                <w:sz w:val="24"/>
                <w:szCs w:val="24"/>
                <w:highlight w:val="none"/>
                <w:lang w:eastAsia="zh-CN"/>
              </w:rPr>
              <w:t>：</w:t>
            </w:r>
          </w:p>
        </w:tc>
        <w:tc>
          <w:tcPr>
            <w:tcW w:w="4202" w:type="dxa"/>
            <w:noWrap/>
            <w:vAlign w:val="center"/>
          </w:tcPr>
          <w:p w14:paraId="7C7B954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534110B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16D1D"/>
    <w:rsid w:val="2B516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1"/>
    <w:qFormat/>
    <w:uiPriority w:val="0"/>
    <w:pPr>
      <w:ind w:firstLine="480"/>
    </w:pPr>
    <w:rPr>
      <w:rFonts w:ascii="宋体" w:hAnsi="宋体"/>
    </w:rPr>
  </w:style>
  <w:style w:type="paragraph" w:styleId="4">
    <w:name w:val="Plain Text"/>
    <w:basedOn w:val="1"/>
    <w:qFormat/>
    <w:uiPriority w:val="99"/>
    <w:rPr>
      <w:rFonts w:ascii="宋体" w:hAnsi="Courier New"/>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2026-09-03T02:29:00Z</dcterms:created>
  <dc:creator>华夏国际-招标部</dc:creator>
  <cp:lastModifiedBy>华夏国际-招标部</cp:lastModifiedBy>
  <dcterms:modified xsi:type="dcterms:W3CDTF">2026-09-03T02:29:37Z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54262EB5C1F0434285BC72B074DC4007_11</vt:lpwstr>
  </property>
  <property fmtid="{D5CDD505-2E9C-101B-9397-08002B2CF9AE}" pid="4" name="KSOTemplateDocerSaveRecord">
    <vt:lpwstr>eyJoZGlkIjoiOTliZmFiMTgxMjAzMGU2Mjk0ZGExYmI2MWRhM2Y3ZjgiLCJ1c2VySWQiOiIxNTQ4NTM4NTMxIn0=</vt:lpwstr>
  </property>
</Properties>
</file>