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版本号：RDX-ZB2026第026号20260805001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2025年度国土变更调查及森林草原湿地荒漠调查监测项目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RDX-ZB2026第026号</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2025年度国土变更调查及森林草原湿地荒漠调查监测项目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RDX-ZB2026第026号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2025年度国土变更调查及森林草原湿地荒漠调查监测项目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国土变更调查及森林草原湿地荒漠调查监测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采购包1（2025年度国土变更调查及森林草原湿地荒漠调查监测）：属于专门面向中小企业采购。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1、供应商资质要求：供应商须具备行政主管部门颁发的林业调查规划设计乙级及以上资质。</w:t>
      </w:r>
    </w:p>
    <w:p>
      <w:pPr>
        <w:pStyle w:val="null3"/>
      </w:pPr>
      <w:r>
        <w:rPr>
          <w:rFonts w:ascii="仿宋_GB2312" w:hAnsi="仿宋_GB2312" w:cs="仿宋_GB2312" w:eastAsia="仿宋_GB2312"/>
        </w:rPr>
        <w:t>2、供应商授权：供应商应授权合法的人员参加投标全过程，其中法定代表人直接参加投标的，须出具法人身份证原件，法定代表人授权代表参加投标的，须出具法定代表人有效的授权书及被授权代表身份证</w:t>
      </w:r>
    </w:p>
    <w:p>
      <w:pPr>
        <w:pStyle w:val="null3"/>
      </w:pPr>
      <w:r>
        <w:rPr>
          <w:rFonts w:ascii="仿宋_GB2312" w:hAnsi="仿宋_GB2312" w:cs="仿宋_GB2312" w:eastAsia="仿宋_GB2312"/>
        </w:rPr>
        <w:t>3、信用记录：不得为“信用中国(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13991605160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代理服务费收费标准：代理服务费收费标准：参考《国家发展改革委关于降低部分建设项目收费标准规范收费行为等有关问题的通知》（发改价格[2011]534号）文件及采购代理合同收取。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国土变更及森林草原湿地荒漠调查监测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651,200.00</w:t>
      </w:r>
    </w:p>
    <w:p>
      <w:pPr>
        <w:pStyle w:val="null3"/>
      </w:pPr>
      <w:r>
        <w:rPr>
          <w:rFonts w:ascii="仿宋_GB2312" w:hAnsi="仿宋_GB2312" w:cs="仿宋_GB2312" w:eastAsia="仿宋_GB2312"/>
        </w:rPr>
        <w:t>采购包最高限价（元）: 651,200.00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2025年度国土变更调查及森林草原湿地荒漠调查监测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标的名称：2025年度国土变更调查及森林草原湿地荒漠调查监测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1、项目概况：为落实自然资源部、国家林业和草原局</w:t>
            </w:r>
            <w:r>
              <w:rPr>
                <w:rFonts w:ascii="仿宋_GB2312" w:hAnsi="仿宋_GB2312" w:cs="仿宋_GB2312" w:eastAsia="仿宋_GB2312"/>
                <w:sz w:val="21"/>
              </w:rPr>
              <w:t>"</w:t>
            </w:r>
            <w:r>
              <w:rPr>
                <w:rFonts w:ascii="仿宋_GB2312" w:hAnsi="仿宋_GB2312" w:cs="仿宋_GB2312" w:eastAsia="仿宋_GB2312"/>
                <w:sz w:val="21"/>
              </w:rPr>
              <w:t>一张图</w:t>
            </w:r>
            <w:r>
              <w:rPr>
                <w:rFonts w:ascii="仿宋_GB2312" w:hAnsi="仿宋_GB2312" w:cs="仿宋_GB2312" w:eastAsia="仿宋_GB2312"/>
                <w:sz w:val="21"/>
              </w:rPr>
              <w:t>"</w:t>
            </w:r>
            <w:r>
              <w:rPr>
                <w:rFonts w:ascii="仿宋_GB2312" w:hAnsi="仿宋_GB2312" w:cs="仿宋_GB2312" w:eastAsia="仿宋_GB2312"/>
                <w:sz w:val="21"/>
              </w:rPr>
              <w:t>建设工作要求，深化</w:t>
            </w:r>
            <w:r>
              <w:rPr>
                <w:rFonts w:ascii="仿宋_GB2312" w:hAnsi="仿宋_GB2312" w:cs="仿宋_GB2312" w:eastAsia="仿宋_GB2312"/>
                <w:sz w:val="21"/>
              </w:rPr>
              <w:t>"</w:t>
            </w:r>
            <w:r>
              <w:rPr>
                <w:rFonts w:ascii="仿宋_GB2312" w:hAnsi="仿宋_GB2312" w:cs="仿宋_GB2312" w:eastAsia="仿宋_GB2312"/>
                <w:sz w:val="21"/>
              </w:rPr>
              <w:t>四个融合”，丰富完善并持续更新自然资源调查监测统一现状图，根据森林草原湿地荒漠化调查监测工作需要，</w:t>
            </w:r>
            <w:r>
              <w:rPr>
                <w:rFonts w:ascii="仿宋_GB2312" w:hAnsi="仿宋_GB2312" w:cs="仿宋_GB2312" w:eastAsia="仿宋_GB2312"/>
                <w:sz w:val="21"/>
              </w:rPr>
              <w:t>进行</w:t>
            </w:r>
            <w:r>
              <w:rPr>
                <w:rFonts w:ascii="仿宋_GB2312" w:hAnsi="仿宋_GB2312" w:cs="仿宋_GB2312" w:eastAsia="仿宋_GB2312"/>
                <w:sz w:val="21"/>
              </w:rPr>
              <w:t>2025</w:t>
            </w:r>
            <w:r>
              <w:rPr>
                <w:rFonts w:ascii="仿宋_GB2312" w:hAnsi="仿宋_GB2312" w:cs="仿宋_GB2312" w:eastAsia="仿宋_GB2312"/>
                <w:sz w:val="21"/>
              </w:rPr>
              <w:t>年度国土变更调查及森林草原湿地荒漠调查监测</w:t>
            </w:r>
          </w:p>
          <w:p>
            <w:pPr>
              <w:pStyle w:val="null3"/>
              <w:ind w:firstLine="420"/>
              <w:jc w:val="both"/>
            </w:pPr>
            <w:r>
              <w:rPr>
                <w:rFonts w:ascii="仿宋_GB2312" w:hAnsi="仿宋_GB2312" w:cs="仿宋_GB2312" w:eastAsia="仿宋_GB2312"/>
                <w:sz w:val="21"/>
              </w:rPr>
              <w:t>2、服务内容和要求</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上</w:t>
            </w:r>
            <w:r>
              <w:rPr>
                <w:rFonts w:ascii="仿宋_GB2312" w:hAnsi="仿宋_GB2312" w:cs="仿宋_GB2312" w:eastAsia="仿宋_GB2312"/>
                <w:sz w:val="21"/>
              </w:rPr>
              <w:t>年度调查成果基础上，接照</w:t>
            </w:r>
            <w:r>
              <w:rPr>
                <w:rFonts w:ascii="仿宋_GB2312" w:hAnsi="仿宋_GB2312" w:cs="仿宋_GB2312" w:eastAsia="仿宋_GB2312"/>
                <w:sz w:val="21"/>
              </w:rPr>
              <w:t>"</w:t>
            </w:r>
            <w:r>
              <w:rPr>
                <w:rFonts w:ascii="仿宋_GB2312" w:hAnsi="仿宋_GB2312" w:cs="仿宋_GB2312" w:eastAsia="仿宋_GB2312"/>
                <w:sz w:val="21"/>
              </w:rPr>
              <w:t>统一标准、统一时点、统一平台</w:t>
            </w:r>
            <w:r>
              <w:rPr>
                <w:rFonts w:ascii="仿宋_GB2312" w:hAnsi="仿宋_GB2312" w:cs="仿宋_GB2312" w:eastAsia="仿宋_GB2312"/>
                <w:sz w:val="21"/>
              </w:rPr>
              <w:t>"</w:t>
            </w:r>
            <w:r>
              <w:rPr>
                <w:rFonts w:ascii="仿宋_GB2312" w:hAnsi="仿宋_GB2312" w:cs="仿宋_GB2312" w:eastAsia="仿宋_GB2312"/>
                <w:sz w:val="21"/>
              </w:rPr>
              <w:t>等要求，开展</w:t>
            </w:r>
            <w:r>
              <w:rPr>
                <w:rFonts w:ascii="仿宋_GB2312" w:hAnsi="仿宋_GB2312" w:cs="仿宋_GB2312" w:eastAsia="仿宋_GB2312"/>
                <w:sz w:val="21"/>
              </w:rPr>
              <w:t>国土变更调查及森林草原湿地荒漠调查监测，查清南郑区林业局境内国土利用现状及植被覆盖类型等资源属性的变化情况，汇总形成年度现状数据，完成</w:t>
            </w:r>
            <w:r>
              <w:rPr>
                <w:rFonts w:ascii="仿宋_GB2312" w:hAnsi="仿宋_GB2312" w:cs="仿宋_GB2312" w:eastAsia="仿宋_GB2312"/>
                <w:sz w:val="21"/>
              </w:rPr>
              <w:t>2025</w:t>
            </w:r>
            <w:r>
              <w:rPr>
                <w:rFonts w:ascii="仿宋_GB2312" w:hAnsi="仿宋_GB2312" w:cs="仿宋_GB2312" w:eastAsia="仿宋_GB2312"/>
                <w:sz w:val="21"/>
              </w:rPr>
              <w:t>年度国土变更调查及森林草原湿地荒漠调查监测</w:t>
            </w:r>
            <w:r>
              <w:rPr>
                <w:rFonts w:ascii="仿宋_GB2312" w:hAnsi="仿宋_GB2312" w:cs="仿宋_GB2312" w:eastAsia="仿宋_GB2312"/>
                <w:sz w:val="21"/>
              </w:rPr>
              <w:t>工作</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3、服务标准：</w:t>
            </w:r>
            <w:r>
              <w:rPr>
                <w:rFonts w:ascii="仿宋_GB2312" w:hAnsi="仿宋_GB2312" w:cs="仿宋_GB2312" w:eastAsia="仿宋_GB2312"/>
                <w:sz w:val="21"/>
              </w:rPr>
              <w:t>严格遵循国土调查行业规范，落实全流程数据安全管控，全部成果符合各级主管部门验收规范。</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自合同签订之日起10日历天提交成果文件并通过验收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完成本项目全部调查工作，提交完整合规调查成果，确保成果顺利通过市级、省级、部级验收。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进度款，成果提交后 ，达到付款条件起10个工作日内，支付合同总金额的50.0%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采用银行转账缴纳磋商保证金的供应商须备注项目名称；采用电子保函提交磋商保证金的供应商，须在投标响应文件提交截止时间前将电子保函发送至邮箱369655531@qq.com，代理机构收到保函后将由财务处出具保函接收凭证。四、成交供应商在领取成交通知书时，须提交纸质磋商响应文件正本壹份、副本贰份、电子版壹份（U盘壹份注明单位名称），内容和通过电子化交易平台提交的磋商响应文件一致；纸质投标文件正副本分别胶装成册，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 （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（3）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供应商须具备行政主管部门颁发的林业调查规划设计乙级及以上资质。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供应商应授权合法的人员参加投标全过程，其中法定代表人直接参加投标的，须出具法人身份证原件，法定代表人授权代表参加投标的，须出具法定代表人有效的授权书及被授权代表身份证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投标人应与营业执照、资质证书、公章一致。</w:t>
            </w:r>
          </w:p>
        </w:tc>
        <w:tc>
          <w:tcPr>
            <w:tcW w:type="dxa" w:w="1661"/>
          </w:tcPr>
          <w:p>
            <w:pPr>
              <w:pStyle w:val="null3"/>
            </w:pPr>
            <w:r>
              <w:rPr>
                <w:rFonts w:ascii="仿宋_GB2312" w:hAnsi="仿宋_GB2312" w:cs="仿宋_GB2312" w:eastAsia="仿宋_GB2312"/>
              </w:rPr>
              <w:t>响应文件封面 业绩一览表.docx 供应商应提交的相关资格证明材料.docx 拟投入本项目的主要设备表.docx 中小企业声明函 残疾人福利性单位声明函 商务应答表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业绩一览表.docx 拟投入本项目的主要设备表.docx 中小企业声明函 商务应答表 报价表 响应文件封面 项目团队人员情况表.docx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1.报价未超过采购包最高限价且报价唯一； 2.报价货币符合招标文件要求。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1661"/>
          </w:tcPr>
          <w:p>
            <w:pPr>
              <w:pStyle w:val="null3"/>
            </w:pPr>
            <w:r>
              <w:rPr>
                <w:rFonts w:ascii="仿宋_GB2312" w:hAnsi="仿宋_GB2312" w:cs="仿宋_GB2312" w:eastAsia="仿宋_GB2312"/>
              </w:rPr>
              <w:t>业绩一览表.docx 拟投入本项目的主要设备表.docx 中小企业声明函 商务应答表 报价表 响应文件封面 项目团队人员情况表.docx 供应商应提交的相关资格证明材料.docx 残疾人福利性单位声明函 标的清单 服务内容及服务要求应答表.docx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提出针对于本项目的工作计划总体方案，方案内容包含 ①服务总体设想及目标②国土变更调查方案③林草湿荒调查方案④具体作业方法。 二、评审标准（每一项） （1）方案完整、针对性强、可实施性高，得3分。 （2）方案基本完整、具有一定的针对性、可实施性，得2分。 （3）方案完整性较为全面、针对性、可实施性一般，得1分。 （4）缺乏针对性、可实施性、完整性，得0.5分。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供应商针对本项目编制适用于本项目的进度控制方案，内容包括：①项目实施进度计划，②详细的进度计划表或示意图，③项目进度保障措施。 二、评审标准（每一项） （1）方案完整、针对性强、可实施性高，得2分。 （2）方案基本完整、具有一定的针对性、可实施性，得1.5分。 （3）方案完整性较为全面、针对性、可实施性一般，得1分。 （4）缺乏针对性、可实施性、完整性，得0.5分。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供应商针对本项目实际情况制定完善的后续服务方案，内容包括：①后续服务内容，②服务方式及响应时间，③后期成果汇总完善管理措施。 二、评审标准（每一项） （1）方案完整、针对性强、可实施性高，得2分。 （2）方案基本完整、具有一定的针对性、可实施性，得1.5分。 （3）方案完整性较为全面、针对性、可实施性一般，得1分。 （4）缺乏针对性、可实施性、完整性，得0.5分。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供应商提供本项目安全方案及安全保障体系，内容包括：①系统安全②信息安全③管理安全④数据安全。 二、评审标准（每一项） （1）方案完整、针对性强、可实施性高，得2分。 （2）方案基本完整、具有一定的针对性、可实施性，得1.5分。 （3）方案完整性较为全面、针对性、可实施性一般，得1分。 （4）缺乏针对性、可实施性、完整性，得0.5分。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一、评审内容： 供应商针对本项目执行过程中的重点、难点情况进行分析并提出控制措施，内容包括：①数据收集整理，②空间信息细化补充，③数据质量核查④成果汇交。 二、评审标准（每一项） （1）方案完整、针对性强、可实施性高，得2分。 （2）方案基本完整、具有一定的针对性、可实施性，得1.5分。 （3）方案完整性较为全面、针对性、可实施性一般，得1分。 （4）缺乏针对性、可实施性、完整性，得0.5分。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1、承诺：上岗人员固定，按磋商响应文件人员清单配备落实，不随意更换，若出现人员因事、病等不能工作的，及时调整人员补充，确保调查工作正常进行，得2分，无承诺不得分。 2、承诺：储备可调度人员，调度人员能够保障临时性工作需要及处置突发事件，得2分，无承诺不得分。 3、承诺：磋商响应文件中提供的主要设备落实到位，所有仪器经专业计量校准单位进行校准且在有效期内，得2分，无承诺不得分。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成果质量保障承诺</w:t>
            </w:r>
          </w:p>
        </w:tc>
        <w:tc>
          <w:tcPr>
            <w:tcW w:type="dxa" w:w="2492"/>
          </w:tcPr>
          <w:p>
            <w:pPr>
              <w:pStyle w:val="null3"/>
            </w:pPr>
            <w:r>
              <w:rPr>
                <w:rFonts w:ascii="仿宋_GB2312" w:hAnsi="仿宋_GB2312" w:cs="仿宋_GB2312" w:eastAsia="仿宋_GB2312"/>
              </w:rPr>
              <w:t>严格保障调查原始数据真实无误，项目成果精度、调查报告内容完全匹配采购人需求；若成果存在质量缺陷、不满足使用标准，自愿无条件配合采购人完成整改、复测修正直至验收合格。提供书面承诺得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1、拟派项目负责人具有相关专业中级工程师职称得3分，高级工程师职称得6分； 2、拟派项目负责人具有类似项目管理经验（2023年1月1日至今担任过类似项目的项目负责人），每有一项得2.5分，最高得5分，不提供的不得分； 评审依据：以供应商提供的项目负责人证书、类似业绩合同协议书或成果文件复印件并加盖单位公章为准，时间以合同签订时间或成果文件时间为准。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主要设备</w:t>
            </w:r>
          </w:p>
        </w:tc>
        <w:tc>
          <w:tcPr>
            <w:tcW w:type="dxa" w:w="2492"/>
          </w:tcPr>
          <w:p>
            <w:pPr>
              <w:pStyle w:val="null3"/>
            </w:pPr>
            <w:r>
              <w:rPr>
                <w:rFonts w:ascii="仿宋_GB2312" w:hAnsi="仿宋_GB2312" w:cs="仿宋_GB2312" w:eastAsia="仿宋_GB2312"/>
              </w:rPr>
              <w:t>1.供应商拟投入手持GPS终端1 台，得 3 分。 2.供应商拟投入全站仪 1 台，得3 分 3.供应商拟投入专业无人机 1 台，得3 分。 注：需提供设施设备的购买发票或租赁协议，未提供不计分。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拟投入本项目的主要设备表.docx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派项目人员中，除项目负责人以外，应配备具有相关专业技术职称人员，每配备一人得2.5分，最高得15分；（同一人不重复计分）（供应商需提供以上人员身份证、学历证书、职称证书、本单位缴纳社保的证明材料（退休人员提供退休证明及劳动合同）扫描件或复印件并加盖单位公章，提供不全或未提供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供应商提供自2023年1月1日以来，具有类似项目业绩，每有一项得2.5分，最高得5分，未提供不得分。 评审依据：以供应商提供的类似业绩合同协议书并加盖单位公章为准，时间以合同签订时间为准。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价格分统一采用低价优先法得算，即满足磋商文件要求且最后报价最低的报价为评标基准价，其价格分为满分。其他投标供应商的价格分统一按照下列公式得算：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详见附件：拟投入本项目的主要设备表.docx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