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3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2.供应商人根据磋商文件第3章-“3.2服务内容及服务要求”的要求将全部服务内容及服务要求逐条填写此表，并按磋商文件要求提供相应的证明材料。</w:t>
      </w:r>
    </w:p>
    <w:p w14:paraId="0C773F1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F10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2026-08-05T10:59:09Z</dcterms:created>
  <dc:creator>Administrator</dc:creator>
  <cp:lastModifiedBy>阿离</cp:lastModifiedBy>
  <dcterms:modified xsi:type="dcterms:W3CDTF">2026-08-05T10:59:32Z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eyJoZGlkIjoiODIyODk2ZjkzMmUxNGJlMDY5YzA0YzNkY2U5ZDBhY2MiLCJ1c2VySWQiOiIzNzQ0NjI3MDAifQ==</vt:lpwstr>
  </property>
  <property fmtid="{D5CDD505-2E9C-101B-9397-08002B2CF9AE}" pid="4" name="ICV">
    <vt:lpwstr>47711893CDD14FCF998F53335E33E408_12</vt:lpwstr>
  </property>
</Properties>
</file>