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版本号：TZZB-2026112C20260820001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润镇街道基础设施改造项目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TZZB-2026112C</w:t>
      </w:r>
      <w:r>
        <w:br/>
      </w:r>
      <w:r>
        <w:br/>
      </w:r>
      <w:r>
        <w:br/>
      </w:r>
    </w:p>
    <w:p>
      <w:pPr>
        <w:pStyle w:val="null3"/>
        <w:jc w:val="center"/>
        <w:outlineLvl w:val="2"/>
      </w:pPr>
      <w:r>
        <w:rPr>
          <w:rFonts w:ascii="仿宋_GB2312" w:hAnsi="仿宋_GB2312" w:cs="仿宋_GB2312" w:eastAsia="仿宋_GB2312"/>
          <w:sz w:val="28"/>
          <w:b/>
        </w:rPr>
        <w:t>淳化县润镇人民政府</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淳化县润镇人民政府</w:t>
      </w:r>
      <w:r>
        <w:rPr>
          <w:rFonts w:ascii="仿宋_GB2312" w:hAnsi="仿宋_GB2312" w:cs="仿宋_GB2312" w:eastAsia="仿宋_GB2312"/>
        </w:rPr>
        <w:t>委托，拟对</w:t>
      </w:r>
      <w:r>
        <w:rPr>
          <w:rFonts w:ascii="仿宋_GB2312" w:hAnsi="仿宋_GB2312" w:cs="仿宋_GB2312" w:eastAsia="仿宋_GB2312"/>
        </w:rPr>
        <w:t>润镇街道基础设施改造项目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TZZB-2026112C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润镇街道基础设施改造项目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润镇街道基础设施改造项目，包括但不限于人行道铺设等所包含的全部内容，具体详见工程量清单和图纸。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采购包1（润镇街道基础设施改造项目）：属于专门面向中小企业采购。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2、财务状况报告：提供2024年或2025年经审计的财务报告或磋商前三个月内开户银行开具的资信证明；</w:t>
      </w:r>
    </w:p>
    <w:p>
      <w:pPr>
        <w:pStyle w:val="null3"/>
      </w:pPr>
      <w:r>
        <w:rPr>
          <w:rFonts w:ascii="仿宋_GB2312" w:hAnsi="仿宋_GB2312" w:cs="仿宋_GB2312" w:eastAsia="仿宋_GB2312"/>
        </w:rPr>
        <w:t>3、税收缴纳证明：提供2025年10月至今已缴存的至少一个月的纳税证明或完税证明（任意税种），依法免税的单位应提供相关证明材料；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4、社会保障资金缴纳证明：提供2025年10月至今已缴存的至少一个月的社会保障资金缴存单据或社保机构开具的社会保险参保缴费情况证明，依法不需要缴纳社会保障资金的单位应提供相关证明材料；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5、重大违法声明：参加政府采购活动前三年内，在经营活动中没有重大违法记录的书面声明；</w:t>
      </w:r>
    </w:p>
    <w:p>
      <w:pPr>
        <w:pStyle w:val="null3"/>
      </w:pPr>
      <w:r>
        <w:rPr>
          <w:rFonts w:ascii="仿宋_GB2312" w:hAnsi="仿宋_GB2312" w:cs="仿宋_GB2312" w:eastAsia="仿宋_GB2312"/>
        </w:rPr>
        <w:t>6、控股关系：磋商单位负责人为同一人或者存在控股、管理关系的不同单位不得同时进行投标；</w:t>
      </w:r>
    </w:p>
    <w:p>
      <w:pPr>
        <w:pStyle w:val="null3"/>
      </w:pPr>
      <w:r>
        <w:rPr>
          <w:rFonts w:ascii="仿宋_GB2312" w:hAnsi="仿宋_GB2312" w:cs="仿宋_GB2312" w:eastAsia="仿宋_GB2312"/>
        </w:rPr>
        <w:t>7、信用查询：供应商不得为“信用中国”网站（www.creditchina.gov.cn）（中国执行信息公开网）和中国政府采购网（www.ccgp.gov.cn）中被列入失信被执行人、重大税收违法失信主体、政府采购严重违法失信行为记录名单的单位；</w:t>
      </w:r>
    </w:p>
    <w:p>
      <w:pPr>
        <w:pStyle w:val="null3"/>
      </w:pPr>
      <w:r>
        <w:rPr>
          <w:rFonts w:ascii="仿宋_GB2312" w:hAnsi="仿宋_GB2312" w:cs="仿宋_GB2312" w:eastAsia="仿宋_GB2312"/>
        </w:rPr>
        <w:t>8、履约能力：具有履行合同所必需的设备和专业技术能力的承诺函；</w:t>
      </w:r>
    </w:p>
    <w:p>
      <w:pPr>
        <w:pStyle w:val="null3"/>
      </w:pPr>
      <w:r>
        <w:rPr>
          <w:rFonts w:ascii="仿宋_GB2312" w:hAnsi="仿宋_GB2312" w:cs="仿宋_GB2312" w:eastAsia="仿宋_GB2312"/>
        </w:rPr>
        <w:t>9、企业资质：供应商须具备行业主管部门颁发的市政公用工程施工总承包三级及以上资质，且具有有效的安全生产许可证；</w:t>
      </w:r>
    </w:p>
    <w:p>
      <w:pPr>
        <w:pStyle w:val="null3"/>
      </w:pPr>
      <w:r>
        <w:rPr>
          <w:rFonts w:ascii="仿宋_GB2312" w:hAnsi="仿宋_GB2312" w:cs="仿宋_GB2312" w:eastAsia="仿宋_GB2312"/>
        </w:rPr>
        <w:t>10、项目经理资质：供应商拟派项目经理须具备行业主管部门颁发的市政公用工程专业二级及以上注册建造师执业资格和有效的安全生产考核合格证B证，在本单位注册且无在建工程；</w:t>
      </w:r>
    </w:p>
    <w:p>
      <w:pPr>
        <w:pStyle w:val="null3"/>
      </w:pPr>
      <w:r>
        <w:rPr>
          <w:rFonts w:ascii="仿宋_GB2312" w:hAnsi="仿宋_GB2312" w:cs="仿宋_GB2312" w:eastAsia="仿宋_GB2312"/>
        </w:rPr>
        <w:t>11、不良行为：供应商及拟派项目经理须在“陕西省住房和城乡建设厅（http://js.shaanxi.gov.cn/）-陕西省建筑市场监管与诚信信息发布平台”可查询，且无不良行为；</w:t>
      </w:r>
    </w:p>
    <w:p>
      <w:pPr>
        <w:pStyle w:val="null3"/>
      </w:pPr>
      <w:r>
        <w:rPr>
          <w:rFonts w:ascii="仿宋_GB2312" w:hAnsi="仿宋_GB2312" w:cs="仿宋_GB2312" w:eastAsia="仿宋_GB2312"/>
        </w:rPr>
        <w:t>12、授权证明：供应商应授权合法的人员参加磋商全过程，其中法定代表人直接参加磋商的，须出具法人身份证，并与营业执照上信息一致。法定代表人授权代表参加磋商的，须出具法定代表人授权书及授权代表身份证以及提交响应文件截止时间前3个月内授权代表在本单位已缴存的至少1个月的社会保险参保缴纳证明；</w:t>
      </w:r>
    </w:p>
    <w:p>
      <w:pPr>
        <w:pStyle w:val="null3"/>
      </w:pPr>
      <w:r>
        <w:rPr>
          <w:rFonts w:ascii="仿宋_GB2312" w:hAnsi="仿宋_GB2312" w:cs="仿宋_GB2312" w:eastAsia="仿宋_GB2312"/>
        </w:rPr>
        <w:t>13、中小企业声明：本项目为专门面向中小企业项目，供应商须为中型企业或者小型、微型企业或监狱企业或残疾人福利性单位；</w:t>
      </w:r>
    </w:p>
    <w:p>
      <w:pPr>
        <w:pStyle w:val="null3"/>
      </w:pPr>
      <w:r>
        <w:rPr>
          <w:rFonts w:ascii="仿宋_GB2312" w:hAnsi="仿宋_GB2312" w:cs="仿宋_GB2312" w:eastAsia="仿宋_GB2312"/>
        </w:rPr>
        <w:t>14、联合体投标：本项目不接受联合体投标（提供承诺书）；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淳化县润镇人民政府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淳化县润镇街道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029-32610532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陕西省西安市经济技术开发区凤城八路180号长和国际F座22层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赵淑涵、倪莹、王燕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029-86522030转612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采购包1：1,291,584.87元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国家发展和改革委员会办公厅印发的《关于招标代理服务收费有关问题的通知》（发改办价格〔2003〕857号）、国家发展改革委印发的《关于进一步放开建设项目专业服务价格的通知》（发改价格〔2015〕299号）的有关规定标准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淳化县润镇人民政府</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淳化县润镇人民政府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淳化县润镇人民政府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及地方市政、园林相关施工验收规范，质量合格；竣工资料齐全完整，工程量与合同一致，无质量缺陷、安全隐患；工程满足集镇道路通行、排水、绿化使用功能，达到设计及使用要求，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联系人：赵淑涵、倪莹、王燕</w:t>
      </w:r>
    </w:p>
    <w:p>
      <w:pPr>
        <w:pStyle w:val="null3"/>
      </w:pPr>
      <w:r>
        <w:rPr>
          <w:rFonts w:ascii="仿宋_GB2312" w:hAnsi="仿宋_GB2312" w:cs="仿宋_GB2312" w:eastAsia="仿宋_GB2312"/>
        </w:rPr>
        <w:t>联系电话：029-86522030转612</w:t>
      </w:r>
    </w:p>
    <w:p>
      <w:pPr>
        <w:pStyle w:val="null3"/>
      </w:pPr>
      <w:r>
        <w:rPr>
          <w:rFonts w:ascii="仿宋_GB2312" w:hAnsi="仿宋_GB2312" w:cs="仿宋_GB2312" w:eastAsia="仿宋_GB2312"/>
        </w:rPr>
        <w:t>地址：陕西省西安市经济技术开发区凤城八路180号长和国际F座22层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1,291,584.87</w:t>
      </w:r>
    </w:p>
    <w:p>
      <w:pPr>
        <w:pStyle w:val="null3"/>
      </w:pPr>
      <w:r>
        <w:rPr>
          <w:rFonts w:ascii="仿宋_GB2312" w:hAnsi="仿宋_GB2312" w:cs="仿宋_GB2312" w:eastAsia="仿宋_GB2312"/>
        </w:rPr>
        <w:t>采购包最高限价（元）: 1,291,584.87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润镇街道基础设施改造项目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1,291,584.87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标的名称：润镇街道基础设施改造项目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详见工程量清单，图纸与工程量清单不一致时以工程量清单为准。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投标文件及电子版1份（签字盖章扫描PDF和word文档格式，U盘存储）。2.供应商应自响应文件递交截止时间起至开标结束，保持在线状态。3.质保期：自竣工验收合格后两年。4.本项目合同计价方式为固定总价合同，供应商的报价应包含完成该项目工作所发生的全部费用以及供应商企业利润、税金和政策性文件规定及合同包含的所有风险、责任等一切费用；供应商必须对所投项目全部内容进行完整报价，并列出明细及价格组成。采购人不接受（将拒绝）只对项目部分内容进行报价的投标。5.工期：自合同签订后60日历天完成项目施工、验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提供2024年或2025年经审计的财务报告或磋商前三个月内开户银行开具的资信证明。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提供2024年或2025年经审计的财务报告或磋商前三个月内开户银行开具的资信证明；</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提供2025年10月至今已缴存的至少一个月的纳税证明或完税证明（任意税种），依法免税的单位应提供相关证明材料；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磋商单位负责人为同一人或者存在控股、管理关系的不同单位不得同时进行投标；</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供应商不得为“信用中国”网站（www.creditchina.gov.cn）（中国执行信息公开网）和中国政府采购网（www.ccgp.gov.cn）中被列入失信被执行人、重大税收违法失信主体、政府采购严重违法失信行为记录名单的单位；</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具有履行合同所必需的设备和专业技术能力的承诺函；</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供应商拟派项目经理须具备行业主管部门颁发的市政公用工程专业二级及以上注册建造师执业资格和有效的安全生产考核合格证B证，在本单位注册且无在建工程；</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不良行为</w:t>
            </w:r>
          </w:p>
        </w:tc>
        <w:tc>
          <w:tcPr>
            <w:tcW w:type="dxa" w:w="3322"/>
          </w:tcPr>
          <w:p>
            <w:pPr>
              <w:pStyle w:val="null3"/>
            </w:pPr>
            <w:r>
              <w:rPr>
                <w:rFonts w:ascii="仿宋_GB2312" w:hAnsi="仿宋_GB2312" w:cs="仿宋_GB2312" w:eastAsia="仿宋_GB2312"/>
              </w:rPr>
              <w:t>供应商及拟派项目经理须在“陕西省住房和城乡建设厅（http://js.shaanxi.gov.cn/）-陕西省建筑市场监管与诚信信息发布平台”可查询，且无不良行为；</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授权证明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以及提交响应文件截止时间前3个月内授权代表在本单位已缴存的至少1个月的社会保险参保缴纳证明；</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供应商的资格证明材料.docx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 分项报价表（最终报价）.pdf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与磋商内容一致，无重大偏离。供应商提供的响应文件内容无实质性遗漏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90日历天（自磋商截止之日算起）</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已标价工程量清单 标的清单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施工总体方案内容至少包括①施工准备；②施工方法；③重点难点工程分析及解决措施；④影响正常施工外在因素分析及对应预案等。 以上内容专门针对本项目且符合本项目实际需求的得8分，每缺一项内容扣2分，若上述内容存在瑕疵，每存在1处瑕疵扣1分，扣完为止。不响应或未提供不得分。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以上内容专门针对本项目且符合本项目实际需求的得10分，每缺一项内容扣2分，若上述内容存在瑕疵，每存在1处瑕疵扣1分，扣完为止。不响应或未提供不得分。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安全生产技术组织措施内容至少包括①安全生产管理制度；②配置安全组织机构；③安全隐患排查、整改制度；④应急救援机制等。 以上内容专门针对本项目且符合本项目实际需求的得8分，每缺一项内容扣2分，若上述内容存在瑕疵，每出存在1处瑕疵扣1分，扣完为止。不响应或未提供不得分。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 以上内容专门针对本项目且符合本项目实际需求的得8分，每缺一项内容扣2分，若上述内容存在瑕疵，每存在1处瑕疵扣1分，扣完为止。不响应或未提供不得分。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施工组织和项目管理机构内容至少包括①项目管理机构图；②岗位安排及职责；③管理制度；④相应的协调措施等。 以上内容专门针对本项目且符合本项目实际需求的得8分，每缺一项内容扣2分，若上述内容存在瑕疵，每存在1处瑕疵扣1分，扣完为止。不响应或未提供不得分。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施工部署与进度计划内容至少包括①施工总平面布置；②进度安排计划；③工期目标控制和保证措施；④材料供应措施；⑤现场材料保护监管措施等。 以上内容专门针对本项目且符合本项目实际需求的得10分，每缺一项内容扣2分，若上述内容存在瑕疵，每存在1处瑕疵扣1分，扣完为止。不响应或未提供不得分。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 以上内容专门针对本项目且符合本项目实际需求的得8分，每缺一项内容扣2分，若上述内容存在瑕疵，每存在1处瑕疵扣1分，扣完为止。不响应或未提供不得分。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供应商针对本项目的特点提供相应的建议，建议合理、针对性强，根据响应程度，响应程度高2分，响应程度一般得1分。不响应或未提供不得分。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供应商按照文件要求和采购要求提供服务承诺进行打分,服务承诺具体、可行，后续配合服务计划完整，根据响应程度，响应程度高4分，响应程度一般得2分，响应程度较差得1分，不响应或未提供不得分。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供应商具有2023年05月01日至今（以合同签订时间为准）的类似项目业绩，响应文件中提供合同复印件加盖公章，每提供一个计1分，满分4分。未提供不得分。 注：以盖章的合同协议书为准，签订时间及金额以合同中的内容为准。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分项报价表（最终报价）.pdf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满足采购文件要求且最终报价最低的供应商的价格为基准价，其价格分为满分。其他供应商的价格分统一按照下列公式计算：报价得分=（基准价/最终报价）×价格权值×100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详见附件：分项报价表（最终报价）.pdf</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详见附件：供应商的资格证明材料.docx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