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61894">
      <w:pPr>
        <w:keepNext/>
        <w:keepLines/>
        <w:widowControl w:val="0"/>
        <w:bidi w:val="0"/>
        <w:spacing w:before="120" w:beforeLines="0" w:after="120" w:afterLines="0" w:line="360" w:lineRule="auto"/>
        <w:jc w:val="center"/>
        <w:outlineLvl w:val="0"/>
        <w:rPr>
          <w:rFonts w:hint="eastAsia" w:ascii="仿宋" w:hAnsi="仿宋" w:eastAsia="仿宋" w:cs="仿宋"/>
          <w:b/>
          <w:bCs/>
          <w:color w:val="auto"/>
          <w:kern w:val="44"/>
          <w:sz w:val="32"/>
          <w:szCs w:val="44"/>
          <w:highlight w:val="none"/>
          <w:lang w:val="en-US" w:eastAsia="zh-CN" w:bidi="ar-SA"/>
        </w:rPr>
      </w:pPr>
      <w:r>
        <w:rPr>
          <w:rFonts w:hint="eastAsia" w:ascii="仿宋" w:hAnsi="仿宋" w:eastAsia="仿宋" w:cs="仿宋"/>
          <w:b/>
          <w:bCs/>
          <w:color w:val="auto"/>
          <w:kern w:val="44"/>
          <w:sz w:val="32"/>
          <w:szCs w:val="44"/>
          <w:lang w:val="en-US" w:eastAsia="zh-CN" w:bidi="ar-SA"/>
        </w:rPr>
        <w:t>合同草案条款（仅供参考）</w:t>
      </w:r>
    </w:p>
    <w:p w14:paraId="2FB75244">
      <w:pPr>
        <w:widowControl w:val="0"/>
        <w:spacing w:line="324" w:lineRule="auto"/>
        <w:ind w:firstLine="480" w:firstLineChars="200"/>
        <w:jc w:val="both"/>
        <w:rPr>
          <w:rFonts w:hint="eastAsia" w:ascii="仿宋" w:hAnsi="仿宋" w:eastAsia="仿宋" w:cs="仿宋"/>
          <w:color w:val="auto"/>
          <w:kern w:val="2"/>
          <w:sz w:val="24"/>
          <w:szCs w:val="24"/>
          <w:highlight w:val="none"/>
          <w:lang w:val="en-US" w:eastAsia="zh-CN" w:bidi="ar-SA"/>
        </w:rPr>
      </w:pPr>
    </w:p>
    <w:p w14:paraId="4DEB36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p>
    <w:p w14:paraId="4F5B16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highlight w:val="none"/>
          <w:lang w:val="en-US" w:eastAsia="zh-CN" w:bidi="ar-SA"/>
        </w:rPr>
      </w:pPr>
    </w:p>
    <w:p w14:paraId="631388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8"/>
          <w:szCs w:val="28"/>
        </w:rPr>
      </w:pPr>
      <w:r>
        <w:rPr>
          <w:rFonts w:hint="eastAsia" w:ascii="仿宋" w:hAnsi="仿宋" w:eastAsia="仿宋" w:cs="仿宋"/>
          <w:color w:val="auto"/>
          <w:spacing w:val="-1"/>
          <w:sz w:val="28"/>
          <w:szCs w:val="28"/>
        </w:rPr>
        <w:t>使用陕西省建设厅、陕西省工商行政管理局印发</w:t>
      </w:r>
    </w:p>
    <w:p w14:paraId="700BBD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8"/>
          <w:szCs w:val="28"/>
        </w:rPr>
      </w:pPr>
      <w:r>
        <w:rPr>
          <w:rFonts w:hint="eastAsia" w:ascii="仿宋" w:hAnsi="仿宋" w:eastAsia="仿宋" w:cs="仿宋"/>
          <w:color w:val="auto"/>
          <w:spacing w:val="-1"/>
          <w:sz w:val="28"/>
          <w:szCs w:val="28"/>
        </w:rPr>
        <w:t>《陕西省建设工程施工合同》</w:t>
      </w:r>
    </w:p>
    <w:p w14:paraId="14CDC5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8"/>
          <w:szCs w:val="28"/>
        </w:rPr>
      </w:pPr>
      <w:r>
        <w:rPr>
          <w:rFonts w:hint="eastAsia" w:ascii="仿宋" w:hAnsi="仿宋" w:eastAsia="仿宋" w:cs="仿宋"/>
          <w:color w:val="auto"/>
          <w:spacing w:val="-3"/>
          <w:sz w:val="28"/>
          <w:szCs w:val="28"/>
          <w:lang w:eastAsia="zh-CN"/>
        </w:rPr>
        <w:t>（</w:t>
      </w:r>
      <w:r>
        <w:rPr>
          <w:rFonts w:hint="eastAsia" w:ascii="仿宋" w:hAnsi="仿宋" w:eastAsia="仿宋" w:cs="仿宋"/>
          <w:color w:val="auto"/>
          <w:spacing w:val="-3"/>
          <w:sz w:val="28"/>
          <w:szCs w:val="28"/>
        </w:rPr>
        <w:t>示范文本）</w:t>
      </w:r>
    </w:p>
    <w:p w14:paraId="7DE49B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56A2BF0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kern w:val="2"/>
          <w:sz w:val="24"/>
          <w:szCs w:val="24"/>
          <w:lang w:val="en-US" w:eastAsia="zh-CN" w:bidi="ar-SA"/>
        </w:rPr>
      </w:pPr>
    </w:p>
    <w:p w14:paraId="6CFE06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39676B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5F0DFA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40"/>
          <w:szCs w:val="40"/>
        </w:rPr>
      </w:pPr>
      <w:bookmarkStart w:id="0" w:name="bookmark6"/>
      <w:bookmarkEnd w:id="0"/>
      <w:r>
        <w:rPr>
          <w:rFonts w:hint="eastAsia" w:ascii="仿宋" w:hAnsi="仿宋" w:eastAsia="仿宋" w:cs="仿宋"/>
          <w:b/>
          <w:bCs/>
          <w:color w:val="auto"/>
          <w:spacing w:val="2"/>
          <w:sz w:val="40"/>
          <w:szCs w:val="40"/>
        </w:rPr>
        <w:t>陕西省建设工程施工合同</w:t>
      </w:r>
    </w:p>
    <w:p w14:paraId="6AEABA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027345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38E8CF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186162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7E2ABE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1B87CF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22C30D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4EF7D9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620D5E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7082DB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kern w:val="2"/>
          <w:sz w:val="28"/>
          <w:szCs w:val="28"/>
          <w:lang w:val="en-US" w:eastAsia="zh-CN" w:bidi="ar-SA"/>
        </w:rPr>
      </w:pPr>
    </w:p>
    <w:p w14:paraId="225775CC">
      <w:pPr>
        <w:keepNext w:val="0"/>
        <w:keepLines w:val="0"/>
        <w:pageBreakBefore w:val="0"/>
        <w:widowControl w:val="0"/>
        <w:kinsoku/>
        <w:wordWrap/>
        <w:overflowPunct/>
        <w:topLinePunct w:val="0"/>
        <w:autoSpaceDE/>
        <w:autoSpaceDN/>
        <w:bidi w:val="0"/>
        <w:adjustRightInd/>
        <w:snapToGrid/>
        <w:spacing w:line="360" w:lineRule="auto"/>
        <w:ind w:right="307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4231640</wp:posOffset>
                </wp:positionH>
                <wp:positionV relativeFrom="paragraph">
                  <wp:posOffset>154940</wp:posOffset>
                </wp:positionV>
                <wp:extent cx="233045" cy="2838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33045" cy="283845"/>
                        </a:xfrm>
                        <a:prstGeom prst="rect">
                          <a:avLst/>
                        </a:prstGeom>
                        <a:noFill/>
                        <a:ln>
                          <a:noFill/>
                        </a:ln>
                      </wps:spPr>
                      <wps:txbx>
                        <w:txbxContent>
                          <w:p w14:paraId="4C6C2A2F">
                            <w:pPr>
                              <w:spacing w:before="19" w:line="221" w:lineRule="auto"/>
                              <w:ind w:left="20"/>
                              <w:rPr>
                                <w:rFonts w:ascii="宋体" w:hAnsi="宋体" w:eastAsia="宋体" w:cs="宋体"/>
                                <w:sz w:val="34"/>
                                <w:szCs w:val="34"/>
                              </w:rPr>
                            </w:pPr>
                            <w:r>
                              <w:rPr>
                                <w:rFonts w:ascii="宋体" w:hAnsi="宋体" w:eastAsia="宋体" w:cs="宋体"/>
                                <w:b/>
                                <w:bCs/>
                                <w:spacing w:val="-4"/>
                                <w:sz w:val="34"/>
                                <w:szCs w:val="34"/>
                              </w:rPr>
                              <w:t>制</w:t>
                            </w:r>
                          </w:p>
                        </w:txbxContent>
                      </wps:txbx>
                      <wps:bodyPr lIns="0" tIns="0" rIns="0" bIns="0" upright="1"/>
                    </wps:wsp>
                  </a:graphicData>
                </a:graphic>
              </wp:anchor>
            </w:drawing>
          </mc:Choice>
          <mc:Fallback>
            <w:pict>
              <v:shape id="_x0000_s1026" o:spid="_x0000_s1026" o:spt="202" type="#_x0000_t202" style="position:absolute;left:0pt;margin-left:333.2pt;margin-top:12.2pt;height:22.35pt;width:18.35pt;z-index:251659264;mso-width-relative:page;mso-height-relative:page;" filled="f" stroked="f" coordsize="21600,21600" o:gfxdata="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aSZtgAAAAJAQAADwAAAAAAAAABACAAAAAiAAAAZHJzL2Rvd25yZXYueG1sUEsBAhQA&#10;FAAAAAgAh07iQN+Ziqi5AQAAcQMAAA4AAAAAAAAAAQAgAAAAJwEAAGRycy9lMm9Eb2MueG1sUEsF&#10;BgAAAAAGAAYAWQEAAFIFAAAAAA==&#10;">
                <v:fill on="f" focussize="0,0"/>
                <v:stroke on="f"/>
                <v:imagedata o:title=""/>
                <o:lock v:ext="edit" aspectratio="f"/>
                <v:textbox inset="0mm,0mm,0mm,0mm">
                  <w:txbxContent>
                    <w:p w14:paraId="4C6C2A2F">
                      <w:pPr>
                        <w:spacing w:before="19" w:line="221" w:lineRule="auto"/>
                        <w:ind w:left="20"/>
                        <w:rPr>
                          <w:rFonts w:ascii="宋体" w:hAnsi="宋体" w:eastAsia="宋体" w:cs="宋体"/>
                          <w:sz w:val="34"/>
                          <w:szCs w:val="34"/>
                        </w:rPr>
                      </w:pPr>
                      <w:r>
                        <w:rPr>
                          <w:rFonts w:ascii="宋体" w:hAnsi="宋体" w:eastAsia="宋体" w:cs="宋体"/>
                          <w:b/>
                          <w:bCs/>
                          <w:spacing w:val="-4"/>
                          <w:sz w:val="34"/>
                          <w:szCs w:val="34"/>
                        </w:rPr>
                        <w:t>制</w:t>
                      </w:r>
                    </w:p>
                  </w:txbxContent>
                </v:textbox>
              </v:shape>
            </w:pict>
          </mc:Fallback>
        </mc:AlternateContent>
      </w:r>
      <w:r>
        <w:rPr>
          <w:rFonts w:hint="eastAsia" w:ascii="仿宋" w:hAnsi="仿宋" w:eastAsia="仿宋" w:cs="仿宋"/>
          <w:b/>
          <w:bCs/>
          <w:color w:val="auto"/>
          <w:spacing w:val="-16"/>
          <w:sz w:val="28"/>
          <w:szCs w:val="28"/>
          <w:lang w:val="en-US" w:eastAsia="zh-CN"/>
        </w:rPr>
        <w:t xml:space="preserve">                         </w:t>
      </w:r>
      <w:r>
        <w:rPr>
          <w:rFonts w:hint="eastAsia" w:ascii="仿宋" w:hAnsi="仿宋" w:eastAsia="仿宋" w:cs="仿宋"/>
          <w:b/>
          <w:bCs/>
          <w:color w:val="auto"/>
          <w:spacing w:val="-16"/>
          <w:sz w:val="28"/>
          <w:szCs w:val="28"/>
        </w:rPr>
        <w:t>陕</w:t>
      </w:r>
      <w:r>
        <w:rPr>
          <w:rFonts w:hint="eastAsia" w:ascii="仿宋" w:hAnsi="仿宋" w:eastAsia="仿宋" w:cs="仿宋"/>
          <w:color w:val="auto"/>
          <w:spacing w:val="18"/>
          <w:sz w:val="28"/>
          <w:szCs w:val="28"/>
        </w:rPr>
        <w:t xml:space="preserve">  </w:t>
      </w:r>
      <w:r>
        <w:rPr>
          <w:rFonts w:hint="eastAsia" w:ascii="仿宋" w:hAnsi="仿宋" w:eastAsia="仿宋" w:cs="仿宋"/>
          <w:b/>
          <w:bCs/>
          <w:color w:val="auto"/>
          <w:spacing w:val="-16"/>
          <w:sz w:val="28"/>
          <w:szCs w:val="28"/>
        </w:rPr>
        <w:t>西</w:t>
      </w:r>
      <w:r>
        <w:rPr>
          <w:rFonts w:hint="eastAsia" w:ascii="仿宋" w:hAnsi="仿宋" w:eastAsia="仿宋" w:cs="仿宋"/>
          <w:color w:val="auto"/>
          <w:spacing w:val="14"/>
          <w:sz w:val="28"/>
          <w:szCs w:val="28"/>
        </w:rPr>
        <w:t xml:space="preserve">  </w:t>
      </w:r>
      <w:r>
        <w:rPr>
          <w:rFonts w:hint="eastAsia" w:ascii="仿宋" w:hAnsi="仿宋" w:eastAsia="仿宋" w:cs="仿宋"/>
          <w:b/>
          <w:bCs/>
          <w:color w:val="auto"/>
          <w:spacing w:val="-16"/>
          <w:sz w:val="28"/>
          <w:szCs w:val="28"/>
        </w:rPr>
        <w:t>省</w:t>
      </w:r>
      <w:r>
        <w:rPr>
          <w:rFonts w:hint="eastAsia" w:ascii="仿宋" w:hAnsi="仿宋" w:eastAsia="仿宋" w:cs="仿宋"/>
          <w:color w:val="auto"/>
          <w:spacing w:val="16"/>
          <w:sz w:val="28"/>
          <w:szCs w:val="28"/>
        </w:rPr>
        <w:t xml:space="preserve">  </w:t>
      </w:r>
      <w:r>
        <w:rPr>
          <w:rFonts w:hint="eastAsia" w:ascii="仿宋" w:hAnsi="仿宋" w:eastAsia="仿宋" w:cs="仿宋"/>
          <w:b/>
          <w:bCs/>
          <w:color w:val="auto"/>
          <w:spacing w:val="-16"/>
          <w:sz w:val="28"/>
          <w:szCs w:val="28"/>
        </w:rPr>
        <w:t>建</w:t>
      </w:r>
      <w:r>
        <w:rPr>
          <w:rFonts w:hint="eastAsia" w:ascii="仿宋" w:hAnsi="仿宋" w:eastAsia="仿宋" w:cs="仿宋"/>
          <w:color w:val="auto"/>
          <w:spacing w:val="14"/>
          <w:sz w:val="28"/>
          <w:szCs w:val="28"/>
        </w:rPr>
        <w:t xml:space="preserve">  </w:t>
      </w:r>
      <w:r>
        <w:rPr>
          <w:rFonts w:hint="eastAsia" w:ascii="仿宋" w:hAnsi="仿宋" w:eastAsia="仿宋" w:cs="仿宋"/>
          <w:b/>
          <w:bCs/>
          <w:color w:val="auto"/>
          <w:spacing w:val="-16"/>
          <w:sz w:val="28"/>
          <w:szCs w:val="28"/>
        </w:rPr>
        <w:t>设</w:t>
      </w:r>
      <w:r>
        <w:rPr>
          <w:rFonts w:hint="eastAsia" w:ascii="仿宋" w:hAnsi="仿宋" w:eastAsia="仿宋" w:cs="仿宋"/>
          <w:color w:val="auto"/>
          <w:spacing w:val="15"/>
          <w:sz w:val="28"/>
          <w:szCs w:val="28"/>
        </w:rPr>
        <w:t xml:space="preserve">  </w:t>
      </w:r>
      <w:r>
        <w:rPr>
          <w:rFonts w:hint="eastAsia" w:ascii="仿宋" w:hAnsi="仿宋" w:eastAsia="仿宋" w:cs="仿宋"/>
          <w:b/>
          <w:bCs/>
          <w:color w:val="auto"/>
          <w:spacing w:val="-16"/>
          <w:sz w:val="28"/>
          <w:szCs w:val="28"/>
        </w:rPr>
        <w:t>厅</w:t>
      </w:r>
    </w:p>
    <w:p w14:paraId="532D4382">
      <w:pPr>
        <w:keepNext w:val="0"/>
        <w:keepLines w:val="0"/>
        <w:pageBreakBefore w:val="0"/>
        <w:widowControl w:val="0"/>
        <w:kinsoku/>
        <w:wordWrap/>
        <w:overflowPunct/>
        <w:topLinePunct w:val="0"/>
        <w:autoSpaceDE/>
        <w:autoSpaceDN/>
        <w:bidi w:val="0"/>
        <w:adjustRightInd/>
        <w:snapToGrid/>
        <w:spacing w:line="360" w:lineRule="auto"/>
        <w:ind w:right="3070"/>
        <w:jc w:val="center"/>
        <w:textAlignment w:val="auto"/>
        <w:rPr>
          <w:rFonts w:hint="eastAsia" w:ascii="仿宋" w:hAnsi="仿宋" w:eastAsia="仿宋" w:cs="仿宋"/>
          <w:color w:val="auto"/>
          <w:sz w:val="28"/>
          <w:szCs w:val="28"/>
        </w:rPr>
      </w:pPr>
      <w:r>
        <w:rPr>
          <w:rFonts w:hint="eastAsia" w:ascii="仿宋" w:hAnsi="仿宋" w:eastAsia="仿宋" w:cs="仿宋"/>
          <w:b/>
          <w:bCs/>
          <w:color w:val="auto"/>
          <w:spacing w:val="18"/>
          <w:sz w:val="28"/>
          <w:szCs w:val="28"/>
          <w:lang w:val="en-US" w:eastAsia="zh-CN"/>
        </w:rPr>
        <w:t xml:space="preserve">               </w:t>
      </w:r>
      <w:r>
        <w:rPr>
          <w:rFonts w:hint="eastAsia" w:ascii="仿宋" w:hAnsi="仿宋" w:eastAsia="仿宋" w:cs="仿宋"/>
          <w:b/>
          <w:bCs/>
          <w:color w:val="auto"/>
          <w:spacing w:val="18"/>
          <w:sz w:val="28"/>
          <w:szCs w:val="28"/>
        </w:rPr>
        <w:t>陕西省工商行政管理局</w:t>
      </w:r>
    </w:p>
    <w:p w14:paraId="4C58003D">
      <w:pPr>
        <w:keepNext w:val="0"/>
        <w:keepLines w:val="0"/>
        <w:pageBreakBefore w:val="0"/>
        <w:widowControl w:val="0"/>
        <w:kinsoku/>
        <w:wordWrap/>
        <w:overflowPunct/>
        <w:topLinePunct w:val="0"/>
        <w:autoSpaceDE/>
        <w:autoSpaceDN/>
        <w:bidi w:val="0"/>
        <w:adjustRightInd/>
        <w:snapToGrid/>
        <w:spacing w:line="360" w:lineRule="auto"/>
        <w:ind w:firstLine="3434" w:firstLineChars="1500"/>
        <w:jc w:val="both"/>
        <w:textAlignment w:val="auto"/>
        <w:rPr>
          <w:rFonts w:hint="eastAsia" w:ascii="仿宋" w:hAnsi="仿宋" w:eastAsia="仿宋" w:cs="仿宋"/>
          <w:b/>
          <w:bCs/>
          <w:color w:val="auto"/>
          <w:spacing w:val="-6"/>
          <w:sz w:val="24"/>
          <w:szCs w:val="24"/>
        </w:rPr>
      </w:pPr>
    </w:p>
    <w:p w14:paraId="6F0C3F1A">
      <w:pPr>
        <w:keepNext w:val="0"/>
        <w:keepLines w:val="0"/>
        <w:pageBreakBefore w:val="0"/>
        <w:widowControl w:val="0"/>
        <w:kinsoku/>
        <w:wordWrap/>
        <w:overflowPunct/>
        <w:topLinePunct w:val="0"/>
        <w:autoSpaceDE/>
        <w:autoSpaceDN/>
        <w:bidi w:val="0"/>
        <w:adjustRightInd/>
        <w:snapToGrid/>
        <w:spacing w:line="360" w:lineRule="auto"/>
        <w:ind w:firstLine="3434" w:firstLineChars="1500"/>
        <w:jc w:val="both"/>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二○</w:t>
      </w:r>
      <w:r>
        <w:rPr>
          <w:rFonts w:hint="eastAsia" w:ascii="仿宋" w:hAnsi="仿宋" w:eastAsia="仿宋" w:cs="仿宋"/>
          <w:color w:val="auto"/>
          <w:spacing w:val="10"/>
          <w:sz w:val="24"/>
          <w:szCs w:val="24"/>
        </w:rPr>
        <w:t xml:space="preserve">  </w:t>
      </w:r>
      <w:r>
        <w:rPr>
          <w:rFonts w:hint="eastAsia" w:ascii="仿宋" w:hAnsi="仿宋" w:eastAsia="仿宋" w:cs="仿宋"/>
          <w:b/>
          <w:bCs/>
          <w:color w:val="auto"/>
          <w:spacing w:val="-6"/>
          <w:sz w:val="24"/>
          <w:szCs w:val="24"/>
        </w:rPr>
        <w:t>年</w:t>
      </w:r>
      <w:r>
        <w:rPr>
          <w:rFonts w:hint="eastAsia" w:ascii="仿宋" w:hAnsi="仿宋" w:eastAsia="仿宋" w:cs="仿宋"/>
          <w:color w:val="auto"/>
          <w:spacing w:val="17"/>
          <w:sz w:val="24"/>
          <w:szCs w:val="24"/>
        </w:rPr>
        <w:t xml:space="preserve">  </w:t>
      </w:r>
      <w:r>
        <w:rPr>
          <w:rFonts w:hint="eastAsia" w:ascii="仿宋" w:hAnsi="仿宋" w:eastAsia="仿宋" w:cs="仿宋"/>
          <w:b/>
          <w:bCs/>
          <w:color w:val="auto"/>
          <w:spacing w:val="-6"/>
          <w:sz w:val="24"/>
          <w:szCs w:val="24"/>
        </w:rPr>
        <w:t>月</w:t>
      </w:r>
      <w:r>
        <w:rPr>
          <w:rFonts w:hint="eastAsia" w:ascii="仿宋" w:hAnsi="仿宋" w:eastAsia="仿宋" w:cs="仿宋"/>
          <w:color w:val="auto"/>
          <w:spacing w:val="77"/>
          <w:sz w:val="24"/>
          <w:szCs w:val="24"/>
        </w:rPr>
        <w:t xml:space="preserve"> </w:t>
      </w:r>
      <w:r>
        <w:rPr>
          <w:rFonts w:hint="eastAsia" w:ascii="仿宋" w:hAnsi="仿宋" w:eastAsia="仿宋" w:cs="仿宋"/>
          <w:b/>
          <w:bCs/>
          <w:color w:val="auto"/>
          <w:spacing w:val="-6"/>
          <w:sz w:val="24"/>
          <w:szCs w:val="24"/>
        </w:rPr>
        <w:t>日</w:t>
      </w:r>
    </w:p>
    <w:p w14:paraId="1F1739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525E13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1FA5894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kern w:val="2"/>
          <w:sz w:val="24"/>
          <w:szCs w:val="24"/>
          <w:lang w:val="en-US" w:eastAsia="zh-CN" w:bidi="ar-SA"/>
        </w:rPr>
      </w:pPr>
    </w:p>
    <w:p w14:paraId="237685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第一部分</w:t>
      </w:r>
      <w:r>
        <w:rPr>
          <w:rFonts w:hint="eastAsia" w:ascii="仿宋" w:hAnsi="仿宋" w:eastAsia="仿宋" w:cs="仿宋"/>
          <w:color w:val="auto"/>
          <w:spacing w:val="6"/>
          <w:sz w:val="24"/>
          <w:szCs w:val="24"/>
        </w:rPr>
        <w:t xml:space="preserve">   </w:t>
      </w:r>
      <w:r>
        <w:rPr>
          <w:rFonts w:hint="eastAsia" w:ascii="仿宋" w:hAnsi="仿宋" w:eastAsia="仿宋" w:cs="仿宋"/>
          <w:b/>
          <w:bCs/>
          <w:color w:val="auto"/>
          <w:spacing w:val="6"/>
          <w:sz w:val="24"/>
          <w:szCs w:val="24"/>
        </w:rPr>
        <w:t>合同协议书</w:t>
      </w:r>
    </w:p>
    <w:p w14:paraId="4EA8F25F">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8"/>
          <w:sz w:val="24"/>
          <w:szCs w:val="24"/>
        </w:rPr>
        <w:t>发包人（全称</w:t>
      </w:r>
      <w:r>
        <w:rPr>
          <w:rFonts w:hint="eastAsia" w:ascii="仿宋" w:hAnsi="仿宋" w:eastAsia="仿宋" w:cs="仿宋"/>
          <w:b/>
          <w:bCs/>
          <w:color w:val="auto"/>
          <w:spacing w:val="13"/>
          <w:sz w:val="24"/>
          <w:szCs w:val="24"/>
        </w:rPr>
        <w:t>）：</w:t>
      </w:r>
      <w:r>
        <w:rPr>
          <w:rFonts w:hint="eastAsia" w:ascii="仿宋" w:hAnsi="仿宋" w:eastAsia="仿宋" w:cs="仿宋"/>
          <w:color w:val="auto"/>
          <w:spacing w:val="8"/>
          <w:sz w:val="24"/>
          <w:szCs w:val="24"/>
          <w:u w:val="single" w:color="auto"/>
        </w:rPr>
        <w:t>淳化县润镇人民政府</w:t>
      </w:r>
    </w:p>
    <w:p w14:paraId="14A37A43">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8"/>
          <w:sz w:val="24"/>
          <w:szCs w:val="24"/>
        </w:rPr>
        <w:t>承包人（全称）：</w:t>
      </w:r>
      <w:r>
        <w:rPr>
          <w:rFonts w:hint="eastAsia" w:ascii="仿宋" w:hAnsi="仿宋" w:eastAsia="仿宋" w:cs="仿宋"/>
          <w:color w:val="auto"/>
          <w:sz w:val="24"/>
          <w:szCs w:val="24"/>
          <w:u w:val="single" w:color="auto"/>
        </w:rPr>
        <w:t xml:space="preserve">                      </w:t>
      </w:r>
    </w:p>
    <w:p w14:paraId="7BDAFDCF">
      <w:pPr>
        <w:keepNext w:val="0"/>
        <w:keepLines w:val="0"/>
        <w:pageBreakBefore w:val="0"/>
        <w:widowControl w:val="0"/>
        <w:kinsoku/>
        <w:wordWrap/>
        <w:overflowPunct/>
        <w:topLinePunct w:val="0"/>
        <w:autoSpaceDE/>
        <w:autoSpaceDN/>
        <w:bidi w:val="0"/>
        <w:adjustRightInd/>
        <w:snapToGrid/>
        <w:spacing w:line="360" w:lineRule="auto"/>
        <w:ind w:right="8" w:firstLine="49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4"/>
          <w:sz w:val="24"/>
          <w:szCs w:val="24"/>
        </w:rPr>
        <w:t>根据《中华人民共和国民法典》、《中华人民共和国建筑法》及有关法律规定，遵循平等、</w:t>
      </w:r>
      <w:r>
        <w:rPr>
          <w:rFonts w:hint="eastAsia" w:ascii="仿宋" w:hAnsi="仿宋" w:eastAsia="仿宋" w:cs="仿宋"/>
          <w:color w:val="auto"/>
          <w:spacing w:val="-42"/>
          <w:sz w:val="24"/>
          <w:szCs w:val="24"/>
        </w:rPr>
        <w:t xml:space="preserve"> </w:t>
      </w:r>
      <w:r>
        <w:rPr>
          <w:rFonts w:hint="eastAsia" w:ascii="仿宋" w:hAnsi="仿宋" w:eastAsia="仿宋" w:cs="仿宋"/>
          <w:color w:val="auto"/>
          <w:spacing w:val="4"/>
          <w:sz w:val="24"/>
          <w:szCs w:val="24"/>
        </w:rPr>
        <w:t>自愿、</w:t>
      </w:r>
      <w:r>
        <w:rPr>
          <w:rFonts w:hint="eastAsia" w:ascii="仿宋" w:hAnsi="仿宋" w:eastAsia="仿宋" w:cs="仿宋"/>
          <w:color w:val="auto"/>
          <w:spacing w:val="-5"/>
          <w:sz w:val="24"/>
          <w:szCs w:val="24"/>
        </w:rPr>
        <w:t>公平和诚实信用的原则，双方就</w:t>
      </w:r>
      <w:r>
        <w:rPr>
          <w:rFonts w:hint="eastAsia" w:ascii="仿宋" w:hAnsi="仿宋" w:eastAsia="仿宋" w:cs="仿宋"/>
          <w:color w:val="auto"/>
          <w:spacing w:val="-5"/>
          <w:sz w:val="24"/>
          <w:szCs w:val="24"/>
          <w:u w:val="none"/>
          <w:lang w:val="en-US" w:eastAsia="zh-CN"/>
        </w:rPr>
        <w:t>本项目</w:t>
      </w:r>
      <w:r>
        <w:rPr>
          <w:rFonts w:hint="eastAsia" w:ascii="仿宋" w:hAnsi="仿宋" w:eastAsia="仿宋" w:cs="仿宋"/>
          <w:color w:val="auto"/>
          <w:spacing w:val="-5"/>
          <w:sz w:val="24"/>
          <w:szCs w:val="24"/>
        </w:rPr>
        <w:t>施工及有关事项协商一</w:t>
      </w:r>
      <w:r>
        <w:rPr>
          <w:rFonts w:hint="eastAsia" w:ascii="仿宋" w:hAnsi="仿宋" w:eastAsia="仿宋" w:cs="仿宋"/>
          <w:color w:val="auto"/>
          <w:spacing w:val="4"/>
          <w:sz w:val="24"/>
          <w:szCs w:val="24"/>
        </w:rPr>
        <w:t>致，共同达成如下协议：</w:t>
      </w:r>
    </w:p>
    <w:p w14:paraId="39BBACDA">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4"/>
          <w:sz w:val="24"/>
          <w:szCs w:val="24"/>
        </w:rPr>
        <w:t>一、工程概况</w:t>
      </w:r>
    </w:p>
    <w:p w14:paraId="4682A00E">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1.工程名称：</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u w:val="single" w:color="auto"/>
          <w:lang w:val="en-US" w:eastAsia="zh-CN"/>
        </w:rPr>
        <w:t xml:space="preserve">       </w:t>
      </w:r>
    </w:p>
    <w:p w14:paraId="653C198F">
      <w:pPr>
        <w:keepNext w:val="0"/>
        <w:keepLines w:val="0"/>
        <w:pageBreakBefore w:val="0"/>
        <w:widowControl w:val="0"/>
        <w:kinsoku/>
        <w:wordWrap/>
        <w:overflowPunct/>
        <w:topLinePunct w:val="0"/>
        <w:autoSpaceDE/>
        <w:autoSpaceDN/>
        <w:bidi w:val="0"/>
        <w:adjustRightInd/>
        <w:snapToGrid/>
        <w:spacing w:line="360" w:lineRule="auto"/>
        <w:ind w:left="0" w:right="0" w:firstLine="512"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pacing w:val="8"/>
          <w:sz w:val="24"/>
          <w:szCs w:val="24"/>
        </w:rPr>
        <w:t>2.工程地点：</w:t>
      </w:r>
      <w:r>
        <w:rPr>
          <w:rFonts w:hint="eastAsia" w:ascii="仿宋" w:hAnsi="仿宋" w:eastAsia="仿宋" w:cs="仿宋"/>
          <w:color w:val="auto"/>
          <w:spacing w:val="8"/>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14:paraId="7DCE3368">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3.工程立项批准文号：</w:t>
      </w:r>
      <w:r>
        <w:rPr>
          <w:rFonts w:hint="eastAsia" w:ascii="仿宋" w:hAnsi="仿宋" w:eastAsia="仿宋" w:cs="仿宋"/>
          <w:color w:val="auto"/>
          <w:spacing w:val="1"/>
          <w:sz w:val="24"/>
          <w:szCs w:val="24"/>
          <w:u w:val="single" w:color="auto"/>
        </w:rPr>
        <w:t xml:space="preserve">       </w:t>
      </w:r>
    </w:p>
    <w:p w14:paraId="6291269F">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4.资金来源：</w:t>
      </w:r>
      <w:r>
        <w:rPr>
          <w:rFonts w:hint="eastAsia" w:ascii="仿宋" w:hAnsi="仿宋" w:eastAsia="仿宋" w:cs="仿宋"/>
          <w:color w:val="auto"/>
          <w:spacing w:val="1"/>
          <w:sz w:val="24"/>
          <w:szCs w:val="24"/>
          <w:u w:val="single" w:color="auto"/>
        </w:rPr>
        <w:t xml:space="preserve">       </w:t>
      </w:r>
    </w:p>
    <w:p w14:paraId="7EDA00C3">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5.工程内容：</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9"/>
          <w:sz w:val="24"/>
          <w:szCs w:val="24"/>
        </w:rPr>
        <w:t xml:space="preserve"> </w:t>
      </w:r>
    </w:p>
    <w:p w14:paraId="22B775BF">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6.工程承包范围：</w:t>
      </w:r>
      <w:r>
        <w:rPr>
          <w:rFonts w:hint="eastAsia" w:ascii="仿宋" w:hAnsi="仿宋" w:eastAsia="仿宋" w:cs="仿宋"/>
          <w:color w:val="auto"/>
          <w:spacing w:val="1"/>
          <w:sz w:val="24"/>
          <w:szCs w:val="24"/>
          <w:u w:val="single" w:color="auto"/>
        </w:rPr>
        <w:t xml:space="preserve">       </w:t>
      </w:r>
    </w:p>
    <w:p w14:paraId="6568F456">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二、合同工期</w:t>
      </w:r>
    </w:p>
    <w:p w14:paraId="31F289CA">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计划开工日期：</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82"/>
          <w:sz w:val="24"/>
          <w:szCs w:val="24"/>
        </w:rPr>
        <w:t xml:space="preserve"> </w:t>
      </w:r>
      <w:r>
        <w:rPr>
          <w:rFonts w:hint="eastAsia" w:ascii="仿宋" w:hAnsi="仿宋" w:eastAsia="仿宋" w:cs="仿宋"/>
          <w:color w:val="auto"/>
          <w:spacing w:val="2"/>
          <w:sz w:val="24"/>
          <w:szCs w:val="24"/>
        </w:rPr>
        <w:t>年</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86"/>
          <w:sz w:val="24"/>
          <w:szCs w:val="24"/>
        </w:rPr>
        <w:t xml:space="preserve"> </w:t>
      </w:r>
      <w:r>
        <w:rPr>
          <w:rFonts w:hint="eastAsia" w:ascii="仿宋" w:hAnsi="仿宋" w:eastAsia="仿宋" w:cs="仿宋"/>
          <w:color w:val="auto"/>
          <w:spacing w:val="2"/>
          <w:sz w:val="24"/>
          <w:szCs w:val="24"/>
        </w:rPr>
        <w:t>月</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55"/>
          <w:sz w:val="24"/>
          <w:szCs w:val="24"/>
        </w:rPr>
        <w:t xml:space="preserve"> </w:t>
      </w:r>
      <w:r>
        <w:rPr>
          <w:rFonts w:hint="eastAsia" w:ascii="仿宋" w:hAnsi="仿宋" w:eastAsia="仿宋" w:cs="仿宋"/>
          <w:color w:val="auto"/>
          <w:spacing w:val="2"/>
          <w:sz w:val="24"/>
          <w:szCs w:val="24"/>
        </w:rPr>
        <w:t>日。</w:t>
      </w:r>
    </w:p>
    <w:p w14:paraId="547F6865">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计划竣工日期：</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87"/>
          <w:sz w:val="24"/>
          <w:szCs w:val="24"/>
        </w:rPr>
        <w:t xml:space="preserve"> </w:t>
      </w:r>
      <w:r>
        <w:rPr>
          <w:rFonts w:hint="eastAsia" w:ascii="仿宋" w:hAnsi="仿宋" w:eastAsia="仿宋" w:cs="仿宋"/>
          <w:color w:val="auto"/>
          <w:spacing w:val="2"/>
          <w:sz w:val="24"/>
          <w:szCs w:val="24"/>
        </w:rPr>
        <w:t>年</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84"/>
          <w:sz w:val="24"/>
          <w:szCs w:val="24"/>
        </w:rPr>
        <w:t xml:space="preserve"> </w:t>
      </w:r>
      <w:r>
        <w:rPr>
          <w:rFonts w:hint="eastAsia" w:ascii="仿宋" w:hAnsi="仿宋" w:eastAsia="仿宋" w:cs="仿宋"/>
          <w:color w:val="auto"/>
          <w:spacing w:val="2"/>
          <w:sz w:val="24"/>
          <w:szCs w:val="24"/>
        </w:rPr>
        <w:t>月</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51"/>
          <w:sz w:val="24"/>
          <w:szCs w:val="24"/>
        </w:rPr>
        <w:t xml:space="preserve"> </w:t>
      </w:r>
      <w:r>
        <w:rPr>
          <w:rFonts w:hint="eastAsia" w:ascii="仿宋" w:hAnsi="仿宋" w:eastAsia="仿宋" w:cs="仿宋"/>
          <w:color w:val="auto"/>
          <w:spacing w:val="2"/>
          <w:sz w:val="24"/>
          <w:szCs w:val="24"/>
        </w:rPr>
        <w:t>日。</w:t>
      </w:r>
    </w:p>
    <w:p w14:paraId="6DE2B798">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工期总日历天数：</w:t>
      </w:r>
      <w:r>
        <w:rPr>
          <w:rFonts w:hint="eastAsia" w:ascii="仿宋" w:hAnsi="仿宋" w:eastAsia="仿宋" w:cs="仿宋"/>
          <w:color w:val="auto"/>
          <w:spacing w:val="-7"/>
          <w:sz w:val="24"/>
          <w:szCs w:val="24"/>
          <w:u w:val="single" w:color="auto"/>
        </w:rPr>
        <w:t xml:space="preserve">     </w:t>
      </w:r>
      <w:r>
        <w:rPr>
          <w:rFonts w:hint="eastAsia" w:ascii="仿宋" w:hAnsi="仿宋" w:eastAsia="仿宋" w:cs="仿宋"/>
          <w:color w:val="auto"/>
          <w:spacing w:val="-56"/>
          <w:sz w:val="24"/>
          <w:szCs w:val="24"/>
        </w:rPr>
        <w:t xml:space="preserve"> </w:t>
      </w:r>
      <w:r>
        <w:rPr>
          <w:rFonts w:hint="eastAsia" w:ascii="仿宋" w:hAnsi="仿宋" w:eastAsia="仿宋" w:cs="仿宋"/>
          <w:color w:val="auto"/>
          <w:spacing w:val="-7"/>
          <w:sz w:val="24"/>
          <w:szCs w:val="24"/>
        </w:rPr>
        <w:t>日历天。</w:t>
      </w:r>
    </w:p>
    <w:p w14:paraId="24F86E83">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三、质量标准</w:t>
      </w:r>
    </w:p>
    <w:p w14:paraId="7D113789">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工程质量符合</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5"/>
          <w:sz w:val="24"/>
          <w:szCs w:val="24"/>
          <w:u w:val="single" w:color="auto"/>
        </w:rPr>
        <w:t xml:space="preserve"> 达到现行施工质量验收规范“合格”</w:t>
      </w:r>
      <w:r>
        <w:rPr>
          <w:rFonts w:hint="eastAsia" w:ascii="仿宋" w:hAnsi="仿宋" w:eastAsia="仿宋" w:cs="仿宋"/>
          <w:color w:val="auto"/>
          <w:spacing w:val="-90"/>
          <w:sz w:val="24"/>
          <w:szCs w:val="24"/>
          <w:u w:val="single"/>
        </w:rPr>
        <w:t xml:space="preserve"> </w:t>
      </w:r>
      <w:r>
        <w:rPr>
          <w:rFonts w:hint="eastAsia" w:ascii="仿宋" w:hAnsi="仿宋" w:eastAsia="仿宋" w:cs="仿宋"/>
          <w:color w:val="auto"/>
          <w:spacing w:val="6"/>
          <w:sz w:val="24"/>
          <w:szCs w:val="24"/>
          <w:u w:val="single"/>
        </w:rPr>
        <w:t>标准</w:t>
      </w:r>
      <w:r>
        <w:rPr>
          <w:rFonts w:hint="eastAsia" w:ascii="仿宋" w:hAnsi="仿宋" w:eastAsia="仿宋" w:cs="仿宋"/>
          <w:color w:val="auto"/>
          <w:spacing w:val="6"/>
          <w:sz w:val="24"/>
          <w:szCs w:val="24"/>
        </w:rPr>
        <w:t>。</w:t>
      </w:r>
    </w:p>
    <w:p w14:paraId="78AE9E4A">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四、签约合同价与合同价格式</w:t>
      </w:r>
    </w:p>
    <w:p w14:paraId="5C1833AD">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4"/>
          <w:sz w:val="24"/>
          <w:szCs w:val="24"/>
        </w:rPr>
        <w:t>1.签约合同价为：人民币（大写）</w:t>
      </w:r>
      <w:r>
        <w:rPr>
          <w:rFonts w:hint="eastAsia" w:ascii="仿宋" w:hAnsi="仿宋" w:eastAsia="仿宋" w:cs="仿宋"/>
          <w:color w:val="auto"/>
          <w:spacing w:val="22"/>
          <w:sz w:val="24"/>
          <w:szCs w:val="24"/>
          <w:u w:val="single" w:color="auto"/>
        </w:rPr>
        <w:t xml:space="preserve">   </w:t>
      </w:r>
      <w:r>
        <w:rPr>
          <w:rFonts w:hint="eastAsia" w:ascii="仿宋" w:hAnsi="仿宋" w:eastAsia="仿宋" w:cs="仿宋"/>
          <w:color w:val="auto"/>
          <w:spacing w:val="22"/>
          <w:sz w:val="24"/>
          <w:szCs w:val="24"/>
          <w:u w:val="single" w:color="auto"/>
          <w:lang w:val="en-US" w:eastAsia="zh-CN"/>
        </w:rPr>
        <w:t xml:space="preserve">  </w:t>
      </w:r>
      <w:r>
        <w:rPr>
          <w:rFonts w:hint="eastAsia" w:ascii="仿宋" w:hAnsi="仿宋" w:eastAsia="仿宋" w:cs="仿宋"/>
          <w:color w:val="auto"/>
          <w:spacing w:val="22"/>
          <w:sz w:val="24"/>
          <w:szCs w:val="24"/>
          <w:u w:val="single" w:color="auto"/>
        </w:rPr>
        <w:t xml:space="preserve"> </w:t>
      </w:r>
      <w:r>
        <w:rPr>
          <w:rFonts w:hint="eastAsia" w:ascii="仿宋" w:hAnsi="仿宋" w:eastAsia="仿宋" w:cs="仿宋"/>
          <w:color w:val="auto"/>
          <w:spacing w:val="-54"/>
          <w:sz w:val="24"/>
          <w:szCs w:val="24"/>
          <w:lang w:eastAsia="zh-CN"/>
        </w:rPr>
        <w:t>（（</w:t>
      </w:r>
      <w:r>
        <w:rPr>
          <w:rFonts w:hint="eastAsia" w:ascii="仿宋" w:hAnsi="仿宋" w:eastAsia="仿宋" w:cs="仿宋"/>
          <w:color w:val="auto"/>
          <w:spacing w:val="4"/>
          <w:sz w:val="24"/>
          <w:szCs w:val="24"/>
        </w:rPr>
        <w:t>¥</w:t>
      </w:r>
      <w:r>
        <w:rPr>
          <w:rFonts w:hint="eastAsia" w:ascii="仿宋" w:hAnsi="仿宋" w:eastAsia="仿宋" w:cs="仿宋"/>
          <w:color w:val="auto"/>
          <w:spacing w:val="-100"/>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4"/>
          <w:sz w:val="24"/>
          <w:szCs w:val="24"/>
          <w:u w:val="single" w:color="auto"/>
          <w:lang w:val="en-US" w:eastAsia="zh-CN"/>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89"/>
          <w:sz w:val="24"/>
          <w:szCs w:val="24"/>
        </w:rPr>
        <w:t xml:space="preserve"> </w:t>
      </w:r>
      <w:r>
        <w:rPr>
          <w:rFonts w:hint="eastAsia" w:ascii="仿宋" w:hAnsi="仿宋" w:eastAsia="仿宋" w:cs="仿宋"/>
          <w:color w:val="auto"/>
          <w:spacing w:val="4"/>
          <w:sz w:val="24"/>
          <w:szCs w:val="24"/>
        </w:rPr>
        <w:t>元</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4"/>
          <w:sz w:val="24"/>
          <w:szCs w:val="24"/>
        </w:rPr>
        <w:t>其中：</w:t>
      </w:r>
    </w:p>
    <w:p w14:paraId="02E42923">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（1）安全文明施工费：</w:t>
      </w:r>
    </w:p>
    <w:p w14:paraId="012EA848">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人民币（大写）</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49"/>
          <w:sz w:val="24"/>
          <w:szCs w:val="24"/>
        </w:rPr>
        <w:t xml:space="preserve"> </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rPr>
        <w:t>元</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p>
    <w:p w14:paraId="2A2A2A64">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（2）材料和工程设备暂估价金额：</w:t>
      </w:r>
    </w:p>
    <w:p w14:paraId="5ECFDBB2">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default" w:ascii="仿宋" w:hAnsi="仿宋" w:eastAsia="仿宋" w:cs="仿宋"/>
          <w:color w:val="auto"/>
          <w:sz w:val="24"/>
          <w:szCs w:val="24"/>
          <w:lang w:val="en-US"/>
        </w:rPr>
      </w:pPr>
      <w:r>
        <w:rPr>
          <w:rFonts w:hint="eastAsia" w:ascii="仿宋" w:hAnsi="仿宋" w:eastAsia="仿宋" w:cs="仿宋"/>
          <w:color w:val="auto"/>
          <w:spacing w:val="2"/>
          <w:sz w:val="24"/>
          <w:szCs w:val="24"/>
        </w:rPr>
        <w:t>人民币（大写）</w:t>
      </w:r>
      <w:r>
        <w:rPr>
          <w:rFonts w:hint="eastAsia" w:ascii="仿宋" w:hAnsi="仿宋" w:eastAsia="仿宋" w:cs="仿宋"/>
          <w:color w:val="auto"/>
          <w:spacing w:val="14"/>
          <w:sz w:val="24"/>
          <w:szCs w:val="24"/>
          <w:u w:val="single" w:color="auto"/>
        </w:rPr>
        <w:t xml:space="preserve">      </w:t>
      </w:r>
      <w:r>
        <w:rPr>
          <w:rFonts w:hint="eastAsia" w:ascii="仿宋" w:hAnsi="仿宋" w:eastAsia="仿宋" w:cs="仿宋"/>
          <w:color w:val="auto"/>
          <w:spacing w:val="-53"/>
          <w:sz w:val="24"/>
          <w:szCs w:val="24"/>
        </w:rPr>
        <w:t xml:space="preserve"> </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rPr>
        <w:t>元</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p>
    <w:p w14:paraId="0F427A52">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（3）专业工程暂估价金额：</w:t>
      </w:r>
    </w:p>
    <w:p w14:paraId="47CD4B7D">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人民币（大写）</w:t>
      </w:r>
      <w:r>
        <w:rPr>
          <w:rFonts w:hint="eastAsia" w:ascii="仿宋" w:hAnsi="仿宋" w:eastAsia="仿宋" w:cs="仿宋"/>
          <w:color w:val="auto"/>
          <w:spacing w:val="14"/>
          <w:sz w:val="24"/>
          <w:szCs w:val="24"/>
          <w:u w:val="single" w:color="auto"/>
        </w:rPr>
        <w:t xml:space="preserve">      </w:t>
      </w:r>
      <w:r>
        <w:rPr>
          <w:rFonts w:hint="eastAsia" w:ascii="仿宋" w:hAnsi="仿宋" w:eastAsia="仿宋" w:cs="仿宋"/>
          <w:color w:val="auto"/>
          <w:spacing w:val="-53"/>
          <w:sz w:val="24"/>
          <w:szCs w:val="24"/>
        </w:rPr>
        <w:t xml:space="preserve"> </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rPr>
        <w:t>元</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p>
    <w:p w14:paraId="6029893A">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5"/>
          <w:sz w:val="24"/>
          <w:szCs w:val="24"/>
        </w:rPr>
        <w:t>（4）暂列金额：</w:t>
      </w:r>
    </w:p>
    <w:p w14:paraId="2F7E195D">
      <w:pPr>
        <w:keepNext w:val="0"/>
        <w:keepLines w:val="0"/>
        <w:pageBreakBefore w:val="0"/>
        <w:widowControl w:val="0"/>
        <w:kinsoku/>
        <w:wordWrap/>
        <w:overflowPunct/>
        <w:topLinePunct w:val="0"/>
        <w:autoSpaceDE/>
        <w:autoSpaceDN/>
        <w:bidi w:val="0"/>
        <w:adjustRightInd/>
        <w:snapToGrid/>
        <w:spacing w:line="360" w:lineRule="auto"/>
        <w:ind w:left="0" w:right="0" w:firstLine="732" w:firstLineChars="3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人民币（大写）</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rPr>
        <w:t>元</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w:t>
      </w:r>
    </w:p>
    <w:p w14:paraId="6EFDC9D6">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2.合同价格形式：</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6"/>
          <w:sz w:val="24"/>
          <w:szCs w:val="24"/>
          <w:u w:val="single" w:color="auto"/>
          <w:lang w:val="en-US" w:eastAsia="zh-CN"/>
        </w:rPr>
        <w:t xml:space="preserve">   </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6"/>
          <w:sz w:val="24"/>
          <w:szCs w:val="24"/>
        </w:rPr>
        <w:t>。</w:t>
      </w:r>
    </w:p>
    <w:p w14:paraId="2EC16590">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五、项目经理</w:t>
      </w:r>
    </w:p>
    <w:p w14:paraId="148D07E2">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项目经理：</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6"/>
          <w:sz w:val="24"/>
          <w:szCs w:val="24"/>
        </w:rPr>
        <w:t>身份证号码：</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rPr>
        <w:t>注册号：</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rPr>
        <w:t xml:space="preserve">  </w:t>
      </w:r>
    </w:p>
    <w:p w14:paraId="18DE10B1">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2"/>
          <w:sz w:val="24"/>
          <w:szCs w:val="24"/>
        </w:rPr>
        <w:t>六、合同文件构成</w:t>
      </w:r>
    </w:p>
    <w:p w14:paraId="74118653">
      <w:pPr>
        <w:keepNext w:val="0"/>
        <w:keepLines w:val="0"/>
        <w:pageBreakBefore w:val="0"/>
        <w:widowControl w:val="0"/>
        <w:kinsoku/>
        <w:wordWrap/>
        <w:overflowPunct/>
        <w:topLinePunct w:val="0"/>
        <w:autoSpaceDE/>
        <w:autoSpaceDN/>
        <w:bidi w:val="0"/>
        <w:adjustRightInd/>
        <w:snapToGrid/>
        <w:spacing w:line="360" w:lineRule="auto"/>
        <w:ind w:left="0" w:righ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本协议书与下列文件一起构成合同文件：</w:t>
      </w:r>
    </w:p>
    <w:p w14:paraId="7ACC4194">
      <w:pPr>
        <w:keepNext w:val="0"/>
        <w:keepLines w:val="0"/>
        <w:pageBreakBefore w:val="0"/>
        <w:widowControl w:val="0"/>
        <w:kinsoku/>
        <w:wordWrap/>
        <w:overflowPunct/>
        <w:topLinePunct w:val="0"/>
        <w:autoSpaceDE/>
        <w:autoSpaceDN/>
        <w:bidi w:val="0"/>
        <w:adjustRightInd/>
        <w:snapToGrid/>
        <w:spacing w:line="360" w:lineRule="auto"/>
        <w:ind w:left="0" w:righ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（1）</w:t>
      </w:r>
      <w:r>
        <w:rPr>
          <w:rFonts w:hint="eastAsia" w:ascii="仿宋" w:hAnsi="仿宋" w:eastAsia="仿宋" w:cs="仿宋"/>
          <w:color w:val="auto"/>
          <w:spacing w:val="8"/>
          <w:sz w:val="24"/>
          <w:szCs w:val="24"/>
          <w:lang w:val="en-US" w:eastAsia="zh-CN"/>
        </w:rPr>
        <w:t>成交</w:t>
      </w:r>
      <w:r>
        <w:rPr>
          <w:rFonts w:hint="eastAsia" w:ascii="仿宋" w:hAnsi="仿宋" w:eastAsia="仿宋" w:cs="仿宋"/>
          <w:color w:val="auto"/>
          <w:spacing w:val="8"/>
          <w:sz w:val="24"/>
          <w:szCs w:val="24"/>
        </w:rPr>
        <w:t>通知书（如果有</w:t>
      </w:r>
      <w:r>
        <w:rPr>
          <w:rFonts w:hint="eastAsia" w:ascii="仿宋" w:hAnsi="仿宋" w:eastAsia="仿宋" w:cs="仿宋"/>
          <w:color w:val="auto"/>
          <w:sz w:val="24"/>
          <w:szCs w:val="24"/>
        </w:rPr>
        <w:t>）；</w:t>
      </w:r>
    </w:p>
    <w:p w14:paraId="381F0721">
      <w:pPr>
        <w:keepNext w:val="0"/>
        <w:keepLines w:val="0"/>
        <w:pageBreakBefore w:val="0"/>
        <w:widowControl w:val="0"/>
        <w:kinsoku/>
        <w:wordWrap/>
        <w:overflowPunct/>
        <w:topLinePunct w:val="0"/>
        <w:autoSpaceDE/>
        <w:autoSpaceDN/>
        <w:bidi w:val="0"/>
        <w:adjustRightInd/>
        <w:snapToGrid/>
        <w:spacing w:line="360" w:lineRule="auto"/>
        <w:ind w:left="0" w:righ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（2）投标函及其附录（如果有</w:t>
      </w:r>
      <w:r>
        <w:rPr>
          <w:rFonts w:hint="eastAsia" w:ascii="仿宋" w:hAnsi="仿宋" w:eastAsia="仿宋" w:cs="仿宋"/>
          <w:color w:val="auto"/>
          <w:spacing w:val="1"/>
          <w:sz w:val="24"/>
          <w:szCs w:val="24"/>
        </w:rPr>
        <w:t>）；</w:t>
      </w:r>
    </w:p>
    <w:p w14:paraId="0E716875">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（3）专用合同条款及其附件；</w:t>
      </w:r>
    </w:p>
    <w:p w14:paraId="2B989B81">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（4）通用合同条款；</w:t>
      </w:r>
    </w:p>
    <w:p w14:paraId="60E755B0">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（5）技术标准和要求；</w:t>
      </w:r>
    </w:p>
    <w:p w14:paraId="359868A7">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4"/>
          <w:sz w:val="24"/>
          <w:szCs w:val="24"/>
        </w:rPr>
        <w:t>（6）图纸；</w:t>
      </w:r>
    </w:p>
    <w:p w14:paraId="28200CAF">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5"/>
          <w:sz w:val="24"/>
          <w:szCs w:val="24"/>
        </w:rPr>
        <w:t>（7）</w:t>
      </w:r>
      <w:r>
        <w:rPr>
          <w:rFonts w:hint="eastAsia" w:ascii="仿宋" w:hAnsi="仿宋" w:eastAsia="仿宋" w:cs="仿宋"/>
          <w:color w:val="auto"/>
          <w:spacing w:val="-56"/>
          <w:sz w:val="24"/>
          <w:szCs w:val="24"/>
        </w:rPr>
        <w:t xml:space="preserve"> </w:t>
      </w:r>
      <w:r>
        <w:rPr>
          <w:rFonts w:hint="eastAsia" w:ascii="仿宋" w:hAnsi="仿宋" w:eastAsia="仿宋" w:cs="仿宋"/>
          <w:color w:val="auto"/>
          <w:spacing w:val="5"/>
          <w:sz w:val="24"/>
          <w:szCs w:val="24"/>
        </w:rPr>
        <w:t>已标价工程量清单或预算书；</w:t>
      </w:r>
    </w:p>
    <w:p w14:paraId="2DBFD57C">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（8）其他合同文件。</w:t>
      </w:r>
    </w:p>
    <w:p w14:paraId="26F68848">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在合同订立及履行过程中形成的与合同有关的文件均构成合同文件组成部分。</w:t>
      </w:r>
    </w:p>
    <w:p w14:paraId="61CB9C1A">
      <w:pPr>
        <w:keepNext w:val="0"/>
        <w:keepLines w:val="0"/>
        <w:pageBreakBefore w:val="0"/>
        <w:widowControl w:val="0"/>
        <w:kinsoku/>
        <w:wordWrap/>
        <w:overflowPunct/>
        <w:topLinePunct w:val="0"/>
        <w:autoSpaceDE/>
        <w:autoSpaceDN/>
        <w:bidi w:val="0"/>
        <w:adjustRightInd/>
        <w:snapToGrid/>
        <w:spacing w:line="360" w:lineRule="auto"/>
        <w:ind w:left="0" w:right="0" w:firstLine="52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上述各项合同文件包括合同当事人就该项合同文件所作出的补充</w:t>
      </w:r>
      <w:r>
        <w:rPr>
          <w:rFonts w:hint="eastAsia" w:ascii="仿宋" w:hAnsi="仿宋" w:eastAsia="仿宋" w:cs="仿宋"/>
          <w:color w:val="auto"/>
          <w:spacing w:val="9"/>
          <w:sz w:val="24"/>
          <w:szCs w:val="24"/>
        </w:rPr>
        <w:t>和修改，属于同一类内容的文</w:t>
      </w:r>
      <w:r>
        <w:rPr>
          <w:rFonts w:hint="eastAsia" w:ascii="仿宋" w:hAnsi="仿宋" w:eastAsia="仿宋" w:cs="仿宋"/>
          <w:color w:val="auto"/>
          <w:spacing w:val="6"/>
          <w:sz w:val="24"/>
          <w:szCs w:val="24"/>
        </w:rPr>
        <w:t>件，应以最新签署的为准。专用合同条款及其附件须经合同当事人签字</w:t>
      </w:r>
      <w:r>
        <w:rPr>
          <w:rFonts w:hint="eastAsia" w:ascii="仿宋" w:hAnsi="仿宋" w:eastAsia="仿宋" w:cs="仿宋"/>
          <w:color w:val="auto"/>
          <w:spacing w:val="5"/>
          <w:sz w:val="24"/>
          <w:szCs w:val="24"/>
        </w:rPr>
        <w:t>或盖章。</w:t>
      </w:r>
    </w:p>
    <w:p w14:paraId="0A23C946">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七、承诺</w:t>
      </w:r>
    </w:p>
    <w:p w14:paraId="3E11BE61">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1.</w:t>
      </w:r>
      <w:r>
        <w:rPr>
          <w:rFonts w:hint="eastAsia" w:ascii="仿宋" w:hAnsi="仿宋" w:eastAsia="仿宋" w:cs="仿宋"/>
          <w:color w:val="auto"/>
          <w:spacing w:val="-51"/>
          <w:sz w:val="24"/>
          <w:szCs w:val="24"/>
        </w:rPr>
        <w:t xml:space="preserve"> </w:t>
      </w:r>
      <w:r>
        <w:rPr>
          <w:rFonts w:hint="eastAsia" w:ascii="仿宋" w:hAnsi="仿宋" w:eastAsia="仿宋" w:cs="仿宋"/>
          <w:color w:val="auto"/>
          <w:spacing w:val="9"/>
          <w:sz w:val="24"/>
          <w:szCs w:val="24"/>
        </w:rPr>
        <w:t>发包人承诺按照法律规定履行项目审批手续、筹集工程建设资金并按照合同约定</w:t>
      </w:r>
      <w:r>
        <w:rPr>
          <w:rFonts w:hint="eastAsia" w:ascii="仿宋" w:hAnsi="仿宋" w:eastAsia="仿宋" w:cs="仿宋"/>
          <w:color w:val="auto"/>
          <w:spacing w:val="8"/>
          <w:sz w:val="24"/>
          <w:szCs w:val="24"/>
        </w:rPr>
        <w:t>的期限和方式</w:t>
      </w:r>
      <w:r>
        <w:rPr>
          <w:rFonts w:hint="eastAsia" w:ascii="仿宋" w:hAnsi="仿宋" w:eastAsia="仿宋" w:cs="仿宋"/>
          <w:color w:val="auto"/>
          <w:spacing w:val="6"/>
          <w:sz w:val="24"/>
          <w:szCs w:val="24"/>
        </w:rPr>
        <w:t>支付合同价款。</w:t>
      </w:r>
    </w:p>
    <w:p w14:paraId="35598651">
      <w:pPr>
        <w:keepNext w:val="0"/>
        <w:keepLines w:val="0"/>
        <w:pageBreakBefore w:val="0"/>
        <w:widowControl w:val="0"/>
        <w:kinsoku/>
        <w:wordWrap/>
        <w:overflowPunct/>
        <w:topLinePunct w:val="0"/>
        <w:autoSpaceDE/>
        <w:autoSpaceDN/>
        <w:bidi w:val="0"/>
        <w:adjustRightInd/>
        <w:snapToGrid/>
        <w:spacing w:line="360" w:lineRule="auto"/>
        <w:ind w:left="0" w:right="0" w:firstLine="52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2.承包人承诺按照法律规定及合同约定组织完成工程施工，确保工程质量和安全，不进行转包及</w:t>
      </w:r>
      <w:r>
        <w:rPr>
          <w:rFonts w:hint="eastAsia" w:ascii="仿宋" w:hAnsi="仿宋" w:eastAsia="仿宋" w:cs="仿宋"/>
          <w:color w:val="auto"/>
          <w:spacing w:val="9"/>
          <w:sz w:val="24"/>
          <w:szCs w:val="24"/>
        </w:rPr>
        <w:t>违法分包，并在缺陷责任期及保修期内承担相应的工程维修责任。</w:t>
      </w:r>
    </w:p>
    <w:p w14:paraId="2C161F6B">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3.</w:t>
      </w:r>
      <w:r>
        <w:rPr>
          <w:rFonts w:hint="eastAsia" w:ascii="仿宋" w:hAnsi="仿宋" w:eastAsia="仿宋" w:cs="仿宋"/>
          <w:color w:val="auto"/>
          <w:spacing w:val="-47"/>
          <w:sz w:val="24"/>
          <w:szCs w:val="24"/>
        </w:rPr>
        <w:t xml:space="preserve"> </w:t>
      </w:r>
      <w:r>
        <w:rPr>
          <w:rFonts w:hint="eastAsia" w:ascii="仿宋" w:hAnsi="仿宋" w:eastAsia="仿宋" w:cs="仿宋"/>
          <w:color w:val="auto"/>
          <w:spacing w:val="9"/>
          <w:sz w:val="24"/>
          <w:szCs w:val="24"/>
        </w:rPr>
        <w:t>发包人和承包人通过招投标形式签订合同的，双方理解并承诺不再就同一工程另行签订与合同</w:t>
      </w:r>
      <w:r>
        <w:rPr>
          <w:rFonts w:hint="eastAsia" w:ascii="仿宋" w:hAnsi="仿宋" w:eastAsia="仿宋" w:cs="仿宋"/>
          <w:color w:val="auto"/>
          <w:spacing w:val="7"/>
          <w:sz w:val="24"/>
          <w:szCs w:val="24"/>
        </w:rPr>
        <w:t>实质性内容相背离的协议。</w:t>
      </w:r>
    </w:p>
    <w:p w14:paraId="3B47D328">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八、词语含义</w:t>
      </w:r>
    </w:p>
    <w:p w14:paraId="7B70166A">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9"/>
          <w:sz w:val="24"/>
          <w:szCs w:val="24"/>
        </w:rPr>
        <w:t>本协议书中词语含义与第二部分通用合同条款中赋予的含义相同。</w:t>
      </w:r>
    </w:p>
    <w:p w14:paraId="73C9366F">
      <w:pPr>
        <w:keepNext w:val="0"/>
        <w:keepLines w:val="0"/>
        <w:pageBreakBefore w:val="0"/>
        <w:widowControl w:val="0"/>
        <w:kinsoku/>
        <w:wordWrap/>
        <w:overflowPunct/>
        <w:topLinePunct w:val="0"/>
        <w:autoSpaceDE/>
        <w:autoSpaceDN/>
        <w:bidi w:val="0"/>
        <w:adjustRightInd/>
        <w:snapToGrid/>
        <w:spacing w:line="360" w:lineRule="auto"/>
        <w:ind w:left="0" w:right="0" w:firstLine="46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5"/>
          <w:sz w:val="24"/>
          <w:szCs w:val="24"/>
        </w:rPr>
        <w:t>九、签订时间</w:t>
      </w:r>
    </w:p>
    <w:p w14:paraId="5E5673A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本合同于</w:t>
      </w:r>
      <w:r>
        <w:rPr>
          <w:rFonts w:hint="eastAsia" w:ascii="仿宋" w:hAnsi="仿宋" w:eastAsia="仿宋" w:cs="仿宋"/>
          <w:color w:val="auto"/>
          <w:spacing w:val="-90"/>
          <w:sz w:val="24"/>
          <w:szCs w:val="24"/>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90"/>
          <w:sz w:val="24"/>
          <w:szCs w:val="24"/>
        </w:rPr>
        <w:t xml:space="preserve"> </w:t>
      </w:r>
      <w:r>
        <w:rPr>
          <w:rFonts w:hint="eastAsia" w:ascii="仿宋" w:hAnsi="仿宋" w:eastAsia="仿宋" w:cs="仿宋"/>
          <w:color w:val="auto"/>
          <w:sz w:val="24"/>
          <w:szCs w:val="24"/>
        </w:rPr>
        <w:t>年</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81"/>
          <w:sz w:val="24"/>
          <w:szCs w:val="24"/>
        </w:rPr>
        <w:t xml:space="preserve"> </w:t>
      </w:r>
      <w:r>
        <w:rPr>
          <w:rFonts w:hint="eastAsia" w:ascii="仿宋" w:hAnsi="仿宋" w:eastAsia="仿宋" w:cs="仿宋"/>
          <w:color w:val="auto"/>
          <w:sz w:val="24"/>
          <w:szCs w:val="24"/>
        </w:rPr>
        <w:t>月</w:t>
      </w:r>
      <w:r>
        <w:rPr>
          <w:rFonts w:hint="eastAsia" w:ascii="仿宋" w:hAnsi="仿宋" w:eastAsia="仿宋" w:cs="仿宋"/>
          <w:color w:val="auto"/>
          <w:spacing w:val="-99"/>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50"/>
          <w:sz w:val="24"/>
          <w:szCs w:val="24"/>
        </w:rPr>
        <w:t xml:space="preserve"> </w:t>
      </w:r>
      <w:r>
        <w:rPr>
          <w:rFonts w:hint="eastAsia" w:ascii="仿宋" w:hAnsi="仿宋" w:eastAsia="仿宋" w:cs="仿宋"/>
          <w:color w:val="auto"/>
          <w:sz w:val="24"/>
          <w:szCs w:val="24"/>
        </w:rPr>
        <w:t>日签订。</w:t>
      </w:r>
    </w:p>
    <w:p w14:paraId="19D6359E">
      <w:pPr>
        <w:keepNext w:val="0"/>
        <w:keepLines w:val="0"/>
        <w:pageBreakBefore w:val="0"/>
        <w:widowControl w:val="0"/>
        <w:kinsoku/>
        <w:wordWrap/>
        <w:overflowPunct/>
        <w:topLinePunct w:val="0"/>
        <w:autoSpaceDE/>
        <w:autoSpaceDN/>
        <w:bidi w:val="0"/>
        <w:adjustRightInd/>
        <w:snapToGrid/>
        <w:spacing w:line="360" w:lineRule="auto"/>
        <w:ind w:left="0" w:right="0" w:firstLine="50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6"/>
          <w:sz w:val="24"/>
          <w:szCs w:val="24"/>
        </w:rPr>
        <w:t>十、签订地点</w:t>
      </w:r>
    </w:p>
    <w:p w14:paraId="22265752">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仿宋" w:hAnsi="仿宋" w:eastAsia="仿宋" w:cs="仿宋"/>
          <w:color w:val="auto"/>
          <w:spacing w:val="5"/>
          <w:sz w:val="24"/>
          <w:szCs w:val="24"/>
          <w:lang w:eastAsia="zh-CN"/>
        </w:rPr>
      </w:pPr>
      <w:r>
        <w:rPr>
          <w:rFonts w:hint="eastAsia" w:ascii="仿宋" w:hAnsi="仿宋" w:eastAsia="仿宋" w:cs="仿宋"/>
          <w:color w:val="auto"/>
          <w:spacing w:val="5"/>
          <w:sz w:val="24"/>
          <w:szCs w:val="24"/>
        </w:rPr>
        <w:t>本合同在</w:t>
      </w:r>
      <w:r>
        <w:rPr>
          <w:rFonts w:hint="eastAsia" w:ascii="仿宋" w:hAnsi="仿宋" w:eastAsia="仿宋" w:cs="仿宋"/>
          <w:color w:val="auto"/>
          <w:spacing w:val="-96"/>
          <w:sz w:val="24"/>
          <w:szCs w:val="24"/>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90"/>
          <w:sz w:val="24"/>
          <w:szCs w:val="24"/>
        </w:rPr>
        <w:t xml:space="preserve"> </w:t>
      </w:r>
      <w:r>
        <w:rPr>
          <w:rFonts w:hint="eastAsia" w:ascii="仿宋" w:hAnsi="仿宋" w:eastAsia="仿宋" w:cs="仿宋"/>
          <w:color w:val="auto"/>
          <w:spacing w:val="5"/>
          <w:sz w:val="24"/>
          <w:szCs w:val="24"/>
        </w:rPr>
        <w:t>签订</w:t>
      </w:r>
      <w:r>
        <w:rPr>
          <w:rFonts w:hint="eastAsia" w:ascii="仿宋" w:hAnsi="仿宋" w:eastAsia="仿宋" w:cs="仿宋"/>
          <w:color w:val="auto"/>
          <w:spacing w:val="5"/>
          <w:sz w:val="24"/>
          <w:szCs w:val="24"/>
          <w:lang w:eastAsia="zh-CN"/>
        </w:rPr>
        <w:t>。</w:t>
      </w:r>
    </w:p>
    <w:p w14:paraId="43574FC8">
      <w:pPr>
        <w:keepNext w:val="0"/>
        <w:keepLines w:val="0"/>
        <w:pageBreakBefore w:val="0"/>
        <w:widowControl w:val="0"/>
        <w:kinsoku/>
        <w:wordWrap/>
        <w:overflowPunct/>
        <w:topLinePunct w:val="0"/>
        <w:autoSpaceDE/>
        <w:autoSpaceDN/>
        <w:bidi w:val="0"/>
        <w:adjustRightInd/>
        <w:snapToGrid/>
        <w:spacing w:line="360" w:lineRule="auto"/>
        <w:ind w:firstLine="51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7"/>
          <w:sz w:val="24"/>
          <w:szCs w:val="24"/>
        </w:rPr>
        <w:t>十一、补充协议</w:t>
      </w:r>
    </w:p>
    <w:p w14:paraId="70C2A85C">
      <w:pPr>
        <w:keepNext w:val="0"/>
        <w:keepLines w:val="0"/>
        <w:pageBreakBefore w:val="0"/>
        <w:widowControl w:val="0"/>
        <w:kinsoku/>
        <w:wordWrap/>
        <w:overflowPunct/>
        <w:topLinePunct w:val="0"/>
        <w:autoSpaceDE/>
        <w:autoSpaceDN/>
        <w:bidi w:val="0"/>
        <w:adjustRightInd/>
        <w:snapToGrid/>
        <w:spacing w:line="360" w:lineRule="auto"/>
        <w:ind w:left="0" w:right="0" w:firstLine="52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合同未尽事宜，合同当事人另行签订补充协议，补充协议是合同的</w:t>
      </w:r>
      <w:r>
        <w:rPr>
          <w:rFonts w:hint="eastAsia" w:ascii="仿宋" w:hAnsi="仿宋" w:eastAsia="仿宋" w:cs="仿宋"/>
          <w:color w:val="auto"/>
          <w:spacing w:val="9"/>
          <w:sz w:val="24"/>
          <w:szCs w:val="24"/>
        </w:rPr>
        <w:t>组成部分，与本合同具有同等</w:t>
      </w:r>
      <w:r>
        <w:rPr>
          <w:rFonts w:hint="eastAsia" w:ascii="仿宋" w:hAnsi="仿宋" w:eastAsia="仿宋" w:cs="仿宋"/>
          <w:color w:val="auto"/>
          <w:spacing w:val="5"/>
          <w:sz w:val="24"/>
          <w:szCs w:val="24"/>
        </w:rPr>
        <w:t>法律效力。</w:t>
      </w:r>
    </w:p>
    <w:p w14:paraId="351E6171">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4"/>
          <w:sz w:val="24"/>
          <w:szCs w:val="24"/>
        </w:rPr>
        <w:t>十二、合同生效</w:t>
      </w:r>
    </w:p>
    <w:p w14:paraId="227D24F1">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3"/>
          <w:sz w:val="24"/>
          <w:szCs w:val="24"/>
        </w:rPr>
        <w:t>本合同自</w:t>
      </w:r>
      <w:r>
        <w:rPr>
          <w:rFonts w:hint="eastAsia" w:ascii="仿宋" w:hAnsi="仿宋" w:eastAsia="仿宋" w:cs="仿宋"/>
          <w:color w:val="auto"/>
          <w:spacing w:val="13"/>
          <w:sz w:val="24"/>
          <w:szCs w:val="24"/>
          <w:u w:val="single" w:color="auto"/>
        </w:rPr>
        <w:t>双方签字并盖章之日</w:t>
      </w:r>
      <w:r>
        <w:rPr>
          <w:rFonts w:hint="eastAsia" w:ascii="仿宋" w:hAnsi="仿宋" w:eastAsia="仿宋" w:cs="仿宋"/>
          <w:color w:val="auto"/>
          <w:spacing w:val="13"/>
          <w:sz w:val="24"/>
          <w:szCs w:val="24"/>
          <w:u w:val="none" w:color="auto"/>
        </w:rPr>
        <w:t>起</w:t>
      </w:r>
      <w:r>
        <w:rPr>
          <w:rFonts w:hint="eastAsia" w:ascii="仿宋" w:hAnsi="仿宋" w:eastAsia="仿宋" w:cs="仿宋"/>
          <w:color w:val="auto"/>
          <w:spacing w:val="13"/>
          <w:sz w:val="24"/>
          <w:szCs w:val="24"/>
        </w:rPr>
        <w:t>生效。</w:t>
      </w:r>
    </w:p>
    <w:p w14:paraId="6B907759">
      <w:pPr>
        <w:keepNext w:val="0"/>
        <w:keepLines w:val="0"/>
        <w:pageBreakBefore w:val="0"/>
        <w:widowControl w:val="0"/>
        <w:kinsoku/>
        <w:wordWrap/>
        <w:overflowPunct/>
        <w:topLinePunct w:val="0"/>
        <w:autoSpaceDE/>
        <w:autoSpaceDN/>
        <w:bidi w:val="0"/>
        <w:adjustRightInd/>
        <w:snapToGrid/>
        <w:spacing w:line="360" w:lineRule="auto"/>
        <w:ind w:left="0" w:right="0" w:firstLine="51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7"/>
          <w:sz w:val="24"/>
          <w:szCs w:val="24"/>
        </w:rPr>
        <w:t>十三、合同份数</w:t>
      </w:r>
    </w:p>
    <w:p w14:paraId="704AC404">
      <w:pPr>
        <w:keepNext w:val="0"/>
        <w:keepLines w:val="0"/>
        <w:pageBreakBefore w:val="0"/>
        <w:widowControl w:val="0"/>
        <w:kinsoku/>
        <w:wordWrap/>
        <w:overflowPunct/>
        <w:topLinePunct w:val="0"/>
        <w:autoSpaceDE/>
        <w:autoSpaceDN/>
        <w:bidi w:val="0"/>
        <w:adjustRightInd/>
        <w:snapToGrid/>
        <w:spacing w:line="360" w:lineRule="auto"/>
        <w:ind w:left="733" w:leftChars="228" w:right="0" w:hanging="254" w:hangingChars="100"/>
        <w:textAlignment w:val="auto"/>
        <w:rPr>
          <w:rFonts w:hint="eastAsia" w:ascii="仿宋" w:hAnsi="仿宋" w:eastAsia="仿宋" w:cs="仿宋"/>
          <w:color w:val="auto"/>
          <w:spacing w:val="7"/>
          <w:sz w:val="24"/>
          <w:szCs w:val="24"/>
          <w:lang w:eastAsia="zh-CN"/>
        </w:rPr>
      </w:pPr>
      <w:r>
        <w:rPr>
          <w:rFonts w:hint="eastAsia" w:ascii="仿宋" w:hAnsi="仿宋" w:eastAsia="仿宋" w:cs="仿宋"/>
          <w:color w:val="auto"/>
          <w:spacing w:val="7"/>
          <w:sz w:val="24"/>
          <w:szCs w:val="24"/>
        </w:rPr>
        <w:t>本合同一式</w:t>
      </w:r>
      <w:r>
        <w:rPr>
          <w:rFonts w:hint="eastAsia" w:ascii="仿宋" w:hAnsi="仿宋" w:eastAsia="仿宋" w:cs="仿宋"/>
          <w:color w:val="auto"/>
          <w:spacing w:val="-89"/>
          <w:sz w:val="24"/>
          <w:szCs w:val="24"/>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91"/>
          <w:sz w:val="24"/>
          <w:szCs w:val="24"/>
        </w:rPr>
        <w:t xml:space="preserve"> </w:t>
      </w:r>
      <w:r>
        <w:rPr>
          <w:rFonts w:hint="eastAsia" w:ascii="仿宋" w:hAnsi="仿宋" w:eastAsia="仿宋" w:cs="仿宋"/>
          <w:color w:val="auto"/>
          <w:spacing w:val="7"/>
          <w:sz w:val="24"/>
          <w:szCs w:val="24"/>
        </w:rPr>
        <w:t>份，均具有同等法律效力，发包人执</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92"/>
          <w:sz w:val="24"/>
          <w:szCs w:val="24"/>
        </w:rPr>
        <w:t xml:space="preserve"> </w:t>
      </w:r>
      <w:r>
        <w:rPr>
          <w:rFonts w:hint="eastAsia" w:ascii="仿宋" w:hAnsi="仿宋" w:eastAsia="仿宋" w:cs="仿宋"/>
          <w:color w:val="auto"/>
          <w:spacing w:val="7"/>
          <w:sz w:val="24"/>
          <w:szCs w:val="24"/>
        </w:rPr>
        <w:t>份，承包人执</w:t>
      </w:r>
      <w:r>
        <w:rPr>
          <w:rFonts w:hint="eastAsia" w:ascii="仿宋" w:hAnsi="仿宋" w:eastAsia="仿宋" w:cs="仿宋"/>
          <w:color w:val="auto"/>
          <w:spacing w:val="-98"/>
          <w:sz w:val="24"/>
          <w:szCs w:val="24"/>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91"/>
          <w:sz w:val="24"/>
          <w:szCs w:val="24"/>
        </w:rPr>
        <w:t xml:space="preserve"> </w:t>
      </w:r>
      <w:r>
        <w:rPr>
          <w:rFonts w:hint="eastAsia" w:ascii="仿宋" w:hAnsi="仿宋" w:eastAsia="仿宋" w:cs="仿宋"/>
          <w:color w:val="auto"/>
          <w:spacing w:val="7"/>
          <w:sz w:val="24"/>
          <w:szCs w:val="24"/>
        </w:rPr>
        <w:t>份</w:t>
      </w:r>
      <w:r>
        <w:rPr>
          <w:rFonts w:hint="eastAsia" w:ascii="仿宋" w:hAnsi="仿宋" w:eastAsia="仿宋" w:cs="仿宋"/>
          <w:color w:val="auto"/>
          <w:spacing w:val="7"/>
          <w:sz w:val="24"/>
          <w:szCs w:val="24"/>
          <w:lang w:eastAsia="zh-CN"/>
        </w:rPr>
        <w:t>。</w:t>
      </w:r>
    </w:p>
    <w:p w14:paraId="35E12E5D">
      <w:pPr>
        <w:keepNext w:val="0"/>
        <w:keepLines w:val="0"/>
        <w:pageBreakBefore w:val="0"/>
        <w:widowControl w:val="0"/>
        <w:kinsoku/>
        <w:wordWrap/>
        <w:overflowPunct/>
        <w:topLinePunct w:val="0"/>
        <w:autoSpaceDE/>
        <w:autoSpaceDN/>
        <w:bidi w:val="0"/>
        <w:adjustRightInd/>
        <w:snapToGrid/>
        <w:spacing w:line="360" w:lineRule="auto"/>
        <w:ind w:left="733" w:leftChars="228" w:right="0" w:hanging="254" w:hangingChars="100"/>
        <w:textAlignment w:val="auto"/>
        <w:rPr>
          <w:rFonts w:hint="eastAsia" w:ascii="仿宋" w:hAnsi="仿宋" w:eastAsia="仿宋" w:cs="仿宋"/>
          <w:color w:val="auto"/>
          <w:spacing w:val="7"/>
          <w:sz w:val="24"/>
          <w:szCs w:val="24"/>
        </w:rPr>
      </w:pPr>
    </w:p>
    <w:p w14:paraId="3E58F4D0">
      <w:pPr>
        <w:keepNext w:val="0"/>
        <w:keepLines w:val="0"/>
        <w:pageBreakBefore w:val="0"/>
        <w:widowControl w:val="0"/>
        <w:kinsoku/>
        <w:wordWrap/>
        <w:overflowPunct/>
        <w:topLinePunct w:val="0"/>
        <w:autoSpaceDE/>
        <w:autoSpaceDN/>
        <w:bidi w:val="0"/>
        <w:adjustRightInd/>
        <w:snapToGrid/>
        <w:spacing w:line="360" w:lineRule="auto"/>
        <w:ind w:left="733" w:leftChars="228" w:right="0" w:hanging="254" w:hangingChars="100"/>
        <w:textAlignment w:val="auto"/>
        <w:rPr>
          <w:rFonts w:hint="eastAsia" w:ascii="仿宋" w:hAnsi="仿宋" w:eastAsia="仿宋" w:cs="仿宋"/>
          <w:color w:val="auto"/>
          <w:spacing w:val="7"/>
          <w:sz w:val="24"/>
          <w:szCs w:val="24"/>
        </w:rPr>
      </w:pPr>
    </w:p>
    <w:p w14:paraId="4D6B7E86">
      <w:pPr>
        <w:keepNext w:val="0"/>
        <w:keepLines w:val="0"/>
        <w:pageBreakBefore w:val="0"/>
        <w:widowControl w:val="0"/>
        <w:kinsoku/>
        <w:wordWrap/>
        <w:overflowPunct/>
        <w:topLinePunct w:val="0"/>
        <w:autoSpaceDE/>
        <w:autoSpaceDN/>
        <w:bidi w:val="0"/>
        <w:adjustRightInd/>
        <w:snapToGrid/>
        <w:spacing w:line="360" w:lineRule="auto"/>
        <w:ind w:left="721" w:leftChars="228" w:right="0" w:hanging="242" w:hangingChars="100"/>
        <w:textAlignment w:val="auto"/>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w:t>
      </w:r>
      <w:r>
        <w:rPr>
          <w:rFonts w:hint="eastAsia" w:ascii="仿宋" w:hAnsi="仿宋" w:eastAsia="仿宋" w:cs="仿宋"/>
          <w:color w:val="auto"/>
          <w:spacing w:val="-44"/>
          <w:sz w:val="24"/>
          <w:szCs w:val="24"/>
        </w:rPr>
        <w:t xml:space="preserve"> </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公章</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 xml:space="preserve">                            </w:t>
      </w:r>
      <w:r>
        <w:rPr>
          <w:rFonts w:hint="eastAsia" w:ascii="仿宋" w:hAnsi="仿宋" w:eastAsia="仿宋" w:cs="仿宋"/>
          <w:color w:val="auto"/>
          <w:sz w:val="24"/>
          <w:szCs w:val="24"/>
        </w:rPr>
        <w:t xml:space="preserve"> 承包人：   </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公章</w:t>
      </w:r>
      <w:r>
        <w:rPr>
          <w:rFonts w:hint="eastAsia" w:ascii="仿宋" w:hAnsi="仿宋" w:eastAsia="仿宋" w:cs="仿宋"/>
          <w:color w:val="auto"/>
          <w:sz w:val="24"/>
          <w:szCs w:val="24"/>
          <w:lang w:eastAsia="zh-CN"/>
        </w:rPr>
        <w:t>）</w:t>
      </w:r>
    </w:p>
    <w:p w14:paraId="0C5596B3">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法定代表人或其委托代理人：              法定代表人或其委托代理人：</w:t>
      </w:r>
    </w:p>
    <w:p w14:paraId="7404C2AE">
      <w:pPr>
        <w:keepNext w:val="0"/>
        <w:keepLines w:val="0"/>
        <w:pageBreakBefore w:val="0"/>
        <w:widowControl w:val="0"/>
        <w:kinsoku/>
        <w:wordWrap/>
        <w:overflowPunct/>
        <w:topLinePunct w:val="0"/>
        <w:autoSpaceDE/>
        <w:autoSpaceDN/>
        <w:bidi w:val="0"/>
        <w:adjustRightInd/>
        <w:snapToGrid/>
        <w:spacing w:line="360" w:lineRule="auto"/>
        <w:ind w:left="113" w:firstLine="52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（签字</w:t>
      </w:r>
      <w:r>
        <w:rPr>
          <w:rFonts w:hint="eastAsia" w:ascii="仿宋" w:hAnsi="仿宋" w:eastAsia="仿宋" w:cs="仿宋"/>
          <w:color w:val="auto"/>
          <w:spacing w:val="-14"/>
          <w:sz w:val="24"/>
          <w:szCs w:val="24"/>
        </w:rPr>
        <w:t>）</w:t>
      </w:r>
      <w:r>
        <w:rPr>
          <w:rFonts w:hint="eastAsia" w:ascii="仿宋" w:hAnsi="仿宋" w:eastAsia="仿宋" w:cs="仿宋"/>
          <w:color w:val="auto"/>
          <w:sz w:val="24"/>
          <w:szCs w:val="24"/>
        </w:rPr>
        <w:t xml:space="preserve">                                 </w:t>
      </w:r>
      <w:r>
        <w:rPr>
          <w:rFonts w:hint="eastAsia" w:ascii="仿宋" w:hAnsi="仿宋" w:eastAsia="仿宋" w:cs="仿宋"/>
          <w:color w:val="auto"/>
          <w:spacing w:val="-14"/>
          <w:sz w:val="24"/>
          <w:szCs w:val="24"/>
          <w:lang w:eastAsia="zh-CN"/>
        </w:rPr>
        <w:t>（</w:t>
      </w:r>
      <w:r>
        <w:rPr>
          <w:rFonts w:hint="eastAsia" w:ascii="仿宋" w:hAnsi="仿宋" w:eastAsia="仿宋" w:cs="仿宋"/>
          <w:color w:val="auto"/>
          <w:spacing w:val="10"/>
          <w:sz w:val="24"/>
          <w:szCs w:val="24"/>
        </w:rPr>
        <w:t>签字</w:t>
      </w:r>
      <w:r>
        <w:rPr>
          <w:rFonts w:hint="eastAsia" w:ascii="仿宋" w:hAnsi="仿宋" w:eastAsia="仿宋" w:cs="仿宋"/>
          <w:color w:val="auto"/>
          <w:spacing w:val="-14"/>
          <w:sz w:val="24"/>
          <w:szCs w:val="24"/>
          <w:lang w:eastAsia="zh-CN"/>
        </w:rPr>
        <w:t>）</w:t>
      </w:r>
    </w:p>
    <w:p w14:paraId="0B2DE5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kern w:val="2"/>
          <w:sz w:val="24"/>
          <w:szCs w:val="24"/>
          <w:lang w:val="en-US" w:eastAsia="zh-CN" w:bidi="ar-SA"/>
        </w:rPr>
      </w:pPr>
    </w:p>
    <w:p w14:paraId="6A72FC17">
      <w:pPr>
        <w:keepNext w:val="0"/>
        <w:keepLines w:val="0"/>
        <w:pageBreakBefore w:val="0"/>
        <w:widowControl w:val="0"/>
        <w:kinsoku/>
        <w:wordWrap/>
        <w:overflowPunct/>
        <w:topLinePunct w:val="0"/>
        <w:autoSpaceDE/>
        <w:autoSpaceDN/>
        <w:bidi w:val="0"/>
        <w:adjustRightInd/>
        <w:snapToGrid/>
        <w:spacing w:line="360" w:lineRule="auto"/>
        <w:ind w:lef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组织机构代码：</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8"/>
          <w:sz w:val="24"/>
          <w:szCs w:val="24"/>
        </w:rPr>
        <w:t>组织机构代码：</w:t>
      </w:r>
      <w:r>
        <w:rPr>
          <w:rFonts w:hint="eastAsia" w:ascii="仿宋" w:hAnsi="仿宋" w:eastAsia="仿宋" w:cs="仿宋"/>
          <w:color w:val="auto"/>
          <w:sz w:val="24"/>
          <w:szCs w:val="24"/>
          <w:u w:val="single" w:color="auto"/>
        </w:rPr>
        <w:t xml:space="preserve">                </w:t>
      </w:r>
    </w:p>
    <w:p w14:paraId="02A17E85">
      <w:pPr>
        <w:keepNext w:val="0"/>
        <w:keepLines w:val="0"/>
        <w:pageBreakBefore w:val="0"/>
        <w:widowControl w:val="0"/>
        <w:kinsoku/>
        <w:wordWrap/>
        <w:overflowPunct/>
        <w:topLinePunct w:val="0"/>
        <w:autoSpaceDE/>
        <w:autoSpaceDN/>
        <w:bidi w:val="0"/>
        <w:adjustRightInd/>
        <w:snapToGrid/>
        <w:spacing w:line="360" w:lineRule="auto"/>
        <w:ind w:left="0" w:firstLine="46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地</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3"/>
          <w:sz w:val="24"/>
          <w:szCs w:val="24"/>
        </w:rPr>
        <w:t>址</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3"/>
          <w:sz w:val="24"/>
          <w:szCs w:val="24"/>
        </w:rPr>
        <w:t>：</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3"/>
          <w:sz w:val="24"/>
          <w:szCs w:val="24"/>
        </w:rPr>
        <w:t xml:space="preserve">                 地  址</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3"/>
          <w:sz w:val="24"/>
          <w:szCs w:val="24"/>
        </w:rPr>
        <w:t>：</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4"/>
          <w:sz w:val="24"/>
          <w:szCs w:val="24"/>
          <w:u w:val="single" w:color="auto"/>
        </w:rPr>
        <w:t xml:space="preserve">                     </w:t>
      </w:r>
    </w:p>
    <w:p w14:paraId="2BD95275">
      <w:pPr>
        <w:keepNext w:val="0"/>
        <w:keepLines w:val="0"/>
        <w:pageBreakBefore w:val="0"/>
        <w:widowControl w:val="0"/>
        <w:kinsoku/>
        <w:wordWrap/>
        <w:overflowPunct/>
        <w:topLinePunct w:val="0"/>
        <w:autoSpaceDE/>
        <w:autoSpaceDN/>
        <w:bidi w:val="0"/>
        <w:adjustRightInd/>
        <w:snapToGrid/>
        <w:spacing w:line="360" w:lineRule="auto"/>
        <w:ind w:left="0" w:firstLine="49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邮政编码：</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3"/>
          <w:sz w:val="24"/>
          <w:szCs w:val="24"/>
        </w:rPr>
        <w:t xml:space="preserve">             邮政编码：</w:t>
      </w:r>
      <w:r>
        <w:rPr>
          <w:rFonts w:hint="eastAsia" w:ascii="仿宋" w:hAnsi="仿宋" w:eastAsia="仿宋" w:cs="仿宋"/>
          <w:color w:val="auto"/>
          <w:spacing w:val="3"/>
          <w:sz w:val="24"/>
          <w:szCs w:val="24"/>
          <w:u w:val="single" w:color="auto"/>
        </w:rPr>
        <w:t xml:space="preserve">                    </w:t>
      </w:r>
    </w:p>
    <w:p w14:paraId="2E4823B2">
      <w:pPr>
        <w:keepNext w:val="0"/>
        <w:keepLines w:val="0"/>
        <w:pageBreakBefore w:val="0"/>
        <w:widowControl w:val="0"/>
        <w:kinsoku/>
        <w:wordWrap/>
        <w:overflowPunct/>
        <w:topLinePunct w:val="0"/>
        <w:autoSpaceDE/>
        <w:autoSpaceDN/>
        <w:bidi w:val="0"/>
        <w:adjustRightInd/>
        <w:snapToGrid/>
        <w:spacing w:line="360" w:lineRule="auto"/>
        <w:ind w:lef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法定代表人：</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rPr>
        <w:t xml:space="preserve">              </w:t>
      </w:r>
      <w:r>
        <w:rPr>
          <w:rFonts w:hint="eastAsia" w:ascii="仿宋" w:hAnsi="仿宋" w:eastAsia="仿宋" w:cs="仿宋"/>
          <w:color w:val="auto"/>
          <w:spacing w:val="8"/>
          <w:sz w:val="24"/>
          <w:szCs w:val="24"/>
        </w:rPr>
        <w:t>法定代表人：</w:t>
      </w:r>
      <w:r>
        <w:rPr>
          <w:rFonts w:hint="eastAsia" w:ascii="仿宋" w:hAnsi="仿宋" w:eastAsia="仿宋" w:cs="仿宋"/>
          <w:color w:val="auto"/>
          <w:sz w:val="24"/>
          <w:szCs w:val="24"/>
          <w:u w:val="single" w:color="auto"/>
        </w:rPr>
        <w:t xml:space="preserve">                   </w:t>
      </w:r>
    </w:p>
    <w:p w14:paraId="633C8ABF">
      <w:pPr>
        <w:keepNext w:val="0"/>
        <w:keepLines w:val="0"/>
        <w:pageBreakBefore w:val="0"/>
        <w:widowControl w:val="0"/>
        <w:kinsoku/>
        <w:wordWrap/>
        <w:overflowPunct/>
        <w:topLinePunct w:val="0"/>
        <w:autoSpaceDE/>
        <w:autoSpaceDN/>
        <w:bidi w:val="0"/>
        <w:adjustRightInd/>
        <w:snapToGrid/>
        <w:spacing w:line="360" w:lineRule="auto"/>
        <w:ind w:left="0" w:firstLine="5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委托代理人：</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8"/>
          <w:sz w:val="24"/>
          <w:szCs w:val="24"/>
        </w:rPr>
        <w:t>委托代理人：</w:t>
      </w:r>
      <w:r>
        <w:rPr>
          <w:rFonts w:hint="eastAsia" w:ascii="仿宋" w:hAnsi="仿宋" w:eastAsia="仿宋" w:cs="仿宋"/>
          <w:color w:val="auto"/>
          <w:sz w:val="24"/>
          <w:szCs w:val="24"/>
          <w:u w:val="single" w:color="auto"/>
        </w:rPr>
        <w:t xml:space="preserve">                   </w:t>
      </w:r>
    </w:p>
    <w:p w14:paraId="67BDE2F2">
      <w:pPr>
        <w:keepNext w:val="0"/>
        <w:keepLines w:val="0"/>
        <w:pageBreakBefore w:val="0"/>
        <w:widowControl w:val="0"/>
        <w:kinsoku/>
        <w:wordWrap/>
        <w:overflowPunct/>
        <w:topLinePunct w:val="0"/>
        <w:autoSpaceDE/>
        <w:autoSpaceDN/>
        <w:bidi w:val="0"/>
        <w:adjustRightInd/>
        <w:snapToGrid/>
        <w:spacing w:line="360" w:lineRule="auto"/>
        <w:ind w:left="0" w:firstLine="45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电</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7"/>
          <w:sz w:val="24"/>
          <w:szCs w:val="24"/>
        </w:rPr>
        <w:t>话</w:t>
      </w:r>
      <w:r>
        <w:rPr>
          <w:rFonts w:hint="eastAsia" w:ascii="仿宋" w:hAnsi="仿宋" w:eastAsia="仿宋" w:cs="仿宋"/>
          <w:color w:val="auto"/>
          <w:spacing w:val="-75"/>
          <w:sz w:val="24"/>
          <w:szCs w:val="24"/>
        </w:rPr>
        <w:t xml:space="preserve"> </w:t>
      </w:r>
      <w:r>
        <w:rPr>
          <w:rFonts w:hint="eastAsia" w:ascii="仿宋" w:hAnsi="仿宋" w:eastAsia="仿宋" w:cs="仿宋"/>
          <w:color w:val="auto"/>
          <w:spacing w:val="-7"/>
          <w:sz w:val="24"/>
          <w:szCs w:val="24"/>
        </w:rPr>
        <w:t>：</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7"/>
          <w:sz w:val="24"/>
          <w:szCs w:val="24"/>
        </w:rPr>
        <w:t xml:space="preserve">                  电</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8"/>
          <w:sz w:val="24"/>
          <w:szCs w:val="24"/>
        </w:rPr>
        <w:t>话</w:t>
      </w:r>
      <w:r>
        <w:rPr>
          <w:rFonts w:hint="eastAsia" w:ascii="仿宋" w:hAnsi="仿宋" w:eastAsia="仿宋" w:cs="仿宋"/>
          <w:color w:val="auto"/>
          <w:spacing w:val="-75"/>
          <w:sz w:val="24"/>
          <w:szCs w:val="24"/>
        </w:rPr>
        <w:t xml:space="preserve"> </w:t>
      </w:r>
      <w:r>
        <w:rPr>
          <w:rFonts w:hint="eastAsia" w:ascii="仿宋" w:hAnsi="仿宋" w:eastAsia="仿宋" w:cs="仿宋"/>
          <w:color w:val="auto"/>
          <w:spacing w:val="-8"/>
          <w:sz w:val="24"/>
          <w:szCs w:val="24"/>
        </w:rPr>
        <w:t>：</w:t>
      </w:r>
      <w:r>
        <w:rPr>
          <w:rFonts w:hint="eastAsia" w:ascii="仿宋" w:hAnsi="仿宋" w:eastAsia="仿宋" w:cs="仿宋"/>
          <w:color w:val="auto"/>
          <w:sz w:val="24"/>
          <w:szCs w:val="24"/>
          <w:u w:val="single" w:color="auto"/>
        </w:rPr>
        <w:t xml:space="preserve">                       </w:t>
      </w:r>
    </w:p>
    <w:p w14:paraId="41A3F0CD">
      <w:pPr>
        <w:keepNext w:val="0"/>
        <w:keepLines w:val="0"/>
        <w:pageBreakBefore w:val="0"/>
        <w:widowControl w:val="0"/>
        <w:kinsoku/>
        <w:wordWrap/>
        <w:overflowPunct/>
        <w:topLinePunct w:val="0"/>
        <w:autoSpaceDE/>
        <w:autoSpaceDN/>
        <w:bidi w:val="0"/>
        <w:adjustRightInd/>
        <w:snapToGrid/>
        <w:spacing w:line="360" w:lineRule="auto"/>
        <w:ind w:left="0"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传</w:t>
      </w:r>
      <w:r>
        <w:rPr>
          <w:rFonts w:hint="eastAsia" w:ascii="仿宋" w:hAnsi="仿宋" w:eastAsia="仿宋" w:cs="仿宋"/>
          <w:color w:val="auto"/>
          <w:spacing w:val="12"/>
          <w:sz w:val="24"/>
          <w:szCs w:val="24"/>
        </w:rPr>
        <w:t xml:space="preserve">  </w:t>
      </w:r>
      <w:r>
        <w:rPr>
          <w:rFonts w:hint="eastAsia" w:ascii="仿宋" w:hAnsi="仿宋" w:eastAsia="仿宋" w:cs="仿宋"/>
          <w:color w:val="auto"/>
          <w:spacing w:val="-6"/>
          <w:sz w:val="24"/>
          <w:szCs w:val="24"/>
        </w:rPr>
        <w:t>真</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6"/>
          <w:sz w:val="24"/>
          <w:szCs w:val="24"/>
        </w:rPr>
        <w:t>：</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6"/>
          <w:sz w:val="24"/>
          <w:szCs w:val="24"/>
        </w:rPr>
        <w:t>传</w:t>
      </w:r>
      <w:r>
        <w:rPr>
          <w:rFonts w:hint="eastAsia" w:ascii="仿宋" w:hAnsi="仿宋" w:eastAsia="仿宋" w:cs="仿宋"/>
          <w:color w:val="auto"/>
          <w:spacing w:val="12"/>
          <w:sz w:val="24"/>
          <w:szCs w:val="24"/>
        </w:rPr>
        <w:t xml:space="preserve">  </w:t>
      </w:r>
      <w:r>
        <w:rPr>
          <w:rFonts w:hint="eastAsia" w:ascii="仿宋" w:hAnsi="仿宋" w:eastAsia="仿宋" w:cs="仿宋"/>
          <w:color w:val="auto"/>
          <w:spacing w:val="-6"/>
          <w:sz w:val="24"/>
          <w:szCs w:val="24"/>
        </w:rPr>
        <w:t>真</w:t>
      </w:r>
      <w:r>
        <w:rPr>
          <w:rFonts w:hint="eastAsia" w:ascii="仿宋" w:hAnsi="仿宋" w:eastAsia="仿宋" w:cs="仿宋"/>
          <w:color w:val="auto"/>
          <w:spacing w:val="-72"/>
          <w:sz w:val="24"/>
          <w:szCs w:val="24"/>
        </w:rPr>
        <w:t xml:space="preserve"> </w:t>
      </w:r>
      <w:r>
        <w:rPr>
          <w:rFonts w:hint="eastAsia" w:ascii="仿宋" w:hAnsi="仿宋" w:eastAsia="仿宋" w:cs="仿宋"/>
          <w:color w:val="auto"/>
          <w:spacing w:val="-6"/>
          <w:sz w:val="24"/>
          <w:szCs w:val="24"/>
        </w:rPr>
        <w:t>：</w:t>
      </w:r>
      <w:r>
        <w:rPr>
          <w:rFonts w:hint="eastAsia" w:ascii="仿宋" w:hAnsi="仿宋" w:eastAsia="仿宋" w:cs="仿宋"/>
          <w:color w:val="auto"/>
          <w:spacing w:val="-6"/>
          <w:sz w:val="24"/>
          <w:szCs w:val="24"/>
          <w:u w:val="single" w:color="auto"/>
        </w:rPr>
        <w:t xml:space="preserve">                        </w:t>
      </w:r>
    </w:p>
    <w:p w14:paraId="7A44EF71">
      <w:pPr>
        <w:keepNext w:val="0"/>
        <w:keepLines w:val="0"/>
        <w:pageBreakBefore w:val="0"/>
        <w:widowControl w:val="0"/>
        <w:kinsoku/>
        <w:wordWrap/>
        <w:overflowPunct/>
        <w:topLinePunct w:val="0"/>
        <w:autoSpaceDE/>
        <w:autoSpaceDN/>
        <w:bidi w:val="0"/>
        <w:adjustRightInd/>
        <w:snapToGrid/>
        <w:spacing w:line="360" w:lineRule="auto"/>
        <w:ind w:left="0" w:firstLine="48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电子信箱：</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2"/>
          <w:sz w:val="24"/>
          <w:szCs w:val="24"/>
        </w:rPr>
        <w:t>电子信箱：</w:t>
      </w:r>
      <w:r>
        <w:rPr>
          <w:rFonts w:hint="eastAsia" w:ascii="仿宋" w:hAnsi="仿宋" w:eastAsia="仿宋" w:cs="仿宋"/>
          <w:color w:val="auto"/>
          <w:sz w:val="24"/>
          <w:szCs w:val="24"/>
          <w:u w:val="single" w:color="auto"/>
        </w:rPr>
        <w:t xml:space="preserve">                     </w:t>
      </w:r>
    </w:p>
    <w:p w14:paraId="7213B92F">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4"/>
          <w:sz w:val="24"/>
          <w:szCs w:val="24"/>
        </w:rPr>
        <w:t>开户银行：</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4"/>
          <w:sz w:val="24"/>
          <w:szCs w:val="24"/>
        </w:rPr>
        <w:t xml:space="preserve">开户银行： </w:t>
      </w:r>
      <w:r>
        <w:rPr>
          <w:rFonts w:hint="eastAsia" w:ascii="仿宋" w:hAnsi="仿宋" w:eastAsia="仿宋" w:cs="仿宋"/>
          <w:color w:val="auto"/>
          <w:spacing w:val="4"/>
          <w:sz w:val="24"/>
          <w:szCs w:val="24"/>
          <w:u w:val="single" w:color="auto"/>
        </w:rPr>
        <w:t xml:space="preserve">                   </w:t>
      </w:r>
    </w:p>
    <w:p w14:paraId="757D092F">
      <w:pPr>
        <w:keepNext w:val="0"/>
        <w:keepLines w:val="0"/>
        <w:pageBreakBefore w:val="0"/>
        <w:widowControl w:val="0"/>
        <w:kinsoku/>
        <w:wordWrap/>
        <w:overflowPunct/>
        <w:topLinePunct w:val="0"/>
        <w:autoSpaceDE/>
        <w:autoSpaceDN/>
        <w:bidi w:val="0"/>
        <w:adjustRightInd/>
        <w:snapToGrid/>
        <w:spacing w:line="360" w:lineRule="auto"/>
        <w:ind w:firstLine="43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2"/>
          <w:sz w:val="24"/>
          <w:szCs w:val="24"/>
        </w:rPr>
        <w:t>账</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12"/>
          <w:sz w:val="24"/>
          <w:szCs w:val="24"/>
        </w:rPr>
        <w:t>号</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12"/>
          <w:sz w:val="24"/>
          <w:szCs w:val="24"/>
        </w:rPr>
        <w:t>：</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12"/>
          <w:sz w:val="24"/>
          <w:szCs w:val="24"/>
        </w:rPr>
        <w:t>账</w:t>
      </w:r>
      <w:r>
        <w:rPr>
          <w:rFonts w:hint="eastAsia" w:ascii="仿宋" w:hAnsi="仿宋" w:eastAsia="仿宋" w:cs="仿宋"/>
          <w:color w:val="auto"/>
          <w:spacing w:val="16"/>
          <w:sz w:val="24"/>
          <w:szCs w:val="24"/>
        </w:rPr>
        <w:t xml:space="preserve">  </w:t>
      </w:r>
      <w:r>
        <w:rPr>
          <w:rFonts w:hint="eastAsia" w:ascii="仿宋" w:hAnsi="仿宋" w:eastAsia="仿宋" w:cs="仿宋"/>
          <w:color w:val="auto"/>
          <w:spacing w:val="-12"/>
          <w:sz w:val="24"/>
          <w:szCs w:val="24"/>
        </w:rPr>
        <w:t>号</w:t>
      </w:r>
      <w:r>
        <w:rPr>
          <w:rFonts w:hint="eastAsia" w:ascii="仿宋" w:hAnsi="仿宋" w:eastAsia="仿宋" w:cs="仿宋"/>
          <w:color w:val="auto"/>
          <w:spacing w:val="-72"/>
          <w:sz w:val="24"/>
          <w:szCs w:val="24"/>
        </w:rPr>
        <w:t xml:space="preserve"> </w:t>
      </w:r>
      <w:r>
        <w:rPr>
          <w:rFonts w:hint="eastAsia" w:ascii="仿宋" w:hAnsi="仿宋" w:eastAsia="仿宋" w:cs="仿宋"/>
          <w:color w:val="auto"/>
          <w:spacing w:val="-12"/>
          <w:sz w:val="24"/>
          <w:szCs w:val="24"/>
        </w:rPr>
        <w:t>：</w:t>
      </w:r>
      <w:r>
        <w:rPr>
          <w:rFonts w:hint="eastAsia" w:ascii="仿宋" w:hAnsi="仿宋" w:eastAsia="仿宋" w:cs="仿宋"/>
          <w:color w:val="auto"/>
          <w:sz w:val="24"/>
          <w:szCs w:val="24"/>
          <w:u w:val="single" w:color="auto"/>
        </w:rPr>
        <w:t xml:space="preserve">                       </w:t>
      </w:r>
    </w:p>
    <w:p w14:paraId="2EC68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sectPr>
          <w:footerReference r:id="rId3" w:type="default"/>
          <w:pgSz w:w="11910" w:h="16840"/>
          <w:pgMar w:top="1428" w:right="1266" w:bottom="1196" w:left="1311" w:header="0" w:footer="982" w:gutter="0"/>
          <w:pgNumType w:fmt="decimal"/>
          <w:cols w:space="720" w:num="1"/>
        </w:sectPr>
      </w:pPr>
    </w:p>
    <w:p w14:paraId="15DBA7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pacing w:val="6"/>
          <w:sz w:val="24"/>
          <w:szCs w:val="24"/>
        </w:rPr>
      </w:pPr>
      <w:r>
        <w:rPr>
          <w:rFonts w:hint="eastAsia" w:ascii="仿宋" w:hAnsi="仿宋" w:eastAsia="仿宋" w:cs="仿宋"/>
          <w:b/>
          <w:bCs/>
          <w:color w:val="auto"/>
          <w:spacing w:val="6"/>
          <w:sz w:val="24"/>
          <w:szCs w:val="24"/>
        </w:rPr>
        <w:t>第二部分 通用合同条款</w:t>
      </w:r>
    </w:p>
    <w:p w14:paraId="75C17BD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1.一般约定</w:t>
      </w:r>
    </w:p>
    <w:p w14:paraId="65D4CC6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1.1词语定义与解释</w:t>
      </w:r>
    </w:p>
    <w:p w14:paraId="2A7F36C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合同协议书、通用合同条款、专用合同条款中的下列词语具有本款所赋予的含义：</w:t>
      </w:r>
    </w:p>
    <w:p w14:paraId="1A55D11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 合同</w:t>
      </w:r>
    </w:p>
    <w:p w14:paraId="282C5CA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1.1.1.1 合同：是指根据法律规定和合同当事人约定具有约束力的文件，构成合同的文件包括合同协议书、</w:t>
      </w:r>
      <w:r>
        <w:rPr>
          <w:rFonts w:hint="eastAsia" w:ascii="仿宋" w:hAnsi="仿宋" w:eastAsia="仿宋" w:cs="仿宋"/>
          <w:kern w:val="0"/>
          <w:sz w:val="24"/>
          <w:szCs w:val="24"/>
          <w:highlight w:val="none"/>
          <w:lang w:eastAsia="zh-CN"/>
        </w:rPr>
        <w:t>成交通知书</w:t>
      </w:r>
      <w:r>
        <w:rPr>
          <w:rFonts w:hint="eastAsia" w:ascii="仿宋" w:hAnsi="仿宋" w:eastAsia="仿宋" w:cs="仿宋"/>
          <w:kern w:val="0"/>
          <w:sz w:val="24"/>
          <w:szCs w:val="24"/>
          <w:highlight w:val="none"/>
        </w:rPr>
        <w:t>（如果有）、投标函及其附录（如果有）、专用合同条款</w:t>
      </w:r>
      <w:r>
        <w:rPr>
          <w:rFonts w:hint="eastAsia" w:ascii="仿宋" w:hAnsi="仿宋" w:eastAsia="仿宋" w:cs="仿宋"/>
          <w:sz w:val="24"/>
          <w:szCs w:val="24"/>
          <w:highlight w:val="none"/>
        </w:rPr>
        <w:t>及其附件</w:t>
      </w:r>
      <w:r>
        <w:rPr>
          <w:rFonts w:hint="eastAsia" w:ascii="仿宋" w:hAnsi="仿宋" w:eastAsia="仿宋" w:cs="仿宋"/>
          <w:kern w:val="0"/>
          <w:sz w:val="24"/>
          <w:szCs w:val="24"/>
          <w:highlight w:val="none"/>
        </w:rPr>
        <w:t>、通用合同条款、技术标准和要求、图纸、已标价工程量清单或预算书以及其他合同文件。</w:t>
      </w:r>
    </w:p>
    <w:p w14:paraId="2CA92FC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1.1.1.2 合同协议书：是指构成合同的由发包人和承包人共同签署的称为“合同协议书”的书面文件。</w:t>
      </w:r>
    </w:p>
    <w:p w14:paraId="0C8F3A9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1.1.1.3 </w:t>
      </w:r>
      <w:r>
        <w:rPr>
          <w:rFonts w:hint="eastAsia" w:ascii="仿宋" w:hAnsi="仿宋" w:eastAsia="仿宋" w:cs="仿宋"/>
          <w:kern w:val="0"/>
          <w:sz w:val="24"/>
          <w:szCs w:val="24"/>
          <w:highlight w:val="none"/>
          <w:lang w:eastAsia="zh-CN"/>
        </w:rPr>
        <w:t>成交通知书</w:t>
      </w:r>
      <w:r>
        <w:rPr>
          <w:rFonts w:hint="eastAsia" w:ascii="仿宋" w:hAnsi="仿宋" w:eastAsia="仿宋" w:cs="仿宋"/>
          <w:kern w:val="0"/>
          <w:sz w:val="24"/>
          <w:szCs w:val="24"/>
          <w:highlight w:val="none"/>
        </w:rPr>
        <w:t>：是指构成合同的由发包人通知承包人中标的书面文件。</w:t>
      </w:r>
    </w:p>
    <w:p w14:paraId="2221B84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1.1.1.4 投标函：是指构成合同的由承包人填写并签署的用于投标的称为“投标函”的文件。</w:t>
      </w:r>
    </w:p>
    <w:p w14:paraId="5BC8CA5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1.1.1.5 投标函附录：是指构成合同的附在投标函后的称为“投标函附录”的文件。</w:t>
      </w:r>
    </w:p>
    <w:p w14:paraId="3EB53C8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1.1.1.6 技术标准和要求：是指构成合同的施工应当遵守的或指导施工的国家、行业或地方的技术标准和要求，以及合同约定的技术标准和要求。</w:t>
      </w:r>
    </w:p>
    <w:p w14:paraId="0EF71C8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BF2A8D2">
      <w:pPr>
        <w:keepNext w:val="0"/>
        <w:keepLines w:val="0"/>
        <w:pageBreakBefore w:val="0"/>
        <w:widowControl w:val="0"/>
        <w:kinsoku/>
        <w:wordWrap/>
        <w:overflowPunct/>
        <w:topLinePunct w:val="0"/>
        <w:autoSpaceDE w:val="0"/>
        <w:autoSpaceDN w:val="0"/>
        <w:bidi w:val="0"/>
        <w:adjustRightInd w:val="0"/>
        <w:snapToGrid/>
        <w:spacing w:line="360" w:lineRule="auto"/>
        <w:ind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1.1.1.8 已标价工程量清单：是指构成合同的由承包人按照规定的格式和要求填写并标明价格的工程量清单，包括说明和表格。</w:t>
      </w:r>
    </w:p>
    <w:p w14:paraId="3110816B">
      <w:pPr>
        <w:keepNext w:val="0"/>
        <w:keepLines w:val="0"/>
        <w:pageBreakBefore w:val="0"/>
        <w:widowControl w:val="0"/>
        <w:kinsoku/>
        <w:wordWrap/>
        <w:overflowPunct/>
        <w:topLinePunct w:val="0"/>
        <w:autoSpaceDE w:val="0"/>
        <w:autoSpaceDN w:val="0"/>
        <w:bidi w:val="0"/>
        <w:adjustRightInd w:val="0"/>
        <w:snapToGrid/>
        <w:spacing w:line="360" w:lineRule="auto"/>
        <w:ind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1.1.1.9 预算书：是指构成合同的由承包人按照发包人规定的格式和要求编制的工程预算文件。</w:t>
      </w:r>
    </w:p>
    <w:p w14:paraId="0B1E810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1.1.1.10 其他合同文件：是指经合同当事人约定的与工程施工有关的具有合同约束力的文件或书面协议。合同当事人可以在专用合同条款中进行约定。</w:t>
      </w:r>
    </w:p>
    <w:p w14:paraId="351B6E4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 合同当事人及其他相关方</w:t>
      </w:r>
    </w:p>
    <w:p w14:paraId="2B0CCBE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1.1.2.1 合同当事人：是指发包人和（或）承包人。</w:t>
      </w:r>
    </w:p>
    <w:p w14:paraId="730AA2F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1.1.2.2 发包人：是指与承包人签订合同协议书的当事人及取得该当事人资格的合法继承人。</w:t>
      </w:r>
    </w:p>
    <w:p w14:paraId="482800A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1.1.2.3 承包人：是指与发包人签订合同协议书的，具有相应工程施工承包资质的当事人及取得该当事人资格的合法继承人。</w:t>
      </w:r>
    </w:p>
    <w:p w14:paraId="30A5B97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1.1.2.4 监理人：是指在专用合同条款中指明的，受发包人委托按照法律规定进行工程监督管理的法人或其他组织。</w:t>
      </w:r>
    </w:p>
    <w:p w14:paraId="3327087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1.1.2.5 设计人：是指在专用合同条款中指明的，受发包人委托负责工程设计并具备相应工程设计资质的法人或其他组织。</w:t>
      </w:r>
    </w:p>
    <w:p w14:paraId="0B011320">
      <w:pPr>
        <w:keepNext w:val="0"/>
        <w:keepLines w:val="0"/>
        <w:pageBreakBefore w:val="0"/>
        <w:widowControl w:val="0"/>
        <w:kinsoku/>
        <w:wordWrap/>
        <w:overflowPunct/>
        <w:topLinePunct w:val="0"/>
        <w:bidi w:val="0"/>
        <w:snapToGrid/>
        <w:spacing w:line="360" w:lineRule="auto"/>
        <w:ind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1.1.2.6 分包人：是指按照法律规定和合同约定，分包部分工程或工作，并与承包人签订分包合同的具有相应资质的法人。</w:t>
      </w:r>
    </w:p>
    <w:p w14:paraId="66D6DA1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1.1.2.7 发包人代表：是指由发包人任命并派驻施工现场在发包人授权范围内行使发包人权利的人。</w:t>
      </w:r>
    </w:p>
    <w:p w14:paraId="1751C84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1.1.2.8 项目经理：是指由承包人任命并派驻施工现场，在承包人授权范围内负责合同履行，且按照法律规定具有相应资格的项目负责人。</w:t>
      </w:r>
    </w:p>
    <w:p w14:paraId="0A9C12F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1.1.2.9 总监理工程师：是指由监理人任命并派驻施工现场进行工程监理的总负责人。</w:t>
      </w:r>
    </w:p>
    <w:p w14:paraId="2908005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 工程和设备</w:t>
      </w:r>
    </w:p>
    <w:p w14:paraId="5DE8B63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1.1.3.1 工程：是指与合同协议书中工程承包范围对应的永久工程和（或）临时工程。</w:t>
      </w:r>
    </w:p>
    <w:p w14:paraId="38848C9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1.1.3.2 永久工程：是指按合同约定建造并移交给发包人的工程，包括工程设备。</w:t>
      </w:r>
    </w:p>
    <w:p w14:paraId="2827168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1.1.3.3 临时工程：是指为完成合同约定的永久工程所修建的各类临时性工程，不包括施工设备。</w:t>
      </w:r>
    </w:p>
    <w:p w14:paraId="4689691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1.1.3.4 单位工程：是指在合同协议书中指明的，具备独立施工条件并能形成独立使用功能的永久工程。</w:t>
      </w:r>
    </w:p>
    <w:p w14:paraId="2061F21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1.1.3.5 工程设备：是指构成永久工程的机电设备、金属结构设备、仪器及其他类似的设备和装置。</w:t>
      </w:r>
    </w:p>
    <w:p w14:paraId="231C6A1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1.1.3.6 施工设备：是指为完成合同约定的各项工作所需的设备、器具和其他物品，但不包括工程设备、临时工程和材料。</w:t>
      </w:r>
    </w:p>
    <w:p w14:paraId="1104F88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1.1.3.7 施工现场：是指用于工程施工的场所，以及在专用合同条款中指明作为施工场所组成部分的其他场所，包括永久占地和临时占地。</w:t>
      </w:r>
    </w:p>
    <w:p w14:paraId="348E45D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1.1.3.8临时设施：是指为完成合同约定的各项工作所服务的临时性生产和生活设施。</w:t>
      </w:r>
    </w:p>
    <w:p w14:paraId="40AE05D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1.1.3.9 永久占地：是指专用合同条款中指明为实施工程需永久占用的土地。</w:t>
      </w:r>
    </w:p>
    <w:p w14:paraId="0F2E658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1.1.3.10 临时占地：是指专用合同条款中指明为实施工程需要临时占用的土地。</w:t>
      </w:r>
    </w:p>
    <w:p w14:paraId="1FA99C3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 日期和期限</w:t>
      </w:r>
    </w:p>
    <w:p w14:paraId="4A4217B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3BC328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1.1.4.2 竣工日期：包括计划竣工日期和实际竣工日期。计划竣工日期是指合同协议书约定的竣工日期；实际竣工日期按照第13.2.3项〔竣工日期〕的约定确定。</w:t>
      </w:r>
    </w:p>
    <w:p w14:paraId="20B646DB">
      <w:pPr>
        <w:keepNext w:val="0"/>
        <w:keepLines w:val="0"/>
        <w:pageBreakBefore w:val="0"/>
        <w:widowControl w:val="0"/>
        <w:kinsoku/>
        <w:wordWrap/>
        <w:overflowPunct/>
        <w:topLinePunct w:val="0"/>
        <w:bidi w:val="0"/>
        <w:snapToGrid/>
        <w:spacing w:line="360" w:lineRule="auto"/>
        <w:ind w:firstLine="487" w:firstLineChars="203"/>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1.1.4.3 工期：是指在合同协议书约定的承包人完成工程所需的期限，包括按照合同约定所作的期限变更。</w:t>
      </w:r>
    </w:p>
    <w:p w14:paraId="1EE7D10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1.1.4.4 缺陷责任期：是指承包人按照合同约定承担缺陷修复义务，且发包人预留质量保证金的期限，自工程实际竣工日期起计算。</w:t>
      </w:r>
    </w:p>
    <w:p w14:paraId="58B3CB2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1.1.4.5 保修期：是指承包人按照合同约定对工程承担保修责任的期限，从工程竣工验收合格之日起计算。</w:t>
      </w:r>
    </w:p>
    <w:p w14:paraId="673209B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1.1.4.6 基准日期：招标发包的工程以投标截止日前28天的日期为基准日期，直接发包的工程以合同签订日前28天的日期为基准日期。</w:t>
      </w:r>
    </w:p>
    <w:p w14:paraId="3BC418B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1.1.4.7 天：除特别指明外，均指日历天。合同中按天计算时间的，开始当天不计入，从次日开始计算，期限最后一天的截止时间为当天24:00时。</w:t>
      </w:r>
    </w:p>
    <w:p w14:paraId="06BD169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 合同价格和费用</w:t>
      </w:r>
    </w:p>
    <w:p w14:paraId="110070E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1.1.5.1 签约合同价：是指</w:t>
      </w:r>
      <w:r>
        <w:rPr>
          <w:rFonts w:hint="eastAsia" w:ascii="仿宋" w:hAnsi="仿宋" w:eastAsia="仿宋" w:cs="仿宋"/>
          <w:sz w:val="24"/>
          <w:szCs w:val="24"/>
          <w:highlight w:val="none"/>
        </w:rPr>
        <w:t>发包人和承包人在合同协议书中确定的总金额，包括安全文明施工费、暂估价及暂列金额等。</w:t>
      </w:r>
    </w:p>
    <w:p w14:paraId="523D815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1.1.5.2 合同价格：是指发包人用于支付承包人按照合同约定完成承包范围内全部工作的金额，包括合同履行过程中按合同约定发生的价格变化。</w:t>
      </w:r>
    </w:p>
    <w:p w14:paraId="543E05F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1.1.5.3 费用：是指为履行合同所发生的或将要发生的所有必需的开支，包括管理费和应分摊的其他费用，但不包括利润。</w:t>
      </w:r>
    </w:p>
    <w:p w14:paraId="4BF70B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1.1.5.4 暂估价：是指发包人在工程量清单或预算书中提供的用于支付必然发生但暂时不能确定价格的材料、工程设备的单价、专业工程以及服务工作的金额。</w:t>
      </w:r>
    </w:p>
    <w:p w14:paraId="55113CE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FC6031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1.1.5.6 计日工：是指合同履行过程中，承包人完成发包人提出的零星工作或需要采用计日工计价的变更工作时，按合同中约定的单价计价的一种方式。</w:t>
      </w:r>
    </w:p>
    <w:p w14:paraId="6EC19F3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1.1.5.7 质量保证金：是指按照第15.3款〔质量保证金〕约定承包人用于保证其在缺陷责任期内履行缺陷修补义务的担保</w:t>
      </w:r>
      <w:r>
        <w:rPr>
          <w:rFonts w:hint="eastAsia" w:ascii="仿宋" w:hAnsi="仿宋" w:eastAsia="仿宋" w:cs="仿宋"/>
          <w:sz w:val="24"/>
          <w:szCs w:val="24"/>
          <w:highlight w:val="none"/>
        </w:rPr>
        <w:t>。</w:t>
      </w:r>
    </w:p>
    <w:p w14:paraId="7007850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1.1.5.8 总价项目：是指在现行国家、行业以及地方的计量规则中无工程量计算规则，在已标价工程量清单或预算书中以总价或以费率形式计算的项目。</w:t>
      </w:r>
    </w:p>
    <w:p w14:paraId="29D9AF3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1.1.6 其他</w:t>
      </w:r>
    </w:p>
    <w:p w14:paraId="5F49CE8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1.1.6.1 书面形式：是指合同文件、信函、电报、传真等可以有形地表现所载内容的形式。</w:t>
      </w:r>
    </w:p>
    <w:p w14:paraId="400C5FC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1.2语言文字</w:t>
      </w:r>
    </w:p>
    <w:p w14:paraId="6661393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合同以中国的汉语简体文字编写、解释和说明。合同当事人在专用合同条款中约定使用两种以上语言时，汉语为优先解释和说明合同的语言。</w:t>
      </w:r>
    </w:p>
    <w:p w14:paraId="68B6D45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1.3法律</w:t>
      </w:r>
    </w:p>
    <w:p w14:paraId="0429E76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合同所称法律是指中华人民共和国法律、行政法规、部门规章，以及工程所在地的地方性法规、自治条例、单行条例和地方政府规章等。</w:t>
      </w:r>
    </w:p>
    <w:p w14:paraId="0BFD6D8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合同当事人可以在专用合同条款中约定合同适用的其他规范性文件。</w:t>
      </w:r>
    </w:p>
    <w:p w14:paraId="2EA5E56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 标准和规范</w:t>
      </w:r>
    </w:p>
    <w:p w14:paraId="7399A84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1.4.1 适用于工程的国家标准、行业标准、工程所在地的地方性标准，以及相应的规范、规程等，合同当事人有特别要求的，应在专用合同条款中约定。</w:t>
      </w:r>
    </w:p>
    <w:p w14:paraId="4CE4B09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1.4.2 发包人要求使用国外标准、规范的，发包人负责提供原文版本和中文译本，并在专用合同条款中约定提供标准规范的名称、份数和时间。</w:t>
      </w:r>
    </w:p>
    <w:p w14:paraId="26C2CF1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855520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 合同文件的优先顺序</w:t>
      </w:r>
    </w:p>
    <w:p w14:paraId="1F792C9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组成合同的各项文件应互相解释，互为说明。除专用合同条款另有约定外，解释合同文件的优先顺序如下：</w:t>
      </w:r>
    </w:p>
    <w:p w14:paraId="4A1204B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（1）合同协议书；</w:t>
      </w:r>
    </w:p>
    <w:p w14:paraId="2E87C91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lang w:val="en-US" w:eastAsia="zh-CN"/>
        </w:rPr>
        <w:t>中标</w:t>
      </w:r>
      <w:r>
        <w:rPr>
          <w:rFonts w:hint="eastAsia" w:ascii="仿宋" w:hAnsi="仿宋" w:eastAsia="仿宋" w:cs="仿宋"/>
          <w:kern w:val="0"/>
          <w:sz w:val="24"/>
          <w:szCs w:val="24"/>
          <w:highlight w:val="none"/>
          <w:lang w:eastAsia="zh-CN"/>
        </w:rPr>
        <w:t>通知书</w:t>
      </w:r>
      <w:r>
        <w:rPr>
          <w:rFonts w:hint="eastAsia" w:ascii="仿宋" w:hAnsi="仿宋" w:eastAsia="仿宋" w:cs="仿宋"/>
          <w:kern w:val="0"/>
          <w:sz w:val="24"/>
          <w:szCs w:val="24"/>
          <w:highlight w:val="none"/>
        </w:rPr>
        <w:t>（如果有）；</w:t>
      </w:r>
    </w:p>
    <w:p w14:paraId="394A25E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（3）投标函及其附录（如果有）；</w:t>
      </w:r>
    </w:p>
    <w:p w14:paraId="40B2E11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（4）专用合同条款</w:t>
      </w:r>
      <w:r>
        <w:rPr>
          <w:rFonts w:hint="eastAsia" w:ascii="仿宋" w:hAnsi="仿宋" w:eastAsia="仿宋" w:cs="仿宋"/>
          <w:sz w:val="24"/>
          <w:szCs w:val="24"/>
          <w:highlight w:val="none"/>
        </w:rPr>
        <w:t>及其附件</w:t>
      </w:r>
      <w:r>
        <w:rPr>
          <w:rFonts w:hint="eastAsia" w:ascii="仿宋" w:hAnsi="仿宋" w:eastAsia="仿宋" w:cs="仿宋"/>
          <w:kern w:val="0"/>
          <w:sz w:val="24"/>
          <w:szCs w:val="24"/>
          <w:highlight w:val="none"/>
        </w:rPr>
        <w:t>；</w:t>
      </w:r>
    </w:p>
    <w:p w14:paraId="15F37FC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（5）通用合同条款；</w:t>
      </w:r>
    </w:p>
    <w:p w14:paraId="735B68D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（6）技术标准和要求；</w:t>
      </w:r>
    </w:p>
    <w:p w14:paraId="286611D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（7）图纸；</w:t>
      </w:r>
    </w:p>
    <w:p w14:paraId="30D9FEC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（8）已标价工程量清单或预算书；</w:t>
      </w:r>
    </w:p>
    <w:p w14:paraId="242652A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（9）其他合同文件。</w:t>
      </w:r>
    </w:p>
    <w:p w14:paraId="15CC05F0">
      <w:pPr>
        <w:keepNext w:val="0"/>
        <w:keepLines w:val="0"/>
        <w:pageBreakBefore w:val="0"/>
        <w:widowControl w:val="0"/>
        <w:kinsoku/>
        <w:wordWrap/>
        <w:overflowPunct/>
        <w:topLinePunct w:val="0"/>
        <w:bidi w:val="0"/>
        <w:snapToGrid/>
        <w:spacing w:line="360" w:lineRule="auto"/>
        <w:ind w:firstLine="511" w:firstLineChars="21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上述各项合同文件包括合同当事人就该项合同文件所作出的补充和修改，属于同一类内容的文件，应以最新签署的为准。</w:t>
      </w:r>
    </w:p>
    <w:p w14:paraId="2D7E22CF">
      <w:pPr>
        <w:keepNext w:val="0"/>
        <w:keepLines w:val="0"/>
        <w:pageBreakBefore w:val="0"/>
        <w:widowControl w:val="0"/>
        <w:kinsoku/>
        <w:wordWrap/>
        <w:overflowPunct/>
        <w:topLinePunct w:val="0"/>
        <w:bidi w:val="0"/>
        <w:snapToGrid/>
        <w:spacing w:line="360" w:lineRule="auto"/>
        <w:ind w:firstLine="511" w:firstLineChars="21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在合同订立及履行过程中形成的与合同有关的文件均构成合同文件组成部分，并根据其性质确定优先解释顺序。</w:t>
      </w:r>
    </w:p>
    <w:p w14:paraId="579506C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1.6图纸和承包人文件</w:t>
      </w:r>
    </w:p>
    <w:p w14:paraId="74B38EF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1.6.1 图纸的提供和交底</w:t>
      </w:r>
    </w:p>
    <w:p w14:paraId="56EDD7D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B81E7D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因发包人未按合同约定提供图纸导致承包人费用增加和（或）工期延误的，按照第7.5.1项〔因发包人原因导致工期延误〕约定办理。</w:t>
      </w:r>
    </w:p>
    <w:p w14:paraId="6497A25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 图纸的错误</w:t>
      </w:r>
    </w:p>
    <w:p w14:paraId="4C5A7DC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0577CDF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1.6.3 图纸的修改和补充</w:t>
      </w:r>
    </w:p>
    <w:p w14:paraId="3688930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4F8F0AC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1.6.4 承包人文件</w:t>
      </w:r>
    </w:p>
    <w:p w14:paraId="1CAE792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2F91481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412570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1.6.5 图纸和承包人文件的保管</w:t>
      </w:r>
    </w:p>
    <w:p w14:paraId="21D4C71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除专用合同条款另有约定外，承包人应在施工现场另外保存一套完整的图纸和承包人文件，供发包人、监理人及有关人员进行工程检查时使用。</w:t>
      </w:r>
    </w:p>
    <w:p w14:paraId="2C9656F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1.7联络</w:t>
      </w:r>
    </w:p>
    <w:p w14:paraId="2366892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1.7.1 与合同有关的通知、批准、证明、证书、指示、指令、要求、请求、同意、意见、确定和决定等，均应采用书面形式，并应在合同约定的期限内送达接收人和送达地点。</w:t>
      </w:r>
    </w:p>
    <w:p w14:paraId="06E9814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18C51BF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1.7.3 发包人和承包人应当及时签收另一方送达至送达地点和指定接收人的来往信函。拒不签收的，由此增加的费用和（或）延误的工期由拒绝接收一方承担。</w:t>
      </w:r>
    </w:p>
    <w:p w14:paraId="11AD8C4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1.8严禁贿赂</w:t>
      </w:r>
    </w:p>
    <w:p w14:paraId="7E4E2F2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合同当事人不得以贿赂或变相贿赂的方式，谋取非法利益或损害对方权益。因一方合同当事人的贿赂造成对方损失的，应赔偿损失，并承担相应的法律责任。</w:t>
      </w:r>
    </w:p>
    <w:p w14:paraId="5A3AD8F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F56A6C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1.9化石、文物</w:t>
      </w:r>
    </w:p>
    <w:p w14:paraId="1108819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969311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发包人、监理人和承包人应按有关政府行政管理部门要求采取妥善的保护措施，由此增加的费用和（或）延误的工期由发包人承担。</w:t>
      </w:r>
    </w:p>
    <w:p w14:paraId="2C583C0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承包人发现文物后不及时报告或隐瞒不报，致使文物丢失或损坏的，应赔偿损失，并承担相应的法律责任。</w:t>
      </w:r>
    </w:p>
    <w:p w14:paraId="20FE942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1.10交通运输</w:t>
      </w:r>
    </w:p>
    <w:p w14:paraId="4FA64CB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1.10.1 出入现场的权利</w:t>
      </w:r>
    </w:p>
    <w:p w14:paraId="4220882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73D51B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016004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1.10.2 场外交通</w:t>
      </w:r>
    </w:p>
    <w:p w14:paraId="6328D95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0781B8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1.10.3场内交通</w:t>
      </w:r>
    </w:p>
    <w:p w14:paraId="074468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F2AF92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55E599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场外交通和场内交通的边界由合同当事人在专用合同条款中约定。</w:t>
      </w:r>
    </w:p>
    <w:p w14:paraId="336D3B1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1.10.4 超大件和超重件的运输</w:t>
      </w:r>
    </w:p>
    <w:p w14:paraId="3F91704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C99418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1.10.5 道路和桥梁的损坏责任</w:t>
      </w:r>
    </w:p>
    <w:p w14:paraId="001086B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因承包人运输造成施工场地内外公共道路和桥梁损坏的，由承包人承担修复损坏的全部费用和可能引起的赔偿。</w:t>
      </w:r>
    </w:p>
    <w:p w14:paraId="268CCC8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1.10.6 水路和航空运输</w:t>
      </w:r>
    </w:p>
    <w:p w14:paraId="1C53670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5263A5B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1.11知识产权</w:t>
      </w:r>
    </w:p>
    <w:p w14:paraId="4789FF6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9EA1F8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6A2D81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3B6A2D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1.11.4 除专用合同条款另有约定外，承包人在合同签订前和签订时已确定采用的专利、专有技术、技术秘密的使用费已包含在签约合同价中。</w:t>
      </w:r>
    </w:p>
    <w:p w14:paraId="6AAE462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1.12保密</w:t>
      </w:r>
    </w:p>
    <w:p w14:paraId="5CE0A32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除法律规定或合同另有约定外，未经发包人同意，承包人不得将发包人提供的图纸、文件以及声明需要保密的资料信息等商业秘密泄露给第三方。</w:t>
      </w:r>
    </w:p>
    <w:p w14:paraId="30FA48E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除法律规定或合同另有约定外，未经承包人同意，发包人不得将承包人提供的技术秘密及声明需要保密的资料信息等商业秘密泄露给第三方。</w:t>
      </w:r>
    </w:p>
    <w:p w14:paraId="52001BF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1.13工程量清单错误的修正</w:t>
      </w:r>
    </w:p>
    <w:p w14:paraId="470F8D3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除专用合同条款另有约定外，发包人提供的工程量清单，应被认为是准确的和完整的。出现下列情形之一时，发包人应予以修正，并相应调整合同价格：</w:t>
      </w:r>
    </w:p>
    <w:p w14:paraId="02A91BF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（1）工程量清单存在缺项、漏项的；</w:t>
      </w:r>
    </w:p>
    <w:p w14:paraId="01CD850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（2）工程量清单偏差超出专用合同条款约定的工程量偏差范围的；</w:t>
      </w:r>
    </w:p>
    <w:p w14:paraId="3FEE8F8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（3）未按照国家现行计量规范强制性规定计量的。</w:t>
      </w:r>
    </w:p>
    <w:p w14:paraId="6153ACD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 发包人</w:t>
      </w:r>
    </w:p>
    <w:p w14:paraId="75FD525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2.1 许可或批准</w:t>
      </w:r>
    </w:p>
    <w:p w14:paraId="33EDBA6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D2F1C9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因发包人原因未能及时办理完毕前述许可、批准或备案，由发包人承担由此增加的费用和（或）延误的工期。</w:t>
      </w:r>
    </w:p>
    <w:p w14:paraId="2C0F756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 发包人代表</w:t>
      </w:r>
    </w:p>
    <w:p w14:paraId="5DC6838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5E0AF6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发包人代表不能按照合同约定履行其职责及义务，并导致合同无法继续正常履行的，承包人可以要求发包人撤换发包人代表。</w:t>
      </w:r>
    </w:p>
    <w:p w14:paraId="7E35C53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不属于法定必须监理的工程，监理人的职权可以由发包人代表或发包人指定的其他人员行使。</w:t>
      </w:r>
    </w:p>
    <w:p w14:paraId="211D111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2.3 发包人人员</w:t>
      </w:r>
    </w:p>
    <w:p w14:paraId="675B839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95AA04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发包人人员包括发包人代表及其他由发包人派驻施工现场的人员。</w:t>
      </w:r>
    </w:p>
    <w:p w14:paraId="4CFCDB0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2.4 施工现场、施工条件和基础资料的提供</w:t>
      </w:r>
    </w:p>
    <w:p w14:paraId="59F12D4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2.4.1 提供施工现场</w:t>
      </w:r>
    </w:p>
    <w:p w14:paraId="3A39B01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除专用合同条款另有约定外，发包人应最迟于开工日期7天前向承包人移交施工现场。</w:t>
      </w:r>
    </w:p>
    <w:p w14:paraId="5294F12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2.4.2 提供施工条件</w:t>
      </w:r>
    </w:p>
    <w:p w14:paraId="356E35A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除专用合同条款另有约定外，发包人应负责提供施工所需要的条件，包括：</w:t>
      </w:r>
    </w:p>
    <w:p w14:paraId="0DF391D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（1）将施工用水、电力、通讯线路等施工所必需的条件接至施工现场内；</w:t>
      </w:r>
    </w:p>
    <w:p w14:paraId="668684E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（2）保证向承包人提供正常施工所需要的进入施工现场的交通条件；</w:t>
      </w:r>
    </w:p>
    <w:p w14:paraId="22846EE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（3）协调处理施工现场周围地下管线和邻近建筑物、构筑物、古树名木的保护工作，并承担相关费用；</w:t>
      </w:r>
    </w:p>
    <w:p w14:paraId="1DAE9BB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（4）按照专用合同条款约定应提供的其他设施和条件。</w:t>
      </w:r>
    </w:p>
    <w:p w14:paraId="4AF0E56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2.4.3 提供基础资料</w:t>
      </w:r>
    </w:p>
    <w:p w14:paraId="32B6984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6C289E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632FDE5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2.4.4 逾期提供的责任</w:t>
      </w:r>
    </w:p>
    <w:p w14:paraId="7D9A488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因发包人原因未能按合同约定及时向承包人提供施工现场、施工条件、基础资料的，由发包人承担由此增加的费用和（或）延误的工期。</w:t>
      </w:r>
    </w:p>
    <w:p w14:paraId="7CFBB1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2.5 资金来源证明及支付担保</w:t>
      </w:r>
    </w:p>
    <w:p w14:paraId="4C1947A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3E460E9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0E22E3F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2.6 支付合同价款</w:t>
      </w:r>
    </w:p>
    <w:p w14:paraId="2DCFAD3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发包人应按合同约定向承包人及时支付合同价款。</w:t>
      </w:r>
    </w:p>
    <w:p w14:paraId="0B2D6BA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2.7 组织竣工验收</w:t>
      </w:r>
    </w:p>
    <w:p w14:paraId="2ECEE34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发包人应按合同约定及时组织竣工验收。</w:t>
      </w:r>
    </w:p>
    <w:p w14:paraId="4A18C32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2.8 现场统一管理协议</w:t>
      </w:r>
    </w:p>
    <w:p w14:paraId="37B8FD7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4B85A39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 承包人</w:t>
      </w:r>
    </w:p>
    <w:p w14:paraId="352C221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3.1 承包人的一般义务</w:t>
      </w:r>
    </w:p>
    <w:p w14:paraId="525219C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承包人在履行合同过程中应遵守法律和工程建设标准规范，并履行以下义务：</w:t>
      </w:r>
    </w:p>
    <w:p w14:paraId="71B9FCE9">
      <w:pPr>
        <w:keepNext w:val="0"/>
        <w:keepLines w:val="0"/>
        <w:pageBreakBefore w:val="0"/>
        <w:widowControl w:val="0"/>
        <w:numPr>
          <w:ilvl w:val="0"/>
          <w:numId w:val="1"/>
        </w:numPr>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办理法律规定应由承包人办理的许可和批准，并将办理结果书面报送发包人留存；</w:t>
      </w:r>
    </w:p>
    <w:p w14:paraId="6727BDD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（2）按法律规定和合同约定完成工程，并在保修期内承担保修义务；</w:t>
      </w:r>
    </w:p>
    <w:p w14:paraId="6B6A1D6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（3）按法律规定和合同约定采取施工安全和环境保护措施，办理工伤保险，确保工程及人员、材料、设备和设施的安全；</w:t>
      </w:r>
    </w:p>
    <w:p w14:paraId="6054199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（4）按合同约定的工作内容和施工进度要求，编制施工组织设计和施工措施计划，并对所有施工作业和施工方法的完备性和安全可靠性负责；</w:t>
      </w:r>
    </w:p>
    <w:p w14:paraId="5051153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C3A175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（6）按照第6.3款〔环境保护〕约定负责施工场地及其周边环境与生态的保护工作；</w:t>
      </w:r>
    </w:p>
    <w:p w14:paraId="5AFC86F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（7）按第6.1款〔安全文明施工〕约定采取施工安全措施，确保工程及其人员、材料、设备和设施的安全，防止因工程施工造成的人身伤害和财产损失；</w:t>
      </w:r>
    </w:p>
    <w:p w14:paraId="5C379E0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（8）将发包人按合同约定支付的各项价款专用于合同工程，且应及时支付其雇用人员工资，并及时向分包人支付合同价款；</w:t>
      </w:r>
    </w:p>
    <w:p w14:paraId="359D949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（9）按照法律规定和合同约定编制竣工资料，完成竣工资料立卷及归档，并按专用合同条款约定的竣工资料的套数、内容、时间等要求移交发包人；</w:t>
      </w:r>
    </w:p>
    <w:p w14:paraId="605BDF4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（10）应履行的其他义务。</w:t>
      </w:r>
    </w:p>
    <w:p w14:paraId="12ABBFA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3.2 项目经理</w:t>
      </w:r>
    </w:p>
    <w:p w14:paraId="3D46BC0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FE26F4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7FD457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承包人违反上述约定的，应按照专用合同条款的约定，承担违约责任。</w:t>
      </w:r>
    </w:p>
    <w:p w14:paraId="1A94A06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5D2E6A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5A85BD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58F6D9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B35884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3.3 承包人人员</w:t>
      </w:r>
    </w:p>
    <w:p w14:paraId="6F8C177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40817B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6D2AAC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特殊工种作业人员均应持有相应的资格证明，监理人可以随时检查。</w:t>
      </w:r>
    </w:p>
    <w:p w14:paraId="1914977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70E523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17703B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3.3.5 承包人擅自更换主要施工管理人员，或前述人员未经监理人或发包人同意擅自离开施工现场的，应按照专用合同条款约定承担违约责任。</w:t>
      </w:r>
    </w:p>
    <w:p w14:paraId="5819254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3.4 承包人现场查勘</w:t>
      </w:r>
    </w:p>
    <w:p w14:paraId="0BF4B5E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2234C48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29553F6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3.5 分包</w:t>
      </w:r>
    </w:p>
    <w:p w14:paraId="2ABECEA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3.5.1 分包的一般约定</w:t>
      </w:r>
    </w:p>
    <w:p w14:paraId="3ADF48E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ADE55B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承包人不得以劳务分包的名义转包或违法分包工程。</w:t>
      </w:r>
    </w:p>
    <w:p w14:paraId="06E9471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3.5.2 分包的确定</w:t>
      </w:r>
    </w:p>
    <w:p w14:paraId="0E8BB4C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344E14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3.5.3 分包管理</w:t>
      </w:r>
    </w:p>
    <w:p w14:paraId="548B53A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承包人应向监理人提交分包人的主要施工管理人员表，并对分包人的施工人员进行实名制管理，包括但不限于进出场管理、登记造册以及各种证照的办理。</w:t>
      </w:r>
    </w:p>
    <w:p w14:paraId="321984D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3.5.4 分包合同价款</w:t>
      </w:r>
    </w:p>
    <w:p w14:paraId="6BF8A75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（1）除本项第（2）目约定的情况或专用合同条款另有约定外，分包合同价款由承包人与分包人结算，未经承包人同意，发包人不得向分包人支付分包工程价款；</w:t>
      </w:r>
    </w:p>
    <w:p w14:paraId="4C06833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（2）生效法律文书要求发包人向分包人支付分包合同价款的，发包人有权从应付承包人工程款中扣除该部分款项。</w:t>
      </w:r>
    </w:p>
    <w:p w14:paraId="61A25C9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3.5.5 分包合同权益的转让</w:t>
      </w:r>
    </w:p>
    <w:p w14:paraId="6C9066B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31DEE6E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3.6 工程照管与成品、半成品保护</w:t>
      </w:r>
    </w:p>
    <w:p w14:paraId="474A15C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（1）除专用合同条款另有约定外，自发包人向承包人移交施工现场之日起，承包人应负责照管工程及工程相关的材料、工程设备，直到颁发工程接收证书之日止。</w:t>
      </w:r>
    </w:p>
    <w:p w14:paraId="6A319B4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（2）在承包人负责照管期间，因承包人原因造成工程、材料、工程设备损坏的，由承包人负责修复或更换，并承担由此增加的费用和（或）延误的工期。</w:t>
      </w:r>
    </w:p>
    <w:p w14:paraId="0A6BB17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386739D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3.7 履约担保</w:t>
      </w:r>
    </w:p>
    <w:p w14:paraId="3F72BE4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9B6C67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yellow"/>
        </w:rPr>
      </w:pPr>
      <w:r>
        <w:rPr>
          <w:rFonts w:hint="eastAsia" w:ascii="仿宋" w:hAnsi="仿宋" w:eastAsia="仿宋" w:cs="仿宋"/>
          <w:kern w:val="0"/>
          <w:sz w:val="24"/>
          <w:szCs w:val="24"/>
          <w:highlight w:val="none"/>
        </w:rPr>
        <w:t>因承包人原因导致工期延长的，继续提供履约担保所增加的费用由承包人承担；非因承包人原因导致工期延长的，继续提供履约担保所增加的费用由发包人承担。</w:t>
      </w:r>
    </w:p>
    <w:p w14:paraId="00E54E5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 监理人</w:t>
      </w:r>
    </w:p>
    <w:p w14:paraId="6F754E8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4.1监理人的一般规定</w:t>
      </w:r>
    </w:p>
    <w:p w14:paraId="7D45444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216EC7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除专用合同条款另有约定外，监理人在施工现场的办公场所、生活场所由承包人提供，所发生的费用由发包人承担。</w:t>
      </w:r>
    </w:p>
    <w:p w14:paraId="704C741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4.2监理人员</w:t>
      </w:r>
    </w:p>
    <w:p w14:paraId="57D932B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9EF3C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4.3监理人的指示</w:t>
      </w:r>
    </w:p>
    <w:p w14:paraId="7D6D1E1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6B632B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156CD9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701D401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E56751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4.4 商定或确定</w:t>
      </w:r>
    </w:p>
    <w:p w14:paraId="26AD4C2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144BB52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937C83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 工程质量</w:t>
      </w:r>
    </w:p>
    <w:p w14:paraId="18C0161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5.1质量要求</w:t>
      </w:r>
    </w:p>
    <w:p w14:paraId="5D1A8E9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5.1.1 工程质量标准必须符合现行国家有关工程施工质量验收规范和标准的要求。有关工程质量的特殊标准或要求由合同当事人在专用合同条款中约定。</w:t>
      </w:r>
    </w:p>
    <w:p w14:paraId="1D642B0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5.1.2 因发包人原因造成工程质量未达到合同约定标准的，由发包人承担由此增加的费用和（或）延误的工期。</w:t>
      </w:r>
    </w:p>
    <w:p w14:paraId="75A5D03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150C04F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5.2质量保证措施</w:t>
      </w:r>
    </w:p>
    <w:p w14:paraId="55C9CDF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5.2.1 发包人的质量管理</w:t>
      </w:r>
    </w:p>
    <w:p w14:paraId="570E622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发包人应按照法律规定及合同约定完成与工程质量有关的各项工作。</w:t>
      </w:r>
    </w:p>
    <w:p w14:paraId="216B985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5.2.2 承包人的质量管理</w:t>
      </w:r>
    </w:p>
    <w:p w14:paraId="2B4BCAD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BF81F2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承包人应对施工人员进行质量教育和技术培训，定期考核施工人员的劳动技能，严格执行施工规范和操作规程。</w:t>
      </w:r>
    </w:p>
    <w:p w14:paraId="23995E2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746F3A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5.2.3 监理人的质量检查和检验</w:t>
      </w:r>
    </w:p>
    <w:p w14:paraId="79C1462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BECDF4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7EE3BE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5.3 隐蔽工程检查</w:t>
      </w:r>
    </w:p>
    <w:p w14:paraId="491A267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5.3.1承包人自检</w:t>
      </w:r>
    </w:p>
    <w:p w14:paraId="78AC58E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承包人应当对工程隐蔽部位进行自检，并经自检确认是否具备覆盖条件。</w:t>
      </w:r>
    </w:p>
    <w:p w14:paraId="1953484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5.3.2检查程序</w:t>
      </w:r>
    </w:p>
    <w:p w14:paraId="6069D8A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2C78C8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85700A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E626FD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5.3.3 重新检查</w:t>
      </w:r>
    </w:p>
    <w:p w14:paraId="708CCF9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经检查证明工程质量不符合合同要求的，由此增加的费用和（或）延误的工期由承包人承担。</w:t>
      </w:r>
    </w:p>
    <w:p w14:paraId="6EB8D26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5.3.4 承包人私自覆盖</w:t>
      </w:r>
    </w:p>
    <w:p w14:paraId="33A3BCB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2CD48D3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5.4不合格工程的处理</w:t>
      </w:r>
    </w:p>
    <w:p w14:paraId="3DA27C0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063EC5B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5.4.2 因发包人原因造成工程不合格的，由此增加的费用和（或）延误的工期由发包人承担。</w:t>
      </w:r>
    </w:p>
    <w:p w14:paraId="2B01C94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5.5 质量争议检测</w:t>
      </w:r>
    </w:p>
    <w:p w14:paraId="49E5ED6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合同当事人对工程质量有争议的，由双方协商确定的工程质量检测机构鉴定，由此产生的费用及因此造成的损失，由责任方承担。</w:t>
      </w:r>
    </w:p>
    <w:p w14:paraId="4DE9665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合同当事人均有责任的，由双方根据其责任分别承担。合同当事人无法达成一致的，按照第4.4款〔商定或确定〕执行。</w:t>
      </w:r>
    </w:p>
    <w:p w14:paraId="7064FE5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 安全文明施工与环境保护</w:t>
      </w:r>
    </w:p>
    <w:p w14:paraId="7658A18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6.1安全文明施工</w:t>
      </w:r>
    </w:p>
    <w:p w14:paraId="5FC9DCE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6.1.1安全生产要求</w:t>
      </w:r>
    </w:p>
    <w:p w14:paraId="6BDBED5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6DA041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kern w:val="0"/>
          <w:sz w:val="24"/>
          <w:szCs w:val="24"/>
          <w:highlight w:val="none"/>
        </w:rPr>
        <w:t>政府有关行政管理部门</w:t>
      </w:r>
      <w:r>
        <w:rPr>
          <w:rFonts w:hint="eastAsia" w:ascii="仿宋" w:hAnsi="仿宋" w:eastAsia="仿宋" w:cs="仿宋"/>
          <w:sz w:val="24"/>
          <w:szCs w:val="24"/>
          <w:highlight w:val="none"/>
        </w:rPr>
        <w:t>采取应急措施。</w:t>
      </w:r>
    </w:p>
    <w:p w14:paraId="56A510D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因安全生产需要暂停施工的，按照第7.8款〔暂停施工〕的约定执行。</w:t>
      </w:r>
    </w:p>
    <w:p w14:paraId="6750CC9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6.1.2 安全生产保证措施</w:t>
      </w:r>
    </w:p>
    <w:p w14:paraId="0AD0A95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承包人应当按照有关</w:t>
      </w:r>
      <w:r>
        <w:rPr>
          <w:rFonts w:hint="eastAsia" w:ascii="仿宋" w:hAnsi="仿宋" w:eastAsia="仿宋" w:cs="仿宋"/>
          <w:kern w:val="0"/>
          <w:sz w:val="24"/>
          <w:szCs w:val="24"/>
          <w:highlight w:val="none"/>
        </w:rPr>
        <w:t>规定编制安全技术措施或者专项施工方案，</w:t>
      </w:r>
      <w:r>
        <w:rPr>
          <w:rFonts w:hint="eastAsia" w:ascii="仿宋" w:hAnsi="仿宋" w:eastAsia="仿宋" w:cs="仿宋"/>
          <w:sz w:val="24"/>
          <w:szCs w:val="24"/>
          <w:highlight w:val="none"/>
        </w:rPr>
        <w:t>建立安全生产责任制度、治安保卫制度及安全生产教育培训制度，并</w:t>
      </w:r>
      <w:r>
        <w:rPr>
          <w:rFonts w:hint="eastAsia" w:ascii="仿宋" w:hAnsi="仿宋" w:eastAsia="仿宋" w:cs="仿宋"/>
          <w:kern w:val="0"/>
          <w:sz w:val="24"/>
          <w:szCs w:val="24"/>
          <w:highlight w:val="none"/>
        </w:rPr>
        <w:t>按安全生产法律规定及合同约定履行安全职责，如实</w:t>
      </w:r>
      <w:r>
        <w:rPr>
          <w:rFonts w:hint="eastAsia" w:ascii="仿宋" w:hAnsi="仿宋" w:eastAsia="仿宋" w:cs="仿宋"/>
          <w:sz w:val="24"/>
          <w:szCs w:val="24"/>
          <w:highlight w:val="none"/>
        </w:rPr>
        <w:t>编制工程安全生产的有关记录，</w:t>
      </w:r>
      <w:r>
        <w:rPr>
          <w:rFonts w:hint="eastAsia" w:ascii="仿宋" w:hAnsi="仿宋" w:eastAsia="仿宋" w:cs="仿宋"/>
          <w:kern w:val="0"/>
          <w:sz w:val="24"/>
          <w:szCs w:val="24"/>
          <w:highlight w:val="none"/>
        </w:rPr>
        <w:t>接受发包人、监理人及政府安全监督部门的检查与监督。</w:t>
      </w:r>
    </w:p>
    <w:p w14:paraId="3D02D27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6.1.3特别安全生产事项</w:t>
      </w:r>
    </w:p>
    <w:p w14:paraId="45B58F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A5E4D4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71A34C9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0BE674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需单独编制危险性较大分部分项专项工程施工方案的，及要求进行专家论证的超过一定规模的危险性较大的分部分项工程，承包人应及时编制和组织论证。</w:t>
      </w:r>
    </w:p>
    <w:p w14:paraId="320AFFA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6.1.4 治安保卫</w:t>
      </w:r>
    </w:p>
    <w:p w14:paraId="42A5949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9BE895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发包人和承包人除应协助现场治安管理机构或联防组织维护施工场地的社会治安外，还应做好包括生活区在内的各自管辖区的治安保卫工作。</w:t>
      </w:r>
    </w:p>
    <w:p w14:paraId="7CEAF43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8283B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6.1.5 文明施工</w:t>
      </w:r>
    </w:p>
    <w:p w14:paraId="16B59AE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C32CE8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FC791D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6.1.6 安全文明施工费</w:t>
      </w:r>
    </w:p>
    <w:p w14:paraId="0BE6031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4A81666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168DF6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AE5494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509E4E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6.1.7 紧急情况处理</w:t>
      </w:r>
    </w:p>
    <w:p w14:paraId="34AA519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13B528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6.1.8 事故处理</w:t>
      </w:r>
    </w:p>
    <w:p w14:paraId="1799C3F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45F272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6.1.9 安全生产责任</w:t>
      </w:r>
    </w:p>
    <w:p w14:paraId="299C89C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6.1.9.1 发包人的安全责任</w:t>
      </w:r>
    </w:p>
    <w:p w14:paraId="310B405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发包人应负责赔偿以下各种情况造成的损失：</w:t>
      </w:r>
    </w:p>
    <w:p w14:paraId="4251409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（1）工程或工程的任何部分对土地的占用所造成的第三者财产损失；</w:t>
      </w:r>
    </w:p>
    <w:p w14:paraId="49DC77D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（2）由于发包人原因在施工场地及其毗邻地带造成的第三者人身伤亡和财产损失；</w:t>
      </w:r>
    </w:p>
    <w:p w14:paraId="1CE4EAC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（3）由于发包人原因对承包人、监理人造成的人员人身伤亡和财产损失；</w:t>
      </w:r>
    </w:p>
    <w:p w14:paraId="43800D1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（4）由于发包人原因造成的发包人自身人员的人身伤害以及财产损失。</w:t>
      </w:r>
    </w:p>
    <w:p w14:paraId="2F1A1D2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6.1.9.2 承包人的安全责任</w:t>
      </w:r>
    </w:p>
    <w:p w14:paraId="0EC4627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由于承包人原因在施工场地内及其毗邻地带造成的发包人、监理人以及第三者人员伤亡和财产损失，由承包人负责赔偿。</w:t>
      </w:r>
    </w:p>
    <w:p w14:paraId="75C3B99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6.2 职业健康</w:t>
      </w:r>
    </w:p>
    <w:p w14:paraId="1A5A477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6.2.1 劳动保护</w:t>
      </w:r>
    </w:p>
    <w:p w14:paraId="4CAFCBB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DDC0C6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4ACE99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482443F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6.2.2 生活条件</w:t>
      </w:r>
    </w:p>
    <w:p w14:paraId="09BD0A2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C9EA0E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6.3 环境保护</w:t>
      </w:r>
    </w:p>
    <w:p w14:paraId="718319C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C454A3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29D281D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 工期和进度</w:t>
      </w:r>
    </w:p>
    <w:p w14:paraId="3613761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7.1施工组织设计</w:t>
      </w:r>
    </w:p>
    <w:p w14:paraId="147E4CF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7.1.1 </w:t>
      </w:r>
      <w:r>
        <w:rPr>
          <w:rFonts w:hint="eastAsia" w:ascii="仿宋" w:hAnsi="仿宋" w:eastAsia="仿宋" w:cs="仿宋"/>
          <w:kern w:val="0"/>
          <w:sz w:val="24"/>
          <w:szCs w:val="24"/>
          <w:highlight w:val="none"/>
        </w:rPr>
        <w:t>施工组织设计的内容</w:t>
      </w:r>
    </w:p>
    <w:p w14:paraId="206B35A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施工组织设计应包含以下内容：</w:t>
      </w:r>
    </w:p>
    <w:p w14:paraId="5012CC4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（1）施工方案；</w:t>
      </w:r>
    </w:p>
    <w:p w14:paraId="1AF3F02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（2）施工现场平面布置图；</w:t>
      </w:r>
    </w:p>
    <w:p w14:paraId="3F2C663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（3）施工进度计划和保证措施；</w:t>
      </w:r>
    </w:p>
    <w:p w14:paraId="2FAE40F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（4）劳动力及材料供应计划；</w:t>
      </w:r>
    </w:p>
    <w:p w14:paraId="7015095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（5）施工机械设备的选用；</w:t>
      </w:r>
    </w:p>
    <w:p w14:paraId="069B419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（6）质量保证体系及措施；</w:t>
      </w:r>
    </w:p>
    <w:p w14:paraId="193F7FD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（7）安全生产、文明施工措施；</w:t>
      </w:r>
    </w:p>
    <w:p w14:paraId="096302F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（8）环境保护、成本控制措施；</w:t>
      </w:r>
    </w:p>
    <w:p w14:paraId="397EF02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（9）合同当事人约定的其他内容。</w:t>
      </w:r>
    </w:p>
    <w:p w14:paraId="33DCEB9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7.1.2 </w:t>
      </w:r>
      <w:r>
        <w:rPr>
          <w:rFonts w:hint="eastAsia" w:ascii="仿宋" w:hAnsi="仿宋" w:eastAsia="仿宋" w:cs="仿宋"/>
          <w:kern w:val="0"/>
          <w:sz w:val="24"/>
          <w:szCs w:val="24"/>
          <w:highlight w:val="none"/>
        </w:rPr>
        <w:t>施工组织设计的提交和修改</w:t>
      </w:r>
    </w:p>
    <w:p w14:paraId="3421C5E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AF8922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施工进度计划的编制和修改按照第7.2款〔施工进度计划〕执行。</w:t>
      </w:r>
    </w:p>
    <w:p w14:paraId="3E0F6C9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7.2 施工进度计划</w:t>
      </w:r>
    </w:p>
    <w:p w14:paraId="54982A1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7.2.1 施工进度计划的编制</w:t>
      </w:r>
    </w:p>
    <w:p w14:paraId="10B739B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7AB4B7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7.2.2 施工进度计划的修订</w:t>
      </w:r>
    </w:p>
    <w:p w14:paraId="696AF1A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14D3ED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7.3 开工</w:t>
      </w:r>
    </w:p>
    <w:p w14:paraId="1AA73B2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7.3.1 开工准备</w:t>
      </w:r>
    </w:p>
    <w:p w14:paraId="4E02901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B6F58F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除专用合同条款另有约定外，合同当事人应按约定完成开工准备工作。</w:t>
      </w:r>
    </w:p>
    <w:p w14:paraId="116DE65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7.3.2 开工通知</w:t>
      </w:r>
    </w:p>
    <w:p w14:paraId="07AD768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EE4240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w:t>
      </w:r>
    </w:p>
    <w:p w14:paraId="4E15B75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7.4测量放线</w:t>
      </w:r>
    </w:p>
    <w:p w14:paraId="3970B76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15FA0AE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6F0A9E2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BAD86D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施工过程中对施工现场内水准点等测量标志物的保护工作由承包人负责。</w:t>
      </w:r>
    </w:p>
    <w:p w14:paraId="15459BC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7.5 工期延误</w:t>
      </w:r>
    </w:p>
    <w:p w14:paraId="40F1440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7.5.1 因发包人原因导致工期延误</w:t>
      </w:r>
    </w:p>
    <w:p w14:paraId="3F8FAEB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在合同履行过程中，因下列情况导致工期延误和（或）费用增加的，由发包人承担由此延误的工期和（或）增加的费用，且发包人应支付承包人合理的利润：</w:t>
      </w:r>
    </w:p>
    <w:p w14:paraId="0A7E098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（1）发包人未能按合同约定提供图纸或所提供图纸不符合合同约定的；</w:t>
      </w:r>
    </w:p>
    <w:p w14:paraId="11746DD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（2）发包人未能按合同约定提供施工现场、施工条件、基础资料、许可、批准等开工条件的；</w:t>
      </w:r>
    </w:p>
    <w:p w14:paraId="7B85BBD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（3）发包人提供的测量基准点、基准线和水准点及其书面资料存在错误或疏漏的；</w:t>
      </w:r>
    </w:p>
    <w:p w14:paraId="1A8C9D4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（4）发包人未能在计划开工日期之日起7天内同意下达开工通知的；</w:t>
      </w:r>
    </w:p>
    <w:p w14:paraId="5E4CDC8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（5）发包人未能按合同约定日期支付工程预付款、进度款或竣工结算款的；</w:t>
      </w:r>
    </w:p>
    <w:p w14:paraId="12CC465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（6）监理人未按合同约定发出指示、批准等文件的；</w:t>
      </w:r>
    </w:p>
    <w:p w14:paraId="0F386F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（7）专用合同条款中约定的其他情形。</w:t>
      </w:r>
    </w:p>
    <w:p w14:paraId="3342306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CBD087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7.5.2 因承包人原因导致工期延误</w:t>
      </w:r>
    </w:p>
    <w:p w14:paraId="1E61F7F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2AEE3C0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7.6 不利物质条件</w:t>
      </w:r>
    </w:p>
    <w:p w14:paraId="1CAA83B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E1AE37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FF94A6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7.7 异常恶劣的气候条件</w:t>
      </w:r>
    </w:p>
    <w:p w14:paraId="3D4BEE7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945DD4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442DA0D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7.8 暂停施工</w:t>
      </w:r>
    </w:p>
    <w:p w14:paraId="0B78914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7.8.1发包人原因引起的暂停施工</w:t>
      </w:r>
    </w:p>
    <w:p w14:paraId="02EE179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4B6CEDD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因发包人原因引起的暂停施工，发包人应承担由此增加的费用和（或）延误的工期。</w:t>
      </w:r>
    </w:p>
    <w:p w14:paraId="0A20BC4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7.8.2 承包人原因引起的暂停施工</w:t>
      </w:r>
    </w:p>
    <w:p w14:paraId="49B4E33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3426BD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7.8.3 指示暂停施工</w:t>
      </w:r>
    </w:p>
    <w:p w14:paraId="33264EC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监理人认为有必要时，并经发包人批准后，可向承包人作出暂停施工的指示，承包人应按监理人指示暂停施工。</w:t>
      </w:r>
    </w:p>
    <w:p w14:paraId="269CD87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7.8.4 紧急情况下的暂停施工</w:t>
      </w:r>
    </w:p>
    <w:p w14:paraId="283E7F4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CD46DF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7.8.5 暂停施工后的复工</w:t>
      </w:r>
    </w:p>
    <w:p w14:paraId="3AB832D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B7B262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18F9C13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7.8.6 暂停施工持续56天以上</w:t>
      </w:r>
    </w:p>
    <w:p w14:paraId="679D6576">
      <w:pPr>
        <w:keepNext w:val="0"/>
        <w:keepLines w:val="0"/>
        <w:pageBreakBefore w:val="0"/>
        <w:widowControl w:val="0"/>
        <w:kinsoku/>
        <w:wordWrap/>
        <w:overflowPunct/>
        <w:topLinePunct w:val="0"/>
        <w:bidi w:val="0"/>
        <w:snapToGrid/>
        <w:spacing w:line="360" w:lineRule="auto"/>
        <w:ind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6F8CC1A">
      <w:pPr>
        <w:keepNext w:val="0"/>
        <w:keepLines w:val="0"/>
        <w:pageBreakBefore w:val="0"/>
        <w:widowControl w:val="0"/>
        <w:kinsoku/>
        <w:wordWrap/>
        <w:overflowPunct/>
        <w:topLinePunct w:val="0"/>
        <w:bidi w:val="0"/>
        <w:snapToGrid/>
        <w:spacing w:line="360" w:lineRule="auto"/>
        <w:ind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2D2BE468">
      <w:pPr>
        <w:keepNext w:val="0"/>
        <w:keepLines w:val="0"/>
        <w:pageBreakBefore w:val="0"/>
        <w:widowControl w:val="0"/>
        <w:kinsoku/>
        <w:wordWrap/>
        <w:overflowPunct/>
        <w:topLinePunct w:val="0"/>
        <w:bidi w:val="0"/>
        <w:snapToGrid/>
        <w:spacing w:line="360" w:lineRule="auto"/>
        <w:ind w:left="16" w:firstLine="468" w:firstLineChars="195"/>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7.8.7 暂停施工期间的工程照管</w:t>
      </w:r>
    </w:p>
    <w:p w14:paraId="333F3A9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暂停施工期间，承包人应负责妥善照管工程并提供安全保障，由此增加的费用由责任方承担。</w:t>
      </w:r>
    </w:p>
    <w:p w14:paraId="3F926F9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7.8.8 暂停施工的措施</w:t>
      </w:r>
    </w:p>
    <w:p w14:paraId="4EBC24B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暂停施工期间，发包人和承包人均应采取必要的措施确保工程质量及安全，防止因暂停施工扩大损失。</w:t>
      </w:r>
    </w:p>
    <w:p w14:paraId="10401E7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7.9提前竣工</w:t>
      </w:r>
    </w:p>
    <w:p w14:paraId="19F67CF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62D991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7.9.2 发包人要求承包人提前竣工，或承包人提出提前竣工的建议能够给发包人带来效益的，合同当事人可以在专用合同条款中约定提前竣工的奖励。</w:t>
      </w:r>
    </w:p>
    <w:p w14:paraId="14F53F5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 材料与设备</w:t>
      </w:r>
    </w:p>
    <w:p w14:paraId="0D8EA13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8.1发包人供应材料与工程设备</w:t>
      </w:r>
    </w:p>
    <w:p w14:paraId="7A03E4D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62705C0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承包人应提前</w:t>
      </w:r>
      <w:r>
        <w:rPr>
          <w:rFonts w:hint="eastAsia" w:ascii="仿宋" w:hAnsi="仿宋" w:eastAsia="仿宋" w:cs="仿宋"/>
          <w:kern w:val="0"/>
          <w:sz w:val="24"/>
          <w:szCs w:val="24"/>
          <w:highlight w:val="none"/>
          <w:lang w:eastAsia="zh-CN"/>
        </w:rPr>
        <w:t>30天</w:t>
      </w:r>
      <w:r>
        <w:rPr>
          <w:rFonts w:hint="eastAsia" w:ascii="仿宋" w:hAnsi="仿宋" w:eastAsia="仿宋" w:cs="仿宋"/>
          <w:kern w:val="0"/>
          <w:sz w:val="24"/>
          <w:szCs w:val="24"/>
          <w:highlight w:val="none"/>
        </w:rPr>
        <w:t>通过监理人以书面形式通知发包人供应材料与工程设备进场。承包人按照第7.2.2项〔施工进度计划的修订〕约定修订施工进度计划时，需同时提交经修订后的发包人供应材料与工程设备的进场计划。</w:t>
      </w:r>
    </w:p>
    <w:p w14:paraId="07476C7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8.2承包人采购材料与工程设备</w:t>
      </w:r>
    </w:p>
    <w:p w14:paraId="7981050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0F04A76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8.3材料与工程设备的接收与拒收</w:t>
      </w:r>
    </w:p>
    <w:p w14:paraId="38AA261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2BF88D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1FB14F4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6EAC02F4">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14C6B6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8.4材料与工程设备的保管与使用</w:t>
      </w:r>
    </w:p>
    <w:p w14:paraId="3942DF4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8.4.1 发包人供应</w:t>
      </w:r>
      <w:r>
        <w:rPr>
          <w:rFonts w:hint="eastAsia" w:ascii="仿宋" w:hAnsi="仿宋" w:eastAsia="仿宋" w:cs="仿宋"/>
          <w:sz w:val="24"/>
          <w:szCs w:val="24"/>
          <w:highlight w:val="none"/>
        </w:rPr>
        <w:t>材料与</w:t>
      </w:r>
      <w:r>
        <w:rPr>
          <w:rFonts w:hint="eastAsia" w:ascii="仿宋" w:hAnsi="仿宋" w:eastAsia="仿宋" w:cs="仿宋"/>
          <w:kern w:val="0"/>
          <w:sz w:val="24"/>
          <w:szCs w:val="24"/>
          <w:highlight w:val="none"/>
        </w:rPr>
        <w:t>工程</w:t>
      </w:r>
      <w:r>
        <w:rPr>
          <w:rFonts w:hint="eastAsia" w:ascii="仿宋" w:hAnsi="仿宋" w:eastAsia="仿宋" w:cs="仿宋"/>
          <w:sz w:val="24"/>
          <w:szCs w:val="24"/>
          <w:highlight w:val="none"/>
        </w:rPr>
        <w:t>设备的保管与使用</w:t>
      </w:r>
    </w:p>
    <w:p w14:paraId="262F8ED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DD3BB3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发包人供应的材料和工程设备使用前，由承包人负责检验，检验费用由发包人承担，不合格的不得使用。</w:t>
      </w:r>
    </w:p>
    <w:p w14:paraId="22C3B67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8.4.2 承包人采购</w:t>
      </w:r>
      <w:r>
        <w:rPr>
          <w:rFonts w:hint="eastAsia" w:ascii="仿宋" w:hAnsi="仿宋" w:eastAsia="仿宋" w:cs="仿宋"/>
          <w:sz w:val="24"/>
          <w:szCs w:val="24"/>
          <w:highlight w:val="none"/>
        </w:rPr>
        <w:t>材料与</w:t>
      </w:r>
      <w:r>
        <w:rPr>
          <w:rFonts w:hint="eastAsia" w:ascii="仿宋" w:hAnsi="仿宋" w:eastAsia="仿宋" w:cs="仿宋"/>
          <w:kern w:val="0"/>
          <w:sz w:val="24"/>
          <w:szCs w:val="24"/>
          <w:highlight w:val="none"/>
        </w:rPr>
        <w:t>工程</w:t>
      </w:r>
      <w:r>
        <w:rPr>
          <w:rFonts w:hint="eastAsia" w:ascii="仿宋" w:hAnsi="仿宋" w:eastAsia="仿宋" w:cs="仿宋"/>
          <w:sz w:val="24"/>
          <w:szCs w:val="24"/>
          <w:highlight w:val="none"/>
        </w:rPr>
        <w:t>设备的保管与使用</w:t>
      </w:r>
    </w:p>
    <w:p w14:paraId="053C51A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86479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0AB43F4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8.5禁止使用不合格的材料和工程设备</w:t>
      </w:r>
    </w:p>
    <w:p w14:paraId="71D807A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763C21E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8.5.2 监理人发现承包人使用了不合格的材料和工程设备，承包人应按照监理人的指示立即改正，并禁止在工程中继续使用不合格的材料和工程设备。</w:t>
      </w:r>
    </w:p>
    <w:p w14:paraId="3A9EAA0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8.5.3 发包人提供的材料或工程设备不符合合同要求的，承包人有权拒绝，并可要求发包人更换，由此增加的费用和（或）延误的工期由发包人承担。</w:t>
      </w:r>
    </w:p>
    <w:p w14:paraId="4DA5A29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8.6 样品</w:t>
      </w:r>
    </w:p>
    <w:p w14:paraId="0DEAC1E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8.6.1样品的报送与封存</w:t>
      </w:r>
    </w:p>
    <w:p w14:paraId="0840428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需要承包人报送样品的材料或工程设备，样品的种类、名称、规格、数量等要求均应在专用合同条款中约定。样品的报送程序如下：</w:t>
      </w:r>
    </w:p>
    <w:p w14:paraId="56F6A24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63069A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F79D0B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3A12880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4F229C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8.6.2 样品的保管</w:t>
      </w:r>
    </w:p>
    <w:p w14:paraId="375E1D4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经批准的样品应由监理人负责封存于现场，承包人应在现场为保存样品提供适当和固定的场所并保持适当和良好的存储环境条件。</w:t>
      </w:r>
    </w:p>
    <w:p w14:paraId="3A95E10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8.7材料与工程设备的替代</w:t>
      </w:r>
    </w:p>
    <w:p w14:paraId="7395FA9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8.7.1 出现下列情况需要使用替代材料和工程设备的，承包人应按照第8.7.2项约定的程序执行：</w:t>
      </w:r>
    </w:p>
    <w:p w14:paraId="798AD13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（1）基准日期后生效的法律规定禁止使用的；</w:t>
      </w:r>
    </w:p>
    <w:p w14:paraId="01AA204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（2）发包人要求使用替代品的；</w:t>
      </w:r>
    </w:p>
    <w:p w14:paraId="2414094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（3）因其他原因必须使用替代品的。</w:t>
      </w:r>
    </w:p>
    <w:p w14:paraId="1431310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8.7.2 承包人应在使用替代材料和工程设备28天前书面通知监理人，并附下列文件：</w:t>
      </w:r>
    </w:p>
    <w:p w14:paraId="75BD470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（1）被替代的材料和工程设备的名称、数量、规格、型号、品牌、性能、价格及其他相关资料；</w:t>
      </w:r>
    </w:p>
    <w:p w14:paraId="3966DDC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（2）替代品的名称、数量、规格、型号、品牌、性能、价格及其他相关资料；</w:t>
      </w:r>
    </w:p>
    <w:p w14:paraId="3B7958E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（3）替代品与被替代产品之间的差异以及使用替代品可能对工程产生的影响；</w:t>
      </w:r>
    </w:p>
    <w:p w14:paraId="10B5A6D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（4）替代品与被替代产品的价格差异；</w:t>
      </w:r>
    </w:p>
    <w:p w14:paraId="01C138A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（5）使用替代品的理由和原因说明；</w:t>
      </w:r>
    </w:p>
    <w:p w14:paraId="015A650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（6）监理人要求的其他文件。</w:t>
      </w:r>
    </w:p>
    <w:p w14:paraId="21D8443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监理人应在收到通知后14天内向承包人发出经发包人签认的书面指示；监理人逾期发出书面指示的，视为发包人和监理人同意使用替代品。</w:t>
      </w:r>
    </w:p>
    <w:p w14:paraId="1BB5086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E3BA03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8.8施工设备和临时设施</w:t>
      </w:r>
    </w:p>
    <w:p w14:paraId="7C002F6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8.8.1 承包人提供的施工设备和临时设施</w:t>
      </w:r>
    </w:p>
    <w:p w14:paraId="45F70D9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A2DA85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除专用合同条款另有约定外，承包人应自行承担修建临时设施的费用，需要临时占地的，应由发包人办理申请手续并承担相应费用。</w:t>
      </w:r>
    </w:p>
    <w:p w14:paraId="5E78631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8.8.2发包人提供的施工设备和临时设施</w:t>
      </w:r>
    </w:p>
    <w:p w14:paraId="2EFAE06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发包人提供的施工设备或临时设施在专用合同条款中约定。</w:t>
      </w:r>
    </w:p>
    <w:p w14:paraId="1DDF6FA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8.8.3要求承包人增加或更换施工设备</w:t>
      </w:r>
    </w:p>
    <w:p w14:paraId="48D4412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7601E7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8.9材料与设备专用要求</w:t>
      </w:r>
    </w:p>
    <w:p w14:paraId="44DE9E8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7898AD2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 试验与检验</w:t>
      </w:r>
    </w:p>
    <w:p w14:paraId="0B3E366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9.1试验设备与试验人员</w:t>
      </w:r>
    </w:p>
    <w:p w14:paraId="5DA5E46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109AA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9.1.2 承包人应按专用合同条款的约定提供试验设备、取样装置、试验场所和试验条件，并向监理人提交相应进场计划表。</w:t>
      </w:r>
    </w:p>
    <w:p w14:paraId="6530205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承包人配置的试验设备要符合相应试验规程的要求并经过具有资质的检测单位检测，且在正式使用该试验设备前，需要经过监理人与承包人共同校定。</w:t>
      </w:r>
    </w:p>
    <w:p w14:paraId="5910F3B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4A607ED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9.2取样</w:t>
      </w:r>
    </w:p>
    <w:p w14:paraId="35E5BFD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试验属于自检性质的，承包人可以单独取样。试验属于监理人抽检性质的，可由监理人取样，也可由承包人的试验人员在监理人的监督下取样。</w:t>
      </w:r>
    </w:p>
    <w:p w14:paraId="3380C14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9.3材料、工程设备和工程的试验和检验</w:t>
      </w:r>
    </w:p>
    <w:p w14:paraId="6EF8644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9B4213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0B859A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176799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9.4现场工艺试验</w:t>
      </w:r>
    </w:p>
    <w:p w14:paraId="2ABCFE5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565814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 变更</w:t>
      </w:r>
    </w:p>
    <w:p w14:paraId="0E96828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10.1变更的范围</w:t>
      </w:r>
    </w:p>
    <w:p w14:paraId="4C9AFA2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除专用合同条款另有约定外，合同履行过程中发生以下情形的，应按照本条约定进行变更：</w:t>
      </w:r>
    </w:p>
    <w:p w14:paraId="5643BCA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（1）增加或减少合同中任何工作，或追加额外的工作；</w:t>
      </w:r>
    </w:p>
    <w:p w14:paraId="74F3136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（2）取消合同中任何工作，但转由他人实施的工作除外；</w:t>
      </w:r>
    </w:p>
    <w:p w14:paraId="33F6A4B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（3）改变合同中任何工作的质量标准或其他特性；</w:t>
      </w:r>
    </w:p>
    <w:p w14:paraId="0F5541A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（4）改变工程的基线、标高、位置和尺寸；</w:t>
      </w:r>
    </w:p>
    <w:p w14:paraId="06CE28F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（5）改变工程的时间安排或实施顺序。</w:t>
      </w:r>
    </w:p>
    <w:p w14:paraId="559AAE7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10.2变更权</w:t>
      </w:r>
    </w:p>
    <w:p w14:paraId="1058800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358108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涉及设计变更的，应由设计人提供变更后的图纸和说明。如变更超过原设计标准或批准的建设规模时，发包人应及时办理规划、设计变更等审批手续。</w:t>
      </w:r>
    </w:p>
    <w:p w14:paraId="5438CA6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10.3变更程序</w:t>
      </w:r>
    </w:p>
    <w:p w14:paraId="2256FB9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10</w:t>
      </w:r>
      <w:r>
        <w:rPr>
          <w:rFonts w:hint="eastAsia" w:ascii="仿宋" w:hAnsi="仿宋" w:eastAsia="仿宋" w:cs="仿宋"/>
          <w:kern w:val="0"/>
          <w:sz w:val="24"/>
          <w:szCs w:val="24"/>
          <w:highlight w:val="none"/>
        </w:rPr>
        <w:t>.3.1 发包人提出变更</w:t>
      </w:r>
    </w:p>
    <w:p w14:paraId="33E1B56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发包人提出变更的，应通过监理人向承包人发出变更指示，变更指示应说明计划变更的工程范围和变更的内容。</w:t>
      </w:r>
    </w:p>
    <w:p w14:paraId="6425AB3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10</w:t>
      </w:r>
      <w:r>
        <w:rPr>
          <w:rFonts w:hint="eastAsia" w:ascii="仿宋" w:hAnsi="仿宋" w:eastAsia="仿宋" w:cs="仿宋"/>
          <w:kern w:val="0"/>
          <w:sz w:val="24"/>
          <w:szCs w:val="24"/>
          <w:highlight w:val="none"/>
        </w:rPr>
        <w:t>.3.2 监理人提出变更建议</w:t>
      </w:r>
    </w:p>
    <w:p w14:paraId="0257331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03C4CB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10.3.3 变更执行</w:t>
      </w:r>
    </w:p>
    <w:p w14:paraId="28592B5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0A812D6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10.4变更估价</w:t>
      </w:r>
    </w:p>
    <w:p w14:paraId="7C4DA35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10.4.1 变更估价原则</w:t>
      </w:r>
    </w:p>
    <w:p w14:paraId="40EA892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除专用合同条款另有约定外，变更估价按照本款约定处理：</w:t>
      </w:r>
    </w:p>
    <w:p w14:paraId="4FDC0F6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（1）已标价工程量清单或预算书有相同项目的，按照相同项目单价认定；</w:t>
      </w:r>
    </w:p>
    <w:p w14:paraId="594D29A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（2）已标价工程量清单或预算书中无相同项目，但有类似项目的，参照类似项目的单价认定；</w:t>
      </w:r>
    </w:p>
    <w:p w14:paraId="0B63A9B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206002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10.4.2 变更估价程序</w:t>
      </w:r>
    </w:p>
    <w:p w14:paraId="1E24B5F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15DF238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因变更引起的价格调整应计入最近一期的进度款中支付。</w:t>
      </w:r>
    </w:p>
    <w:p w14:paraId="53EB73E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10.5承包人的合理化建议</w:t>
      </w:r>
    </w:p>
    <w:p w14:paraId="768C149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承包人提出合理化建议的，应向监理人提交合理化建议说明，说明建议的内容和理由，以及实施该建议对合同价格和工期的影响。</w:t>
      </w:r>
    </w:p>
    <w:p w14:paraId="6360960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BED030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合理化建议降低了合同价格或者提高了工程经济效益的，发包人可对承包人给予奖励，奖励的方法和金额在专用合同条款中约定。</w:t>
      </w:r>
    </w:p>
    <w:p w14:paraId="6AF5B92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10.6变更引起的工期调整</w:t>
      </w:r>
    </w:p>
    <w:p w14:paraId="5599DF9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因变更引起工期变化的，合同当事人均可要求调整合同工期，由合同当事人按照第4.4款〔商定或确定〕并参考工程所在地的工期定额标准确定增减工期天数。</w:t>
      </w:r>
    </w:p>
    <w:p w14:paraId="2DC01BD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10.7暂估价</w:t>
      </w:r>
    </w:p>
    <w:p w14:paraId="1FC2A66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暂估价专业分包工程、服务、材料和工程设备的明细由合同当事人在专用合同条款中约定。</w:t>
      </w:r>
    </w:p>
    <w:p w14:paraId="3E2B5B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10.7.1</w:t>
      </w:r>
      <w:r>
        <w:rPr>
          <w:rFonts w:hint="eastAsia" w:ascii="仿宋" w:hAnsi="仿宋" w:eastAsia="仿宋" w:cs="仿宋"/>
          <w:kern w:val="0"/>
          <w:sz w:val="24"/>
          <w:szCs w:val="24"/>
          <w:highlight w:val="none"/>
        </w:rPr>
        <w:t>依法必须招标的暂估价项目</w:t>
      </w:r>
    </w:p>
    <w:p w14:paraId="3063B88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对于依法必须招标的暂估价项目，采取以下第1种方式确定。合同当事人也可以在专用合同条款中选择其他招标方式。</w:t>
      </w:r>
    </w:p>
    <w:p w14:paraId="58867CC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第1种方式：对于依法必须招标的暂估价项目，由承包人招标，对该暂估价项目的确认和批准按照以下约定执行：</w:t>
      </w:r>
    </w:p>
    <w:p w14:paraId="60DB856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BDDF56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344A3D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B6AD6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E24061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10.7.2</w:t>
      </w:r>
      <w:r>
        <w:rPr>
          <w:rFonts w:hint="eastAsia" w:ascii="仿宋" w:hAnsi="仿宋" w:eastAsia="仿宋" w:cs="仿宋"/>
          <w:kern w:val="0"/>
          <w:sz w:val="24"/>
          <w:szCs w:val="24"/>
          <w:highlight w:val="none"/>
        </w:rPr>
        <w:t>不属于依法必须招标的暂估价项目</w:t>
      </w:r>
    </w:p>
    <w:p w14:paraId="298C895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除专用合同条款另有约定外，对于不属于依法必须招标的暂估价项目，采取以下第1种方式确定：</w:t>
      </w:r>
    </w:p>
    <w:p w14:paraId="69954E6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第1种方式：对于不属于依法必须招标的暂估价项目，按本项约定确认和批准：</w:t>
      </w:r>
    </w:p>
    <w:p w14:paraId="7C599FA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311257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（2）发包人认为承包人确定的供应商、分包人无法满足工程质量或合同要求的，发包人可以要求承包人重新确定暂估价项目的供应商、分包人；</w:t>
      </w:r>
    </w:p>
    <w:p w14:paraId="1439C47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（3）承包人应当在签订暂估价合同后7天内，将暂估价合同副本报送发包人留存。</w:t>
      </w:r>
    </w:p>
    <w:p w14:paraId="03D61C9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第2种方式：承包人按照第10.7.1项〔依法必须招标的暂估价项目〕约定的第1种方式确定暂估价项目。</w:t>
      </w:r>
    </w:p>
    <w:p w14:paraId="3F51148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第3种方式：</w:t>
      </w:r>
      <w:r>
        <w:rPr>
          <w:rFonts w:hint="eastAsia" w:ascii="仿宋" w:hAnsi="仿宋" w:eastAsia="仿宋" w:cs="仿宋"/>
          <w:kern w:val="0"/>
          <w:sz w:val="24"/>
          <w:szCs w:val="24"/>
          <w:highlight w:val="none"/>
        </w:rPr>
        <w:t>承包人直接实施的暂估价项目</w:t>
      </w:r>
    </w:p>
    <w:p w14:paraId="05A79CB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18EDB4F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10.7.3 因发包人原因导致暂估价合同订立和履行迟延的，由此增加的费用和（或）延误的工期由发包人承担。因承包人原因导致暂估价合同订立和履行迟延的，由此增加的费用和（或）延误的工期由承包人承担。</w:t>
      </w:r>
    </w:p>
    <w:p w14:paraId="5007D8F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10.8暂列金额</w:t>
      </w:r>
    </w:p>
    <w:p w14:paraId="4D90DA6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暂列金额应按照发包人的要求使用，发包人的要求应通过监理人发出。合同当事人可以在专用合同条款中协商确定有关事项。</w:t>
      </w:r>
    </w:p>
    <w:p w14:paraId="0B3A605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10.9计日工</w:t>
      </w:r>
    </w:p>
    <w:p w14:paraId="24FA3EC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3E10BBC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采用计日工计价的任何一项工作，承包人应在该项工作实施过程中，每天提交以下报表和有关凭证报送监理人审查：</w:t>
      </w:r>
    </w:p>
    <w:p w14:paraId="4B15F258">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（1）工作名称、内容和数量；</w:t>
      </w:r>
    </w:p>
    <w:p w14:paraId="1B72BBC6">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（2）投入该工作的所有人员的姓名、专业、工种、级别和耗用工时；</w:t>
      </w:r>
    </w:p>
    <w:p w14:paraId="35B42D8A">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（3）投入该工作的材料类别和数量；</w:t>
      </w:r>
    </w:p>
    <w:p w14:paraId="370DCD86">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（4）投入该工作的施工设备型号、台数和耗用台时；</w:t>
      </w:r>
    </w:p>
    <w:p w14:paraId="1E9796E2">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（5）其他有关资料和凭证。</w:t>
      </w:r>
    </w:p>
    <w:p w14:paraId="05F59570">
      <w:pPr>
        <w:keepNext w:val="0"/>
        <w:keepLines w:val="0"/>
        <w:pageBreakBefore w:val="0"/>
        <w:widowControl w:val="0"/>
        <w:kinsoku/>
        <w:wordWrap/>
        <w:overflowPunct/>
        <w:topLinePunct w:val="0"/>
        <w:bidi w:val="0"/>
        <w:snapToGrid/>
        <w:spacing w:line="360" w:lineRule="auto"/>
        <w:ind w:firstLine="360" w:firstLineChars="15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计日工由承包人汇总后，列入最近一期进度付款申请单，由监理人审查并经发包人批准后列入进度付款。</w:t>
      </w:r>
    </w:p>
    <w:p w14:paraId="4C04E80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 价格调整</w:t>
      </w:r>
    </w:p>
    <w:p w14:paraId="17548E9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11.1市场价格波动引起的调整</w:t>
      </w:r>
    </w:p>
    <w:p w14:paraId="7D12C60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079A2A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第1种方式：采用价格指数进行价格调整。</w:t>
      </w:r>
    </w:p>
    <w:p w14:paraId="0A1CF227">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（1）价格调整公式</w:t>
      </w:r>
    </w:p>
    <w:p w14:paraId="4CE03B4B">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因人工、材料和设备等价格波动影响合同价格时，根据专用合同条款中约定的数据，按以下公式计算差额并调整合同价格：</w:t>
      </w:r>
    </w:p>
    <w:p w14:paraId="43E6D2DF">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position w:val="-30"/>
          <w:sz w:val="24"/>
          <w:szCs w:val="24"/>
          <w:highlight w:val="none"/>
        </w:rPr>
        <w:object>
          <v:shape id="_x0000_i1025" o:spt="75" type="#_x0000_t75" style="height:43.8pt;width:360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14:paraId="6BA7C464">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公式中：ΔP——需调整的价格差额；</w:t>
      </w:r>
    </w:p>
    <w:p w14:paraId="02E667E9">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1440" w:firstLineChars="600"/>
        <w:textAlignment w:val="auto"/>
        <w:rPr>
          <w:rFonts w:hint="eastAsia" w:ascii="仿宋" w:hAnsi="仿宋" w:eastAsia="仿宋" w:cs="仿宋"/>
          <w:sz w:val="24"/>
          <w:szCs w:val="24"/>
          <w:highlight w:val="none"/>
        </w:rPr>
      </w:pPr>
      <w:r>
        <w:rPr>
          <w:rFonts w:hint="eastAsia" w:ascii="仿宋" w:hAnsi="仿宋" w:eastAsia="仿宋" w:cs="仿宋"/>
          <w:position w:val="-6"/>
          <w:sz w:val="24"/>
          <w:szCs w:val="24"/>
          <w:highlight w:val="none"/>
        </w:rPr>
        <w:object>
          <v:shape id="_x0000_i1026" o:spt="75" type="#_x0000_t75" style="height:14.3pt;width:14.3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仿宋" w:hAnsi="仿宋" w:eastAsia="仿宋" w:cs="仿宋"/>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BB11103">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A——定值权重（即不调部分的权重）；</w:t>
      </w:r>
    </w:p>
    <w:p w14:paraId="5DB5DF92">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position w:val="-10"/>
          <w:sz w:val="24"/>
          <w:szCs w:val="24"/>
          <w:highlight w:val="none"/>
        </w:rPr>
        <w:object>
          <v:shape id="_x0000_i1027" o:spt="75" type="#_x0000_t75" style="height:22.15pt;width:98.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仿宋" w:hAnsi="仿宋" w:eastAsia="仿宋" w:cs="仿宋"/>
          <w:sz w:val="24"/>
          <w:szCs w:val="24"/>
          <w:highlight w:val="none"/>
        </w:rPr>
        <w:t>——各可调因子的变值权重（即可调部分的权重），为各可调因子在签约合同价中所占的比例；</w:t>
      </w:r>
    </w:p>
    <w:p w14:paraId="2C28864D">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position w:val="-10"/>
          <w:sz w:val="24"/>
          <w:szCs w:val="24"/>
          <w:highlight w:val="none"/>
        </w:rPr>
        <w:object>
          <v:shape id="_x0000_i1028" o:spt="75" type="#_x0000_t75" style="height:22.15pt;width:100.1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仿宋" w:hAnsi="仿宋" w:eastAsia="仿宋" w:cs="仿宋"/>
          <w:sz w:val="24"/>
          <w:szCs w:val="24"/>
          <w:highlight w:val="none"/>
        </w:rPr>
        <w:t>——各可调因子的现行价格指数，指约定的付款证书相关周期最后一天的前42天的各可调因子的价格指数；</w:t>
      </w:r>
    </w:p>
    <w:p w14:paraId="2F1D3C1A">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position w:val="-10"/>
          <w:sz w:val="24"/>
          <w:szCs w:val="24"/>
          <w:highlight w:val="none"/>
        </w:rPr>
        <w:object>
          <v:shape id="_x0000_i1029" o:spt="75" type="#_x0000_t75" style="height:22.15pt;width:10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仿宋" w:hAnsi="仿宋" w:eastAsia="仿宋" w:cs="仿宋"/>
          <w:sz w:val="24"/>
          <w:szCs w:val="24"/>
          <w:highlight w:val="none"/>
        </w:rPr>
        <w:t>——各可调因子的基本价格指数，指基准日期的各可调因子的价格指数。</w:t>
      </w:r>
    </w:p>
    <w:p w14:paraId="472CF4FF">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3A7706D">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（2）暂时确定调整差额</w:t>
      </w:r>
    </w:p>
    <w:p w14:paraId="70F3EB0F">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在计算调整差额时无现行价格指数的，合同当事人同意暂用前次价格指数计算。实际价格指数有调整的，合同当事人进行相应调整。</w:t>
      </w:r>
    </w:p>
    <w:p w14:paraId="77F72DF6">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（3）权重的调整</w:t>
      </w:r>
    </w:p>
    <w:p w14:paraId="6972A7D1">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因变更导致合同约定的权重不合理时，按照第4.4款〔商定或确定〕执行。</w:t>
      </w:r>
    </w:p>
    <w:p w14:paraId="4A5AA960">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（4）因承包人原因工期延误后的价格调整</w:t>
      </w:r>
    </w:p>
    <w:p w14:paraId="1CDBEE54">
      <w:pPr>
        <w:keepNext w:val="0"/>
        <w:keepLines w:val="0"/>
        <w:pageBreakBefore w:val="0"/>
        <w:widowControl w:val="0"/>
        <w:tabs>
          <w:tab w:val="left" w:pos="0"/>
          <w:tab w:val="left" w:pos="360"/>
          <w:tab w:val="left" w:pos="540"/>
        </w:tabs>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875109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第2种方式：采用造价信息进行价格调整。</w:t>
      </w:r>
    </w:p>
    <w:p w14:paraId="2D7251A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45505C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833EAB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（2）材料、工程设备价格变化的价款调整按照发包人提供的基准价格，按以下风险范围规定执行:</w:t>
      </w:r>
    </w:p>
    <w:p w14:paraId="013C9EC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E99DE0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B0AB3E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3C5BDA5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956907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C46659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（3）施工机械台班单价或施工机械使用费发生变化超过省级或行业建设主管部门或其授权的工程造价管理机构规定的范围时，按规定调整合同价格。</w:t>
      </w:r>
    </w:p>
    <w:p w14:paraId="771FF20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第3种方式：专用合同条款约定的其他方式。</w:t>
      </w:r>
    </w:p>
    <w:p w14:paraId="7617C77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11.2法律变化引起的调整</w:t>
      </w:r>
    </w:p>
    <w:p w14:paraId="4CD3E2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5EF119E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因法律变化引起的合同价格和工期调整，合同当事人无法达成一致的，由总监理工程师按第4.4款〔商定或确定〕的约定处理。</w:t>
      </w:r>
    </w:p>
    <w:p w14:paraId="289B4D4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因承包人原因造成工期延误，在工期延误期间出现法律变化的，由此增加的费用和（或）延误的工期由承包人承担。</w:t>
      </w:r>
    </w:p>
    <w:p w14:paraId="289B387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 合同价格、计量与支付</w:t>
      </w:r>
    </w:p>
    <w:p w14:paraId="1C0ECF8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12.1 合同价格形式</w:t>
      </w:r>
    </w:p>
    <w:p w14:paraId="68A7A53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发包人和承包人应在合同协议书中选择下列一种合同价格形式：</w:t>
      </w:r>
    </w:p>
    <w:p w14:paraId="7C365D8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1、单价合同</w:t>
      </w:r>
    </w:p>
    <w:p w14:paraId="06521D1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单价合同是指合同当事人约定以工程量清单及其综合单价进行合同价格计算、调整和确认的建设工程施工合同，</w:t>
      </w:r>
      <w:r>
        <w:rPr>
          <w:rFonts w:hint="eastAsia" w:ascii="仿宋" w:hAnsi="仿宋" w:eastAsia="仿宋" w:cs="仿宋"/>
          <w:sz w:val="24"/>
          <w:szCs w:val="24"/>
          <w:highlight w:val="none"/>
        </w:rPr>
        <w:t>在约定的范围内合同单价不作调整</w:t>
      </w:r>
      <w:r>
        <w:rPr>
          <w:rFonts w:hint="eastAsia" w:ascii="仿宋" w:hAnsi="仿宋" w:eastAsia="仿宋" w:cs="仿宋"/>
          <w:kern w:val="0"/>
          <w:sz w:val="24"/>
          <w:szCs w:val="24"/>
          <w:highlight w:val="none"/>
        </w:rPr>
        <w:t>。合同当事人应在专用合同条款中约定综合单价包含的风险范围和风险费用的计算方法</w:t>
      </w:r>
      <w:r>
        <w:rPr>
          <w:rFonts w:hint="eastAsia" w:ascii="仿宋" w:hAnsi="仿宋" w:eastAsia="仿宋" w:cs="仿宋"/>
          <w:sz w:val="24"/>
          <w:szCs w:val="24"/>
          <w:highlight w:val="none"/>
        </w:rPr>
        <w:t>，</w:t>
      </w:r>
      <w:r>
        <w:rPr>
          <w:rFonts w:hint="eastAsia" w:ascii="仿宋" w:hAnsi="仿宋" w:eastAsia="仿宋" w:cs="仿宋"/>
          <w:kern w:val="0"/>
          <w:sz w:val="24"/>
          <w:szCs w:val="24"/>
          <w:highlight w:val="none"/>
        </w:rPr>
        <w:t>并约定风险范围以外的合同价格的调整方法，其中因市场价格波动引起的调整按第11.1款〔市场价格波动引起的调整〕约定执行。</w:t>
      </w:r>
    </w:p>
    <w:p w14:paraId="0B0F61D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2、总价合同</w:t>
      </w:r>
    </w:p>
    <w:p w14:paraId="6CABE50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sz w:val="24"/>
          <w:szCs w:val="24"/>
          <w:highlight w:val="none"/>
        </w:rPr>
        <w:t>在约定的范围内合同总价不作调整</w:t>
      </w:r>
      <w:r>
        <w:rPr>
          <w:rFonts w:hint="eastAsia" w:ascii="仿宋" w:hAnsi="仿宋" w:eastAsia="仿宋" w:cs="仿宋"/>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365E23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3、其它价格形式</w:t>
      </w:r>
    </w:p>
    <w:p w14:paraId="1AB0DFC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合同当事人可在专用合同条款中约定其他合同价格形式。</w:t>
      </w:r>
    </w:p>
    <w:p w14:paraId="7E5F359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12.2预付款</w:t>
      </w:r>
    </w:p>
    <w:p w14:paraId="6F58D70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12.2.</w:t>
      </w:r>
      <w:r>
        <w:rPr>
          <w:rFonts w:hint="eastAsia" w:ascii="仿宋" w:hAnsi="仿宋" w:eastAsia="仿宋" w:cs="仿宋"/>
          <w:kern w:val="0"/>
          <w:sz w:val="24"/>
          <w:szCs w:val="24"/>
          <w:highlight w:val="none"/>
        </w:rPr>
        <w:t>1预付款的支付</w:t>
      </w:r>
    </w:p>
    <w:p w14:paraId="0286160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721E29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除专用合同条款另有约定外，预付款在进度付款中同比例扣回。在颁发工程接收证书前，提前解除合同的，尚未扣完的预付款应与合同价款一并结算。</w:t>
      </w:r>
    </w:p>
    <w:p w14:paraId="420E617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486FF5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12.2.2 预付款担保</w:t>
      </w:r>
    </w:p>
    <w:p w14:paraId="73918A2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05AEA6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发包人在工程款中逐期扣回预付款后，预付款担保额度应相应减少，但剩余的预付款担保金额不得低于未被扣回的预付款金额。</w:t>
      </w:r>
    </w:p>
    <w:p w14:paraId="162B5B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12.3计量</w:t>
      </w:r>
    </w:p>
    <w:p w14:paraId="677FE38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12.3.1 计量原则</w:t>
      </w:r>
    </w:p>
    <w:p w14:paraId="7AD6F3B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02EB8E2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12.3.2 计量周期</w:t>
      </w:r>
    </w:p>
    <w:p w14:paraId="7BB4EC0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除专用合同条款另有约定外，工程量的计量按月进行。</w:t>
      </w:r>
    </w:p>
    <w:p w14:paraId="0473E6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12.3.3 单价合同的计量</w:t>
      </w:r>
    </w:p>
    <w:p w14:paraId="77356FA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除专用合同条款另有约定外，单价合同的计量按照本项约定执行：</w:t>
      </w:r>
    </w:p>
    <w:p w14:paraId="0FB0F25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（1）承包人应于每月25日向监理人报送上月20日至当月19日已完成的工程量报告，并附具进度付款申请单、已完成工程量报表和有关资料。</w:t>
      </w:r>
    </w:p>
    <w:p w14:paraId="49E683F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B243A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（3）监理人未在收到承包人提交的工程量报表后的7天内完成审核的，承包人报送的工程量报告中的工程量视为承包人实际完成的工程量，据此计算工程价款。</w:t>
      </w:r>
    </w:p>
    <w:p w14:paraId="4EACE46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12.3.4 总价合同的计量</w:t>
      </w:r>
    </w:p>
    <w:p w14:paraId="0BFC2E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除专用合同条款另有约定外，按月计量支付的总价合同，按照本项约定执行：</w:t>
      </w:r>
    </w:p>
    <w:p w14:paraId="3124002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（1）承包人应于每月25日向监理人报送上月20日至当月19日已完成的工程量报告，并附具进度付款申请单、已完成工程量报表和有关资料。</w:t>
      </w:r>
    </w:p>
    <w:p w14:paraId="35292EB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E7826D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（3）监理人未在收到承包人提交的工程量报表后的7天内完成复核的，承包人提交的工程量报告中的工程量视为承包人实际完成的工程量。</w:t>
      </w:r>
    </w:p>
    <w:p w14:paraId="5C48E47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12.3.5 总价合同采用支付分解表计量支付的，可以按照第12.3.4项〔总价合同的计量〕约定进行计量，但合同价款按照支付分解表进行支付。</w:t>
      </w:r>
    </w:p>
    <w:p w14:paraId="4FCBCD9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12.3.6 其他价格形式合同的计量</w:t>
      </w:r>
    </w:p>
    <w:p w14:paraId="515BA11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合同当事人可在专用合同条款中约定其他价格形式合同的计量方式和程序。</w:t>
      </w:r>
    </w:p>
    <w:p w14:paraId="45BBABA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12.4工程进度款支付</w:t>
      </w:r>
    </w:p>
    <w:p w14:paraId="736F0DB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12.4</w:t>
      </w:r>
      <w:r>
        <w:rPr>
          <w:rFonts w:hint="eastAsia" w:ascii="仿宋" w:hAnsi="仿宋" w:eastAsia="仿宋" w:cs="仿宋"/>
          <w:kern w:val="0"/>
          <w:sz w:val="24"/>
          <w:szCs w:val="24"/>
          <w:highlight w:val="none"/>
        </w:rPr>
        <w:t>.1 付款周期</w:t>
      </w:r>
    </w:p>
    <w:p w14:paraId="59A1367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除专用合同条款另有约定外，付款周期应按照第12.3.2项〔计量周期〕的约定与计量周期保持一致。</w:t>
      </w:r>
    </w:p>
    <w:p w14:paraId="4039CB0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12.4</w:t>
      </w:r>
      <w:r>
        <w:rPr>
          <w:rFonts w:hint="eastAsia" w:ascii="仿宋" w:hAnsi="仿宋" w:eastAsia="仿宋" w:cs="仿宋"/>
          <w:kern w:val="0"/>
          <w:sz w:val="24"/>
          <w:szCs w:val="24"/>
          <w:highlight w:val="none"/>
        </w:rPr>
        <w:t>.2 进度付款申请单的编制</w:t>
      </w:r>
    </w:p>
    <w:p w14:paraId="107083E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除专用合同条款另有约定外，进度付款申请单应包括下列内容：</w:t>
      </w:r>
    </w:p>
    <w:p w14:paraId="450EBFC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（1）截至本次付款周期已完成工作对应的金额；</w:t>
      </w:r>
    </w:p>
    <w:p w14:paraId="3A6E5FC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（2）根据第10条〔变更〕应增加和扣减的变更金额；</w:t>
      </w:r>
    </w:p>
    <w:p w14:paraId="0841196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（3）根据第12.2款〔预付款〕约定应支付的预付款和扣减的返还预付款；</w:t>
      </w:r>
    </w:p>
    <w:p w14:paraId="2CA13F3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（4）根据第15.3款〔质量保证金〕约定应扣减的质量保证金；</w:t>
      </w:r>
    </w:p>
    <w:p w14:paraId="7554E4C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（5）根据第19条〔索赔〕应增加和扣减的索赔金额；</w:t>
      </w:r>
    </w:p>
    <w:p w14:paraId="0DAB2FD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（6）对已签发的进度款支付证书中出现错误的修正，应在本次进度付款中支付或扣除的金额；</w:t>
      </w:r>
    </w:p>
    <w:p w14:paraId="49746C7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（7）根据合同约定应增加和扣减的其他金额。</w:t>
      </w:r>
    </w:p>
    <w:p w14:paraId="3DCE25A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12.4.3 进度付款申请单的提交</w:t>
      </w:r>
    </w:p>
    <w:p w14:paraId="27778EC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（1）单价合同进度付款申请单的提交</w:t>
      </w:r>
    </w:p>
    <w:p w14:paraId="03E103B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32178E6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（2）总价合同进度付款申请单的提交</w:t>
      </w:r>
    </w:p>
    <w:p w14:paraId="0C5FB53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总价合同按月计量支付的，承包人按照第12.3.4项〔总价合同的计量〕约定的时间按月向监理人提交进度付款申请单，并附上已完成工程量报表和有关资料。</w:t>
      </w:r>
    </w:p>
    <w:p w14:paraId="309C0D9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总价合同按支付分解表支付的，承包人应按照第12.4.6项〔支付分解表〕及第12.4.2项〔进度付款申请单的编制〕的约定向监理人提交进度付款申请单。</w:t>
      </w:r>
    </w:p>
    <w:p w14:paraId="73DEE8D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（3）其他价格形式合同的进度付款申请单的提交</w:t>
      </w:r>
    </w:p>
    <w:p w14:paraId="547213E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合同当事人可在专用合同条款中约定其他价格形式合同的进度付款申请单的编制和提交程序。</w:t>
      </w:r>
    </w:p>
    <w:p w14:paraId="6DDC7B0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12.4</w:t>
      </w:r>
      <w:r>
        <w:rPr>
          <w:rFonts w:hint="eastAsia" w:ascii="仿宋" w:hAnsi="仿宋" w:eastAsia="仿宋" w:cs="仿宋"/>
          <w:kern w:val="0"/>
          <w:sz w:val="24"/>
          <w:szCs w:val="24"/>
          <w:highlight w:val="none"/>
        </w:rPr>
        <w:t>.4 进度款审核和支付</w:t>
      </w:r>
    </w:p>
    <w:p w14:paraId="3BDA9EB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F406FA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990FD5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3F0BCA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（3）发包人签发进度款支付证书或临时进度款支付证书，不表明发包人已同意、批准或接受了承包人完成的相应部分的工作。</w:t>
      </w:r>
    </w:p>
    <w:p w14:paraId="141E63D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12.4.5 进度付款的修正</w:t>
      </w:r>
    </w:p>
    <w:p w14:paraId="34219AB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10E0A45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12.4.6 支付分解表</w:t>
      </w:r>
    </w:p>
    <w:p w14:paraId="5FF20D4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1、支付分解表的编制要求</w:t>
      </w:r>
    </w:p>
    <w:p w14:paraId="78785AF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（1）支付分解表中所列的每期付款金额，应为第12.4.2项〔进度付款申请单的编制〕第（1）目的估算金额；</w:t>
      </w:r>
    </w:p>
    <w:p w14:paraId="49825D9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（2）实际进度与施工进度计划不一致的，合同当事人可按照第4.4款〔商定或确定〕修改支付分解表；</w:t>
      </w:r>
    </w:p>
    <w:p w14:paraId="405DA9A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（3）不采用支付分解表的，承包人应向发包人和监理人提交按月度编制的支付估算分解表，用于支付参考。</w:t>
      </w:r>
    </w:p>
    <w:p w14:paraId="50D3495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2、总价合同支付分解表的编制与审批</w:t>
      </w:r>
    </w:p>
    <w:p w14:paraId="16ACC07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9B17F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15BAE79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（3）发包人逾期未完成支付分解表审批的，也未及时要求承包人进行修正和提供补充资料的，则承包人提交的支付分解表视为已经获得发包人批准。</w:t>
      </w:r>
    </w:p>
    <w:p w14:paraId="471D674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3、单价合同的总价项目支付分解表的编制与审批</w:t>
      </w:r>
    </w:p>
    <w:p w14:paraId="503FF60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90206C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12.5支付账户</w:t>
      </w:r>
    </w:p>
    <w:p w14:paraId="101A473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发包人应将合同价款支付至合同协议书中约定的承包人账户。</w:t>
      </w:r>
    </w:p>
    <w:p w14:paraId="4812E65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 验收和工程试车</w:t>
      </w:r>
    </w:p>
    <w:p w14:paraId="30F6A06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13.1分部分项工程验收</w:t>
      </w:r>
    </w:p>
    <w:p w14:paraId="0F73520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13.1.1 分部分项工程质量应符合国家有关工程施工验收规范、标准及合同约定，承包人应按照施工组织设计的要求完成分部分项工程施工。</w:t>
      </w:r>
    </w:p>
    <w:p w14:paraId="385BA97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13.1.2 除专用合同条款另有约定外，分部分项工程经承包人自检合格并具备验收条件的，承包人应提前48小时通知监理人进行验收。</w:t>
      </w:r>
      <w:r>
        <w:rPr>
          <w:rFonts w:hint="eastAsia" w:ascii="仿宋" w:hAnsi="仿宋" w:eastAsia="仿宋" w:cs="仿宋"/>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sz w:val="24"/>
          <w:szCs w:val="24"/>
          <w:highlight w:val="none"/>
        </w:rPr>
        <w:t>分部分项工程未经验收的，不得进入下一道工序施工。</w:t>
      </w:r>
    </w:p>
    <w:p w14:paraId="7842CCD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分部分项工程的验收资料应当作为竣工资料的组成部分。</w:t>
      </w:r>
    </w:p>
    <w:p w14:paraId="18C7E7E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13.2竣工验收</w:t>
      </w:r>
    </w:p>
    <w:p w14:paraId="1055010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13.2.1竣工验收条件</w:t>
      </w:r>
    </w:p>
    <w:p w14:paraId="2D7386E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工程具备以下条件的，承包人可以申请竣工验收：</w:t>
      </w:r>
    </w:p>
    <w:p w14:paraId="149EA54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（1）除发包人同意的甩项工作和缺陷修补工作外，合同范围内的全部工程以及有关工作，包括合同要求的试验、试运行以及检验均已完成，并符合合同要求；</w:t>
      </w:r>
    </w:p>
    <w:p w14:paraId="3FA50FF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（2）已按合同约定编制了甩项工作和缺陷修补工作清单以及相应的施工计划；</w:t>
      </w:r>
    </w:p>
    <w:p w14:paraId="56665E9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（3）已按合同约定的内容和份数备齐竣工资料。</w:t>
      </w:r>
    </w:p>
    <w:p w14:paraId="45DCF8D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13.2.2竣工验收程序</w:t>
      </w:r>
    </w:p>
    <w:p w14:paraId="46D996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除专用合同条款另有约定外，承包人申请竣工验收的，应当按照以下程序进行：</w:t>
      </w:r>
    </w:p>
    <w:p w14:paraId="4E12F35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6AF90A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DAC90A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5DE9950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2C6730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B469E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DC206C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13.2.3竣工日期</w:t>
      </w:r>
    </w:p>
    <w:p w14:paraId="12DAF48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0906427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13.2.4 拒绝接收全部或部分工程</w:t>
      </w:r>
    </w:p>
    <w:p w14:paraId="62293BB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C2B816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13.2.5 移交、接收全部与部分工程</w:t>
      </w:r>
    </w:p>
    <w:p w14:paraId="7DA0948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除专用合同条款另有约定外，合同当事人应当在颁发工程接收证书后7天内完成工程的移交。</w:t>
      </w:r>
    </w:p>
    <w:p w14:paraId="2214CD4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DEB4A1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171DF72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13.3工程试车</w:t>
      </w:r>
    </w:p>
    <w:p w14:paraId="70B06AF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13.3.1试车程序</w:t>
      </w:r>
    </w:p>
    <w:p w14:paraId="7A28F4B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工程需要试车的，除专用合同条款另有约定外，试车内容应与承包人承包范围相一致，试车费用由承包人承担。工程试车应按如下程序进行：</w:t>
      </w:r>
    </w:p>
    <w:p w14:paraId="44C1AFD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CA586F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B4F57D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B010D8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13.3.2 试车中的责任</w:t>
      </w:r>
    </w:p>
    <w:p w14:paraId="79B321C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9AFEC7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5FCEBE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13.3.3 投料试车</w:t>
      </w:r>
    </w:p>
    <w:p w14:paraId="13AC2CF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2E9872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161791B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13.4提前交付单位工程的验收</w:t>
      </w:r>
    </w:p>
    <w:p w14:paraId="04A2DA8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2E33AB0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3425BD2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13.4.2 发包人要求在工程竣工前交付单位工程，由此导致承包人费用增加和（或）工期延误的，由发包人承担由此增加的费用和（或）延误的工期。</w:t>
      </w:r>
    </w:p>
    <w:p w14:paraId="2F5C1EA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13.5 施工期运行</w:t>
      </w:r>
    </w:p>
    <w:p w14:paraId="2109918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52B7AA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13.5.2 在施工期运行中发现工程或工程设备损坏或存在缺陷的，由承包人按第15.2款〔缺陷责任期〕约定进行修复。</w:t>
      </w:r>
    </w:p>
    <w:p w14:paraId="0B00F33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13.6 竣工退场</w:t>
      </w:r>
    </w:p>
    <w:p w14:paraId="4A4F8A3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13.6.1 竣工退场</w:t>
      </w:r>
    </w:p>
    <w:p w14:paraId="493F561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颁发工程接收证书后，承包人应按以下要求对施工现场进行清理：</w:t>
      </w:r>
    </w:p>
    <w:p w14:paraId="2C9326D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（1）施工现场内残留的垃圾已全部清除出场；</w:t>
      </w:r>
    </w:p>
    <w:p w14:paraId="5928F1D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（2）临时工程已拆除，场地已进行清理、平整或复原；</w:t>
      </w:r>
    </w:p>
    <w:p w14:paraId="1E4BE08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（3）按合同约定应撤离的人员、承包人施工设备和剩余的材料，包括废弃的施工设备和材料，已按计划撤离施工现场；</w:t>
      </w:r>
    </w:p>
    <w:p w14:paraId="12B9DB2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（4）施工现场周边及其附近道路、河道的施工堆积物，已全部清理；</w:t>
      </w:r>
    </w:p>
    <w:p w14:paraId="7FE0B13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（5）施工现场其他场地清理工作已全部完成。</w:t>
      </w:r>
    </w:p>
    <w:p w14:paraId="3A669EB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F93BAA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13.6.2 地表还原</w:t>
      </w:r>
    </w:p>
    <w:p w14:paraId="7D96EE5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7FD51F6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 竣工结算</w:t>
      </w:r>
    </w:p>
    <w:p w14:paraId="1DC9DA2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14.1 竣工结算申请</w:t>
      </w:r>
    </w:p>
    <w:p w14:paraId="4E23C33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除专用合同条款另有约定外，</w:t>
      </w:r>
      <w:r>
        <w:rPr>
          <w:rFonts w:hint="eastAsia" w:ascii="仿宋" w:hAnsi="仿宋" w:eastAsia="仿宋" w:cs="仿宋"/>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46CBBF2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除专用合同条款另有约定外，竣工结算申请单应包括以下内容：</w:t>
      </w:r>
    </w:p>
    <w:p w14:paraId="4497E20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（1）竣工结算合同价格；</w:t>
      </w:r>
    </w:p>
    <w:p w14:paraId="2043EEC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（2）发包人已支付承包人的款项；</w:t>
      </w:r>
    </w:p>
    <w:p w14:paraId="5BA718F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（3）应扣留的质量保证金；</w:t>
      </w:r>
    </w:p>
    <w:p w14:paraId="0F4E166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（4）发包人应支付承包人的合同价款。</w:t>
      </w:r>
    </w:p>
    <w:p w14:paraId="42C3D3F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14.2 竣工结算审核</w:t>
      </w:r>
    </w:p>
    <w:p w14:paraId="6CC332E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sz w:val="24"/>
          <w:szCs w:val="24"/>
          <w:highlight w:val="none"/>
        </w:rPr>
        <w:t>发包人对竣工</w:t>
      </w:r>
      <w:r>
        <w:rPr>
          <w:rFonts w:hint="eastAsia" w:ascii="仿宋" w:hAnsi="仿宋" w:eastAsia="仿宋" w:cs="仿宋"/>
          <w:kern w:val="0"/>
          <w:sz w:val="24"/>
          <w:szCs w:val="24"/>
          <w:highlight w:val="none"/>
        </w:rPr>
        <w:t>结算</w:t>
      </w:r>
      <w:r>
        <w:rPr>
          <w:rFonts w:hint="eastAsia" w:ascii="仿宋" w:hAnsi="仿宋" w:eastAsia="仿宋" w:cs="仿宋"/>
          <w:sz w:val="24"/>
          <w:szCs w:val="24"/>
          <w:highlight w:val="none"/>
        </w:rPr>
        <w:t>申请单有异议的，有权要求承包人进行修正和提供补充资料，承包人应提交修正后的竣工</w:t>
      </w:r>
      <w:r>
        <w:rPr>
          <w:rFonts w:hint="eastAsia" w:ascii="仿宋" w:hAnsi="仿宋" w:eastAsia="仿宋" w:cs="仿宋"/>
          <w:kern w:val="0"/>
          <w:sz w:val="24"/>
          <w:szCs w:val="24"/>
          <w:highlight w:val="none"/>
        </w:rPr>
        <w:t>结算</w:t>
      </w:r>
      <w:r>
        <w:rPr>
          <w:rFonts w:hint="eastAsia" w:ascii="仿宋" w:hAnsi="仿宋" w:eastAsia="仿宋" w:cs="仿宋"/>
          <w:sz w:val="24"/>
          <w:szCs w:val="24"/>
          <w:highlight w:val="none"/>
        </w:rPr>
        <w:t>申请单。</w:t>
      </w:r>
    </w:p>
    <w:p w14:paraId="5011FE1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E5AE58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7D1E0C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6AA2A0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14.3 甩项竣工协议</w:t>
      </w:r>
    </w:p>
    <w:p w14:paraId="5AD9D291">
      <w:pPr>
        <w:keepNext w:val="0"/>
        <w:keepLines w:val="0"/>
        <w:pageBreakBefore w:val="0"/>
        <w:widowControl w:val="0"/>
        <w:kinsoku/>
        <w:wordWrap/>
        <w:overflowPunct/>
        <w:topLinePunct w:val="0"/>
        <w:autoSpaceDE w:val="0"/>
        <w:autoSpaceDN w:val="0"/>
        <w:bidi w:val="0"/>
        <w:adjustRightInd w:val="0"/>
        <w:snapToGrid/>
        <w:spacing w:line="360" w:lineRule="auto"/>
        <w:ind w:firstLine="470" w:firstLineChars="196"/>
        <w:textAlignment w:val="auto"/>
        <w:rPr>
          <w:rFonts w:hint="eastAsia" w:ascii="仿宋" w:hAnsi="仿宋" w:eastAsia="仿宋" w:cs="仿宋"/>
          <w:kern w:val="0"/>
          <w:sz w:val="24"/>
          <w:szCs w:val="24"/>
          <w:highlight w:val="none"/>
        </w:rPr>
      </w:pPr>
      <w:r>
        <w:rPr>
          <w:rFonts w:hint="eastAsia" w:ascii="仿宋" w:hAnsi="仿宋" w:eastAsia="仿宋" w:cs="仿宋"/>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1E6FC31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14.4 最终结清</w:t>
      </w:r>
    </w:p>
    <w:p w14:paraId="4A8CBFA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14.4.1 最终结清申请单</w:t>
      </w:r>
    </w:p>
    <w:p w14:paraId="4902B0B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07566F6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w:t>
      </w:r>
      <w:r>
        <w:rPr>
          <w:rFonts w:hint="eastAsia" w:ascii="仿宋" w:hAnsi="仿宋" w:eastAsia="仿宋" w:cs="仿宋"/>
          <w:kern w:val="0"/>
          <w:sz w:val="24"/>
          <w:szCs w:val="24"/>
          <w:highlight w:val="none"/>
        </w:rPr>
        <w:t>最终结清申请单</w:t>
      </w:r>
      <w:r>
        <w:rPr>
          <w:rFonts w:hint="eastAsia" w:ascii="仿宋" w:hAnsi="仿宋" w:eastAsia="仿宋" w:cs="仿宋"/>
          <w:sz w:val="24"/>
          <w:szCs w:val="24"/>
          <w:highlight w:val="none"/>
        </w:rPr>
        <w:t>应列明质量保证金、应扣除的质量保证金、缺陷责任期内发生的增减费用。</w:t>
      </w:r>
    </w:p>
    <w:p w14:paraId="2814AD2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（2）发包人对最终结清申请单内容有异议的，有权要求承包人进行修正和提供补充资料，承包人应向发包人提交修正后的最终结清申请单。</w:t>
      </w:r>
    </w:p>
    <w:p w14:paraId="02AF9CF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14.4.2 最终结清证书和支付</w:t>
      </w:r>
    </w:p>
    <w:p w14:paraId="58C44B6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B49D5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8F35A6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（3）承包人对发包人颁发的最终结清证书有异议的，按第20条〔争议解决〕的约定办理。</w:t>
      </w:r>
    </w:p>
    <w:p w14:paraId="695825F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 缺陷责任与保修</w:t>
      </w:r>
    </w:p>
    <w:p w14:paraId="18DF247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15.1 工程保修的原则</w:t>
      </w:r>
    </w:p>
    <w:p w14:paraId="20FEFAE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28E1570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15.2 缺陷责任期</w:t>
      </w:r>
    </w:p>
    <w:p w14:paraId="60D82C1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15.2.1 缺陷责任期自实际竣工日期起计算，合同当事人应在专用合同条款约定缺陷责任期的具体期限，但该期限最长不超过24个月。</w:t>
      </w:r>
    </w:p>
    <w:p w14:paraId="11CC791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932963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26929F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7AE3F93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72E76E0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xml:space="preserve"> 保修</w:t>
      </w:r>
    </w:p>
    <w:p w14:paraId="33DFECB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.1保修责任</w:t>
      </w:r>
    </w:p>
    <w:p w14:paraId="7F689AC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F937C1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发包人未经竣工验收擅自使用工程的，保修期自</w:t>
      </w:r>
      <w:r>
        <w:rPr>
          <w:rFonts w:hint="eastAsia" w:ascii="仿宋" w:hAnsi="仿宋" w:eastAsia="仿宋" w:cs="仿宋"/>
          <w:kern w:val="0"/>
          <w:sz w:val="24"/>
          <w:szCs w:val="24"/>
          <w:highlight w:val="none"/>
        </w:rPr>
        <w:t>转移占有之日起算</w:t>
      </w:r>
      <w:r>
        <w:rPr>
          <w:rFonts w:hint="eastAsia" w:ascii="仿宋" w:hAnsi="仿宋" w:eastAsia="仿宋" w:cs="仿宋"/>
          <w:sz w:val="24"/>
          <w:szCs w:val="24"/>
          <w:highlight w:val="none"/>
        </w:rPr>
        <w:t>。</w:t>
      </w:r>
    </w:p>
    <w:p w14:paraId="3F3D3DB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.2 修复费用</w:t>
      </w:r>
    </w:p>
    <w:p w14:paraId="0A40C7C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保修期内，修复的费用按照以下约定处理：</w:t>
      </w:r>
    </w:p>
    <w:p w14:paraId="3FBC39C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（1）保修期内，因承包人原因造成工程的缺陷、损坏，承包人应负责修复，并承担修复的费用以及因工程的缺陷、损坏造成的人身伤害和财产损失；</w:t>
      </w:r>
    </w:p>
    <w:p w14:paraId="76650AA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（2）保修期内，因发包人使用不当造成工程的缺陷、损坏，可以委托承包人修复，但发包人应承担修复的费用；</w:t>
      </w:r>
    </w:p>
    <w:p w14:paraId="5D7409D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（3）因其他原因造成工程的缺陷、损坏，可以委托承包人修复，发包人应承担修复的费用，因工程的缺陷、损坏造成的人身伤害和财产损失由责任方承担。</w:t>
      </w:r>
    </w:p>
    <w:p w14:paraId="07E939F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.3 修复通知</w:t>
      </w:r>
    </w:p>
    <w:p w14:paraId="77622B3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C9A170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.4 未能修复</w:t>
      </w:r>
    </w:p>
    <w:p w14:paraId="491DFA8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8B5DF4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.5 承包人出入权</w:t>
      </w:r>
    </w:p>
    <w:p w14:paraId="6D35C03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45FDCC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 违约</w:t>
      </w:r>
    </w:p>
    <w:p w14:paraId="5A9E2D6E">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16.1 发包人违约</w:t>
      </w:r>
    </w:p>
    <w:p w14:paraId="4172C31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16.1.1 发包人违约的情形</w:t>
      </w:r>
    </w:p>
    <w:p w14:paraId="01D35F4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在合同履行过程中发生的下列情形，属于发包人违约：</w:t>
      </w:r>
    </w:p>
    <w:p w14:paraId="6119CA9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（1）因发包人原因未能在计划开工日期前7天内下达开工通知的；</w:t>
      </w:r>
    </w:p>
    <w:p w14:paraId="17F5568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（2）因发包人原因未能按合同约定支付合同价款的；</w:t>
      </w:r>
    </w:p>
    <w:p w14:paraId="652525F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（3）发包人违反第10.1款〔变更的范围〕第（2）项约定，自行实施被取消的工作或转由他人实施的；</w:t>
      </w:r>
    </w:p>
    <w:p w14:paraId="6F595F8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（4）发包人提供的材料、工程设备的规格、数量或质量不符合合同约定，或因发包人原因导致交货日期延误或交货地点变更等情况的；</w:t>
      </w:r>
    </w:p>
    <w:p w14:paraId="430FE91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（5）因发包人违反合同约定造成暂停施工的；</w:t>
      </w:r>
    </w:p>
    <w:p w14:paraId="1D24D85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（6）发包人无正当理由没有在约定期限内发出复工指示，导致承包人无法复工的；</w:t>
      </w:r>
    </w:p>
    <w:p w14:paraId="76AB0D9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（7）发包人明确表示或者以其行为表明不履行合同主要义务的；</w:t>
      </w:r>
    </w:p>
    <w:p w14:paraId="32E5DBF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（8）发包人未能按照合同约定履行其他义务的。</w:t>
      </w:r>
    </w:p>
    <w:p w14:paraId="5055829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64E4BC6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16.1.2 发包人违约的责任</w:t>
      </w:r>
    </w:p>
    <w:p w14:paraId="0700502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发包人应承担因其违约给承包人增加的费用和（或）延误的工期。此外，合同当事人可在专用合同条款中另行约定发包人违约责任的承担方式和计算方法。</w:t>
      </w:r>
    </w:p>
    <w:p w14:paraId="5CCED84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16.1.3 因发包人违约解除合同</w:t>
      </w:r>
    </w:p>
    <w:p w14:paraId="61D1847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7716CDF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16.1.4 因发包人违约解除合同后的付款</w:t>
      </w:r>
    </w:p>
    <w:p w14:paraId="30FB42C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承包人按照本款约定解除合同的，发包人应在解除合同后28天内支付下列款项，并解除履约担保：</w:t>
      </w:r>
    </w:p>
    <w:p w14:paraId="344EACE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（1）合同解除前所完成工作的价款；</w:t>
      </w:r>
    </w:p>
    <w:p w14:paraId="0C55B99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（2）承包人为工程施工订购并已付款的材料、工程设备和其他物品的价款；</w:t>
      </w:r>
    </w:p>
    <w:p w14:paraId="02B0AB2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（3）承包人撤离施工现场以及遣散承包人人员的款项；</w:t>
      </w:r>
    </w:p>
    <w:p w14:paraId="5F9EF5B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（4）按照合同约定在合同解除前应支付的违约金；</w:t>
      </w:r>
    </w:p>
    <w:p w14:paraId="7BDE46D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（5）按照合同约定应当支付给承包人的其他款项；</w:t>
      </w:r>
    </w:p>
    <w:p w14:paraId="668F3CC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（6）按照合同约定应退还的质量保证金；</w:t>
      </w:r>
    </w:p>
    <w:p w14:paraId="1B8CC7B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（7）因解除合同给承包人造成的损失。</w:t>
      </w:r>
    </w:p>
    <w:p w14:paraId="7D18833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合同当事人未能就解除合同后的结清达成一致的，按照第20条〔争议解决〕的约定处理。</w:t>
      </w:r>
    </w:p>
    <w:p w14:paraId="6EA96B6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758358B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16.2 承包人违约</w:t>
      </w:r>
    </w:p>
    <w:p w14:paraId="24C2404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16.2.1 承包人违约的情形</w:t>
      </w:r>
    </w:p>
    <w:p w14:paraId="6051543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在合同履行过程中发生的下列情形，属于承包人违约：</w:t>
      </w:r>
    </w:p>
    <w:p w14:paraId="0D15FCE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（1）承包人违反合同约定进行转包或违法分包的；</w:t>
      </w:r>
    </w:p>
    <w:p w14:paraId="3A62FD9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（2）承包人违反合同约定采购和使用不合格的材料和工程设备的；</w:t>
      </w:r>
    </w:p>
    <w:p w14:paraId="6B45078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（3）因承包人原因导致工程质量不符合合同要求的；</w:t>
      </w:r>
    </w:p>
    <w:p w14:paraId="71C1FD5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（4）承包人违反第8.9款〔材料与设备专用要求〕的约定，未经批准，私自将已按照合同约定进入施工现场的材料或设备撤离施工现场的；</w:t>
      </w:r>
    </w:p>
    <w:p w14:paraId="066F384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（5）承包人未能按施工进度计划及时完成合同约定的工作，造成工期延误的；</w:t>
      </w:r>
    </w:p>
    <w:p w14:paraId="31DDA78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（6）承包人在缺陷责任期及保修期内，未能在合理期限对工程缺陷进行修复，或拒绝按发包人要求进行修复的；</w:t>
      </w:r>
    </w:p>
    <w:p w14:paraId="50E30D8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（7）承包人明确表示或者以其行为表明不履行合同主要义务的；</w:t>
      </w:r>
    </w:p>
    <w:p w14:paraId="51D8F26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（8）承包人未能按照合同约定履行其他义务的。</w:t>
      </w:r>
    </w:p>
    <w:p w14:paraId="6AFA061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承包人发生除本项第（7）目约定以外的其他违约情况时，监理人可向承包人发出整改通知，要求其在指定的期限内改正。</w:t>
      </w:r>
    </w:p>
    <w:p w14:paraId="0601264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16.2.2 承包人违约的责任</w:t>
      </w:r>
    </w:p>
    <w:p w14:paraId="70CACA86">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承包人应承担因其违约行为而增加的费用和（或）延误的工期。此外，合同当事人可在专用合同条款中另行约定承包人违约责任的承担方式和计算方法。</w:t>
      </w:r>
    </w:p>
    <w:p w14:paraId="7A8C554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16.2.3 因承包人违约解除合同</w:t>
      </w:r>
    </w:p>
    <w:p w14:paraId="41B50D6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0A20DA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16.2.4因承包人违约解除合同后的处理</w:t>
      </w:r>
    </w:p>
    <w:p w14:paraId="14EDC76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因承包人原因导致合同解除的，则合同当事人应在合同解除后28天内完成估价、付款和清算，并按以下约定执行：</w:t>
      </w:r>
    </w:p>
    <w:p w14:paraId="37930EE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（1）合同解除后，按第4.4款〔商定或确定〕商定或确定承包人实际完成工作对应的合同价款，以及承包人已提供的材料、工程设备、施工设备和临时工程等的价值；</w:t>
      </w:r>
    </w:p>
    <w:p w14:paraId="03B50C2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（2）合同解除后，承包人应支付的违约金；</w:t>
      </w:r>
    </w:p>
    <w:p w14:paraId="416C19D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（3）合同解除后，因解除合同给发包人造成的损失；</w:t>
      </w:r>
    </w:p>
    <w:p w14:paraId="343BE3D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（4）合同解除后，承包人应按照发包人要求和监理人的指示完成现场的清理和撤离；</w:t>
      </w:r>
    </w:p>
    <w:p w14:paraId="6D7EC02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（5）发包人和承包人应在合同解除后进行清算，出具最终结清付款证书，结清全部款项。</w:t>
      </w:r>
    </w:p>
    <w:p w14:paraId="5048CD9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CA131C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16.2.5采购合同权益转让</w:t>
      </w:r>
    </w:p>
    <w:p w14:paraId="20635B0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BD6471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16.3 第三人造成的违约</w:t>
      </w:r>
    </w:p>
    <w:p w14:paraId="59C6438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3EA1F15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 不可抗力</w:t>
      </w:r>
    </w:p>
    <w:p w14:paraId="0972EFF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17.1 不可抗力的确认</w:t>
      </w:r>
    </w:p>
    <w:p w14:paraId="474178D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72862E9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88546C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17.2 不可抗力的通知</w:t>
      </w:r>
    </w:p>
    <w:p w14:paraId="365B403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799F7F8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03D7CC6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17.3 不可抗力后果的承担</w:t>
      </w:r>
    </w:p>
    <w:p w14:paraId="2FC7325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17.3.1 不可抗力引起的后果及造成的损失由合同当事人按照法律规定及合同约定各自承担。不可抗力发生前已完成的工程应当按照合同约定进行计量支付。</w:t>
      </w:r>
    </w:p>
    <w:p w14:paraId="4C7AB53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17.3.2 不可抗力导致的人员伤亡、财产损失、费用增加和（或）工期延误等后果，由合同当事人按以下原则承担：</w:t>
      </w:r>
    </w:p>
    <w:p w14:paraId="57BA3E9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（1）永久工程、已运至施工现场的材料和工程设备的损坏，以及因工程损坏造成的第三人人员伤亡和财产损失由发包人承担；</w:t>
      </w:r>
    </w:p>
    <w:p w14:paraId="72A37E9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（2）承包人施工设备的损坏由承包人承担；</w:t>
      </w:r>
    </w:p>
    <w:p w14:paraId="1C96B45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（3）发包人和承包人承担各自人员伤亡和财产的损失；</w:t>
      </w:r>
    </w:p>
    <w:p w14:paraId="24339DE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0600B3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（5）因不可抗力引起或将引起工期延误，发包人要求赶工的，由此增加的赶工费用由发包人承担；</w:t>
      </w:r>
    </w:p>
    <w:p w14:paraId="76D15D2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（6）承包人在停工期间按照发包人要求照管、清理和修复工程的费用由发包人承担。</w:t>
      </w:r>
    </w:p>
    <w:p w14:paraId="741AD7A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不可抗力发生后，合同当事人均应采取措施尽量避免和减少损失的扩大，任何一方当事人没有采取有效措施导致损失扩大的，应对扩大的损失承担责任。</w:t>
      </w:r>
    </w:p>
    <w:p w14:paraId="1B694978">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因合同一方迟延履行合同义务，在迟延履行期间遭遇不可抗力的，不免除其违约责任。</w:t>
      </w:r>
    </w:p>
    <w:p w14:paraId="6D0CEDC6">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17.4 因不可抗力解除合同</w:t>
      </w:r>
    </w:p>
    <w:p w14:paraId="581D8B4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5638F5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（1）合同解除前承包人已完成工作的价款；</w:t>
      </w:r>
    </w:p>
    <w:p w14:paraId="7A846F3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（2）承包人为工程订购的并已交付给承包人，或承包人有责任接受交付的材料、工程设备和其他物品的价款；</w:t>
      </w:r>
    </w:p>
    <w:p w14:paraId="6110450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（3）发包人要求承包人退货或解除订货合同而产生的费用，或因不能退货或解除合同而产生的损失；</w:t>
      </w:r>
    </w:p>
    <w:p w14:paraId="78B9D22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（4）承包人撤离施工现场以及遣散承包人人员的费用；</w:t>
      </w:r>
    </w:p>
    <w:p w14:paraId="49AD4E10">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（5）按照合同约定在合同解除前应支付给承包人的其他款项；</w:t>
      </w:r>
    </w:p>
    <w:p w14:paraId="118DF00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（6）扣减承包人按照合同约定应向发包人支付的款项；</w:t>
      </w:r>
    </w:p>
    <w:p w14:paraId="3702C6E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（7）双方商定或确定的其他款项。</w:t>
      </w:r>
    </w:p>
    <w:p w14:paraId="50FB7A7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除专用合同条款另有约定外，合同解除后，发包人应在商定或确定上述款项后28天内完成上述款项的支付。</w:t>
      </w:r>
    </w:p>
    <w:p w14:paraId="52885BA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 保险</w:t>
      </w:r>
    </w:p>
    <w:p w14:paraId="5ACF991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18.1 工程保险</w:t>
      </w:r>
    </w:p>
    <w:p w14:paraId="2A7133F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447DE835">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18.2 工伤保险</w:t>
      </w:r>
    </w:p>
    <w:p w14:paraId="4F2616A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4C1B609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1C4C31DD">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18.3其他保险</w:t>
      </w:r>
    </w:p>
    <w:p w14:paraId="3B5AB0A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2F7CA44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除专用合同条款另有约定外，承包人应为其施工设备等办理财产保险。</w:t>
      </w:r>
    </w:p>
    <w:p w14:paraId="553F54AB">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18.4持续保险</w:t>
      </w:r>
    </w:p>
    <w:p w14:paraId="21D39A21">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合同当事人应与保险人保持联系，使保险人能够随时了解工程实施中的变动，并确保按保险合同条款要求持续保险。</w:t>
      </w:r>
    </w:p>
    <w:p w14:paraId="449A8077">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18.5 保险凭证</w:t>
      </w:r>
    </w:p>
    <w:p w14:paraId="1DCDF4D8">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合同当事人应及时向另一方当事人提交其已投保的各项保险的凭证和保险单复印件。</w:t>
      </w:r>
    </w:p>
    <w:p w14:paraId="04EDEC42">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18.6 未按约定投保的补救</w:t>
      </w:r>
    </w:p>
    <w:p w14:paraId="65CD90FD">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4FD11D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2B413934">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18.7 通知义务</w:t>
      </w:r>
    </w:p>
    <w:p w14:paraId="4F86EF19">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EAF611B">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保险事故发生时，投保人应按照保险合同规定的条件和期限及时向保险人报告。发包人和承包人应当在知道保险事故发生后及时通知对方。</w:t>
      </w:r>
    </w:p>
    <w:p w14:paraId="7C45561A">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19. 索赔</w:t>
      </w:r>
    </w:p>
    <w:p w14:paraId="1D62241E">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19.1承包人的索赔</w:t>
      </w:r>
    </w:p>
    <w:p w14:paraId="63AA50D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根据合同约定，承包人认为有权得到追加付款和（或）延长工期的，应按以下程序向发包人提出索赔：</w:t>
      </w:r>
    </w:p>
    <w:p w14:paraId="7D001C72">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C3908B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2FD185D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591A020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（4）在索赔事件影响结束后28天内，承包人应向监理人递交最终索赔报告，说明最终要求索赔的追加付款金额和（或）延长的工期，并附必要的记录和证明材料。</w:t>
      </w:r>
    </w:p>
    <w:p w14:paraId="4CB3B2BA">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19.2 对承包人索赔的处理</w:t>
      </w:r>
    </w:p>
    <w:p w14:paraId="1EBC42F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对承包人索赔的处理如下：</w:t>
      </w:r>
    </w:p>
    <w:p w14:paraId="02FD7A3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（1）监理人应在收到索赔报告后14天内完成审查并报送发包人。监理人对索赔报告存在异议的，有权要求承包人提交全部原始记录副本；</w:t>
      </w:r>
    </w:p>
    <w:p w14:paraId="060FA64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2DDBA571">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（3）承包人接受索赔处理结果的，索赔款项在当期进度款中进行支付；承包人不接受索赔处理结果的，按照第20条〔争议解决〕约定处理。</w:t>
      </w:r>
    </w:p>
    <w:p w14:paraId="3EEAF135">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19.3发包人的索赔</w:t>
      </w:r>
    </w:p>
    <w:p w14:paraId="239A41B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根据合同约定，发包人认为有权得到赔付金额和（或）延长缺陷责任期的，监理人应向承包人发出通知并附有详细的证明。</w:t>
      </w:r>
    </w:p>
    <w:p w14:paraId="3FBC427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C817BE">
      <w:pPr>
        <w:keepNext w:val="0"/>
        <w:keepLines w:val="0"/>
        <w:pageBreakBefore w:val="0"/>
        <w:widowControl w:val="0"/>
        <w:kinsoku/>
        <w:wordWrap/>
        <w:overflowPunct/>
        <w:topLinePunct w:val="0"/>
        <w:bidi w:val="0"/>
        <w:snapToGrid/>
        <w:spacing w:line="360" w:lineRule="auto"/>
        <w:ind w:firstLine="420"/>
        <w:textAlignment w:val="auto"/>
        <w:outlineLvl w:val="9"/>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19.4 对发包人索赔的处理</w:t>
      </w:r>
    </w:p>
    <w:p w14:paraId="7EACDE5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对发包人索赔的处理如下：</w:t>
      </w:r>
    </w:p>
    <w:p w14:paraId="198B21E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（1）承包人收到发包人提交的索赔报告后，应及时审查索赔报告的内容、查验发包人证明材料；</w:t>
      </w:r>
    </w:p>
    <w:p w14:paraId="1F9F6AE4">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27DBF48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2CC0A5E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19.5 提出索赔的期限</w:t>
      </w:r>
    </w:p>
    <w:p w14:paraId="4A0F631F">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（1）承包人按第14.2款〔竣工结算审核〕约定接收竣工付款证书后，应被视为已无权再提出在工程接收证书颁发前所发生的任何索赔。</w:t>
      </w:r>
    </w:p>
    <w:p w14:paraId="29A0B80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（2）承包人按第14.4款〔最终结清〕提交的最终结清申请单中，只限于提出工程接收证书颁发后发生的索赔。提出索赔的期限自接受最终结清证书时终止。</w:t>
      </w:r>
    </w:p>
    <w:p w14:paraId="158CE86C">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 争议解决</w:t>
      </w:r>
    </w:p>
    <w:p w14:paraId="1C45152A">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20.1和解</w:t>
      </w:r>
    </w:p>
    <w:p w14:paraId="742F227B">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合同当事人可以就争议自行和解，自行和解达成协议的经双方签字并盖章后作为合同补充文件，双方均应遵照执行。</w:t>
      </w:r>
    </w:p>
    <w:p w14:paraId="19FA05D7">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20.2调解</w:t>
      </w:r>
    </w:p>
    <w:p w14:paraId="20973DD9">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13DFAE35">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20.3争议评审</w:t>
      </w:r>
    </w:p>
    <w:p w14:paraId="69D94F8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合同当事人在专用合同条款中约定采取争议评审方式解决争议以及评审规则，并按下列约定执行：</w:t>
      </w:r>
    </w:p>
    <w:p w14:paraId="152080FD">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20.3.1 争议评审小组的确定</w:t>
      </w:r>
    </w:p>
    <w:p w14:paraId="4FEFA6D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3F51BF7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458F934A">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除专用合同条款另有约定外，评审员报酬由发包人和承包人各承担一半。</w:t>
      </w:r>
    </w:p>
    <w:p w14:paraId="2B8754E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20.3.2 争议评审小组的决定</w:t>
      </w:r>
    </w:p>
    <w:p w14:paraId="75FEBACF">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C60E505">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20.3.3 争议评审小组决定的效力</w:t>
      </w:r>
    </w:p>
    <w:p w14:paraId="7375A9BE">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争议评审小组作出的书面决定经合同当事人签字确认后，对双方具有约束力，双方应遵照执行。</w:t>
      </w:r>
    </w:p>
    <w:p w14:paraId="2F635D87">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任何一方当事人不接受争议评审小组决定或不履行争议评审小组决定的，双方可选择采用其他争议解决方式。</w:t>
      </w:r>
    </w:p>
    <w:p w14:paraId="79C2B3B3">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20.4仲裁或诉讼</w:t>
      </w:r>
    </w:p>
    <w:p w14:paraId="22B6942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因合同及合同有关事项产生的争议，合同当事人可以在专用合同条款中约定以下一种方式解决争议：</w:t>
      </w:r>
    </w:p>
    <w:p w14:paraId="08DAB16C">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（1）向约定的仲裁委员会申请仲裁；</w:t>
      </w:r>
    </w:p>
    <w:p w14:paraId="4CF65380">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（2）向有管辖权的人民法院起诉。</w:t>
      </w:r>
    </w:p>
    <w:p w14:paraId="6A5D8CC4">
      <w:pPr>
        <w:keepNext w:val="0"/>
        <w:keepLines w:val="0"/>
        <w:pageBreakBefore w:val="0"/>
        <w:widowControl w:val="0"/>
        <w:kinsoku/>
        <w:wordWrap/>
        <w:overflowPunct/>
        <w:topLinePunct w:val="0"/>
        <w:bidi w:val="0"/>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20.5争议解决条款效力</w:t>
      </w:r>
    </w:p>
    <w:p w14:paraId="202171A3">
      <w:pPr>
        <w:keepNext w:val="0"/>
        <w:keepLines w:val="0"/>
        <w:pageBreakBefore w:val="0"/>
        <w:widowControl w:val="0"/>
        <w:kinsoku/>
        <w:wordWrap/>
        <w:overflowPunct/>
        <w:topLinePunct w:val="0"/>
        <w:autoSpaceDE w:val="0"/>
        <w:autoSpaceDN w:val="0"/>
        <w:bidi w:val="0"/>
        <w:adjustRightInd w:val="0"/>
        <w:snapToGrid/>
        <w:spacing w:line="360" w:lineRule="auto"/>
        <w:ind w:firstLine="42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合同有关争议解决的条款独立存在，合同的变更、解除、终止、无效或者被撤销均不影响其效力。</w:t>
      </w:r>
    </w:p>
    <w:p w14:paraId="07C48FE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9"/>
        <w:rPr>
          <w:rFonts w:hint="eastAsia" w:ascii="仿宋" w:hAnsi="仿宋" w:eastAsia="仿宋" w:cs="仿宋"/>
          <w:color w:val="auto"/>
          <w:sz w:val="31"/>
          <w:szCs w:val="31"/>
        </w:rPr>
      </w:pPr>
      <w:r>
        <w:rPr>
          <w:rFonts w:hint="eastAsia" w:ascii="仿宋" w:hAnsi="仿宋" w:eastAsia="仿宋" w:cs="仿宋"/>
          <w:b/>
          <w:bCs/>
          <w:color w:val="auto"/>
          <w:spacing w:val="6"/>
          <w:sz w:val="31"/>
          <w:szCs w:val="31"/>
        </w:rPr>
        <w:br w:type="page"/>
      </w:r>
      <w:r>
        <w:rPr>
          <w:rFonts w:hint="eastAsia" w:ascii="仿宋" w:hAnsi="仿宋" w:eastAsia="仿宋" w:cs="仿宋"/>
          <w:b/>
          <w:bCs/>
          <w:color w:val="auto"/>
          <w:spacing w:val="6"/>
          <w:sz w:val="24"/>
          <w:szCs w:val="24"/>
        </w:rPr>
        <w:t>第三部分</w:t>
      </w:r>
      <w:r>
        <w:rPr>
          <w:rFonts w:hint="eastAsia" w:ascii="仿宋" w:hAnsi="仿宋" w:eastAsia="仿宋" w:cs="仿宋"/>
          <w:color w:val="auto"/>
          <w:spacing w:val="6"/>
          <w:sz w:val="24"/>
          <w:szCs w:val="24"/>
        </w:rPr>
        <w:t xml:space="preserve"> </w:t>
      </w:r>
      <w:r>
        <w:rPr>
          <w:rFonts w:hint="eastAsia" w:ascii="仿宋" w:hAnsi="仿宋" w:eastAsia="仿宋" w:cs="仿宋"/>
          <w:b/>
          <w:bCs/>
          <w:color w:val="auto"/>
          <w:spacing w:val="6"/>
          <w:sz w:val="24"/>
          <w:szCs w:val="24"/>
        </w:rPr>
        <w:t>专用合同条款</w:t>
      </w:r>
    </w:p>
    <w:p w14:paraId="50A90038">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1.</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6"/>
          <w:sz w:val="24"/>
          <w:szCs w:val="24"/>
        </w:rPr>
        <w:t>一般约定</w:t>
      </w:r>
    </w:p>
    <w:p w14:paraId="335D24AF">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5"/>
          <w:sz w:val="24"/>
          <w:szCs w:val="24"/>
        </w:rPr>
        <w:t>1.1</w:t>
      </w:r>
      <w:r>
        <w:rPr>
          <w:rFonts w:hint="eastAsia" w:ascii="仿宋" w:hAnsi="仿宋" w:eastAsia="仿宋" w:cs="仿宋"/>
          <w:color w:val="auto"/>
          <w:spacing w:val="11"/>
          <w:sz w:val="24"/>
          <w:szCs w:val="24"/>
        </w:rPr>
        <w:t xml:space="preserve"> </w:t>
      </w:r>
      <w:r>
        <w:rPr>
          <w:rFonts w:hint="eastAsia" w:ascii="仿宋" w:hAnsi="仿宋" w:eastAsia="仿宋" w:cs="仿宋"/>
          <w:color w:val="auto"/>
          <w:spacing w:val="-5"/>
          <w:sz w:val="24"/>
          <w:szCs w:val="24"/>
        </w:rPr>
        <w:t>词语定义</w:t>
      </w:r>
    </w:p>
    <w:p w14:paraId="7EC2351C">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5"/>
          <w:sz w:val="24"/>
          <w:szCs w:val="24"/>
        </w:rPr>
        <w:t>1.1.1</w:t>
      </w:r>
      <w:r>
        <w:rPr>
          <w:rFonts w:hint="eastAsia" w:ascii="仿宋" w:hAnsi="仿宋" w:eastAsia="仿宋" w:cs="仿宋"/>
          <w:color w:val="auto"/>
          <w:spacing w:val="-45"/>
          <w:sz w:val="24"/>
          <w:szCs w:val="24"/>
        </w:rPr>
        <w:t xml:space="preserve"> </w:t>
      </w:r>
      <w:r>
        <w:rPr>
          <w:rFonts w:hint="eastAsia" w:ascii="仿宋" w:hAnsi="仿宋" w:eastAsia="仿宋" w:cs="仿宋"/>
          <w:color w:val="auto"/>
          <w:spacing w:val="-5"/>
          <w:sz w:val="24"/>
          <w:szCs w:val="24"/>
        </w:rPr>
        <w:t>合同</w:t>
      </w:r>
    </w:p>
    <w:p w14:paraId="14A1A25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1.1.1.10</w:t>
      </w:r>
      <w:r>
        <w:rPr>
          <w:rFonts w:hint="eastAsia" w:ascii="仿宋" w:hAnsi="仿宋" w:eastAsia="仿宋" w:cs="仿宋"/>
          <w:color w:val="auto"/>
          <w:spacing w:val="-27"/>
          <w:sz w:val="24"/>
          <w:szCs w:val="24"/>
        </w:rPr>
        <w:t xml:space="preserve"> </w:t>
      </w:r>
      <w:r>
        <w:rPr>
          <w:rFonts w:hint="eastAsia" w:ascii="仿宋" w:hAnsi="仿宋" w:eastAsia="仿宋" w:cs="仿宋"/>
          <w:color w:val="auto"/>
          <w:spacing w:val="-2"/>
          <w:sz w:val="24"/>
          <w:szCs w:val="24"/>
        </w:rPr>
        <w:t>其他合同文件包括：</w:t>
      </w:r>
      <w:r>
        <w:rPr>
          <w:rFonts w:hint="eastAsia" w:ascii="仿宋" w:hAnsi="仿宋" w:eastAsia="仿宋" w:cs="仿宋"/>
          <w:color w:val="auto"/>
          <w:spacing w:val="-2"/>
          <w:sz w:val="24"/>
          <w:szCs w:val="24"/>
          <w:u w:val="single" w:color="auto"/>
        </w:rPr>
        <w:t>①本合同协议书；</w:t>
      </w:r>
      <w:r>
        <w:rPr>
          <w:rFonts w:hint="eastAsia" w:ascii="仿宋" w:hAnsi="仿宋" w:eastAsia="仿宋" w:cs="仿宋"/>
          <w:color w:val="auto"/>
          <w:spacing w:val="-1"/>
          <w:sz w:val="24"/>
          <w:szCs w:val="24"/>
          <w:u w:val="single" w:color="auto"/>
        </w:rPr>
        <w:t>②本合同专用条款；③本合同通用条款；④成交通知书；⑤</w:t>
      </w:r>
      <w:r>
        <w:rPr>
          <w:rFonts w:hint="eastAsia" w:ascii="仿宋" w:hAnsi="仿宋" w:eastAsia="仿宋" w:cs="仿宋"/>
          <w:color w:val="auto"/>
          <w:spacing w:val="-1"/>
          <w:sz w:val="24"/>
          <w:szCs w:val="24"/>
          <w:u w:val="single" w:color="auto"/>
          <w:lang w:val="en-US" w:eastAsia="zh-CN"/>
        </w:rPr>
        <w:t>响应</w:t>
      </w:r>
      <w:r>
        <w:rPr>
          <w:rFonts w:hint="eastAsia" w:ascii="仿宋" w:hAnsi="仿宋" w:eastAsia="仿宋" w:cs="仿宋"/>
          <w:color w:val="auto"/>
          <w:spacing w:val="-1"/>
          <w:sz w:val="24"/>
          <w:szCs w:val="24"/>
          <w:u w:val="single" w:color="auto"/>
        </w:rPr>
        <w:t>文件及报价函；⑥磋商文件；</w:t>
      </w:r>
      <w:r>
        <w:rPr>
          <w:rFonts w:hint="eastAsia" w:ascii="仿宋" w:hAnsi="仿宋" w:eastAsia="仿宋" w:cs="仿宋"/>
          <w:color w:val="auto"/>
          <w:spacing w:val="-2"/>
          <w:sz w:val="24"/>
          <w:szCs w:val="24"/>
          <w:u w:val="single" w:color="auto"/>
        </w:rPr>
        <w:t>⑦图纸；</w:t>
      </w:r>
      <w:r>
        <w:rPr>
          <w:rFonts w:hint="eastAsia" w:ascii="仿宋" w:hAnsi="仿宋" w:eastAsia="仿宋" w:cs="仿宋"/>
          <w:color w:val="auto"/>
          <w:spacing w:val="-1"/>
          <w:sz w:val="24"/>
          <w:szCs w:val="24"/>
          <w:u w:val="single" w:color="auto"/>
        </w:rPr>
        <w:t>⑧标准、规范及有关技术文件</w:t>
      </w:r>
      <w:r>
        <w:rPr>
          <w:rFonts w:hint="eastAsia" w:ascii="仿宋" w:hAnsi="仿宋" w:eastAsia="仿宋" w:cs="仿宋"/>
          <w:color w:val="auto"/>
          <w:spacing w:val="-1"/>
          <w:sz w:val="24"/>
          <w:szCs w:val="24"/>
        </w:rPr>
        <w:t>。</w:t>
      </w:r>
    </w:p>
    <w:p w14:paraId="6AA19B6C">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pacing w:val="-4"/>
          <w:sz w:val="24"/>
          <w:szCs w:val="24"/>
        </w:rPr>
      </w:pPr>
      <w:r>
        <w:rPr>
          <w:rFonts w:hint="eastAsia" w:ascii="仿宋" w:hAnsi="仿宋" w:eastAsia="仿宋" w:cs="仿宋"/>
          <w:color w:val="auto"/>
          <w:sz w:val="24"/>
          <w:szCs w:val="24"/>
        </w:rPr>
        <w:t>合同履行中，发包人承包人有关工程的洽商、变更等书面协议或文件视为本合同的组成</w:t>
      </w:r>
      <w:r>
        <w:rPr>
          <w:rFonts w:hint="eastAsia" w:ascii="仿宋" w:hAnsi="仿宋" w:eastAsia="仿宋" w:cs="仿宋"/>
          <w:color w:val="auto"/>
          <w:spacing w:val="-4"/>
          <w:sz w:val="24"/>
          <w:szCs w:val="24"/>
        </w:rPr>
        <w:t>部分。</w:t>
      </w:r>
    </w:p>
    <w:p w14:paraId="4B899BA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1.1.2 合同当事人及其他相关方</w:t>
      </w:r>
    </w:p>
    <w:p w14:paraId="532D150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1.1.2.4监理人：</w:t>
      </w:r>
    </w:p>
    <w:p w14:paraId="5DBB868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w:t>
      </w:r>
    </w:p>
    <w:p w14:paraId="76FB42F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资质类别和等级：</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 xml:space="preserve"> ；</w:t>
      </w:r>
    </w:p>
    <w:p w14:paraId="6B0024C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w:t>
      </w:r>
    </w:p>
    <w:p w14:paraId="43AB455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电子信箱：</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w:t>
      </w:r>
    </w:p>
    <w:p w14:paraId="36BF52B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通信地址：</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129FDEF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1.1.2.5 设计人：</w:t>
      </w:r>
    </w:p>
    <w:p w14:paraId="3427C4B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w:t>
      </w:r>
    </w:p>
    <w:p w14:paraId="3A5620EC">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资质类别和等级：</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w:t>
      </w:r>
    </w:p>
    <w:p w14:paraId="751D463C">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rPr>
        <w:t xml:space="preserve">   另行通知    </w:t>
      </w:r>
      <w:r>
        <w:rPr>
          <w:rFonts w:hint="eastAsia" w:ascii="仿宋" w:hAnsi="仿宋" w:eastAsia="仿宋" w:cs="仿宋"/>
          <w:color w:val="auto"/>
          <w:sz w:val="24"/>
          <w:szCs w:val="24"/>
        </w:rPr>
        <w:t>；</w:t>
      </w:r>
    </w:p>
    <w:p w14:paraId="5D7D157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电子信箱：</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22418813">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通信地址：</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4A08AA0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1.1.3 工程和设备</w:t>
      </w:r>
    </w:p>
    <w:p w14:paraId="6241899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1.1.3.7 作为施工现场组成部分的其他场所包括：</w:t>
      </w:r>
      <w:r>
        <w:rPr>
          <w:rFonts w:hint="eastAsia" w:ascii="仿宋" w:hAnsi="仿宋" w:eastAsia="仿宋" w:cs="仿宋"/>
          <w:color w:val="auto"/>
          <w:sz w:val="24"/>
          <w:szCs w:val="24"/>
          <w:u w:val="single"/>
        </w:rPr>
        <w:t>以发包人确定的施工组织为准</w:t>
      </w:r>
      <w:r>
        <w:rPr>
          <w:rFonts w:hint="eastAsia" w:ascii="仿宋" w:hAnsi="仿宋" w:eastAsia="仿宋" w:cs="仿宋"/>
          <w:color w:val="auto"/>
          <w:sz w:val="24"/>
          <w:szCs w:val="24"/>
        </w:rPr>
        <w:t>。</w:t>
      </w:r>
    </w:p>
    <w:p w14:paraId="1EA7DF8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1.1.3.9 永久占地包括：</w:t>
      </w:r>
      <w:r>
        <w:rPr>
          <w:rFonts w:hint="eastAsia" w:ascii="仿宋" w:hAnsi="仿宋" w:eastAsia="仿宋" w:cs="仿宋"/>
          <w:color w:val="auto"/>
          <w:sz w:val="24"/>
          <w:szCs w:val="24"/>
          <w:u w:val="single"/>
        </w:rPr>
        <w:t>以工程建设审批为准</w:t>
      </w:r>
      <w:r>
        <w:rPr>
          <w:rFonts w:hint="eastAsia" w:ascii="仿宋" w:hAnsi="仿宋" w:eastAsia="仿宋" w:cs="仿宋"/>
          <w:color w:val="auto"/>
          <w:sz w:val="24"/>
          <w:szCs w:val="24"/>
        </w:rPr>
        <w:t>。</w:t>
      </w:r>
    </w:p>
    <w:p w14:paraId="6C8315A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1.1.3.10 临时占地包括：</w:t>
      </w:r>
      <w:r>
        <w:rPr>
          <w:rFonts w:hint="eastAsia" w:ascii="仿宋" w:hAnsi="仿宋" w:eastAsia="仿宋" w:cs="仿宋"/>
          <w:color w:val="auto"/>
          <w:sz w:val="24"/>
          <w:szCs w:val="24"/>
          <w:u w:val="single"/>
        </w:rPr>
        <w:t>发包人为建设本合同工程临时提供，承包人在完工后按照合同需归还的场地</w:t>
      </w:r>
      <w:r>
        <w:rPr>
          <w:rFonts w:hint="eastAsia" w:ascii="仿宋" w:hAnsi="仿宋" w:eastAsia="仿宋" w:cs="仿宋"/>
          <w:color w:val="auto"/>
          <w:sz w:val="24"/>
          <w:szCs w:val="24"/>
        </w:rPr>
        <w:t>。</w:t>
      </w:r>
    </w:p>
    <w:p w14:paraId="4D02B0F3">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1.3 法律</w:t>
      </w:r>
    </w:p>
    <w:p w14:paraId="5446F83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适用于合同的其他规范性文件：</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0117CF9C">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1.4 标准和规范</w:t>
      </w:r>
    </w:p>
    <w:p w14:paraId="24BA143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1.4.1</w:t>
      </w:r>
      <w:r>
        <w:rPr>
          <w:rFonts w:hint="eastAsia" w:ascii="仿宋" w:hAnsi="仿宋" w:eastAsia="仿宋" w:cs="仿宋"/>
          <w:color w:val="auto"/>
          <w:spacing w:val="-49"/>
          <w:sz w:val="24"/>
          <w:szCs w:val="24"/>
        </w:rPr>
        <w:t xml:space="preserve"> </w:t>
      </w:r>
      <w:r>
        <w:rPr>
          <w:rFonts w:hint="eastAsia" w:ascii="仿宋" w:hAnsi="仿宋" w:eastAsia="仿宋" w:cs="仿宋"/>
          <w:color w:val="auto"/>
          <w:spacing w:val="-1"/>
          <w:sz w:val="24"/>
          <w:szCs w:val="24"/>
        </w:rPr>
        <w:t>适用于工程的标准规范包括：</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u w:val="single" w:color="auto"/>
          <w:lang w:val="en-US" w:eastAsia="zh-CN"/>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57AAEDA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1.4.2 发包人提供国外标准、规范的名称：</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u w:val="single"/>
        </w:rPr>
        <w:t>/</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rPr>
        <w:t>；</w:t>
      </w:r>
    </w:p>
    <w:p w14:paraId="08DE061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发包人提供国外标准、规范的份数：</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u w:val="single"/>
        </w:rPr>
        <w:t>/</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rPr>
        <w:t>；</w:t>
      </w:r>
    </w:p>
    <w:p w14:paraId="4AF3EB6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发包人提供国外标准、规范的名称：</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u w:val="single"/>
        </w:rPr>
        <w:t>/</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rPr>
        <w:t>。</w:t>
      </w:r>
    </w:p>
    <w:p w14:paraId="66E733C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1.4.3</w:t>
      </w:r>
      <w:r>
        <w:rPr>
          <w:rFonts w:hint="eastAsia" w:ascii="仿宋" w:hAnsi="仿宋" w:eastAsia="仿宋" w:cs="仿宋"/>
          <w:color w:val="auto"/>
          <w:spacing w:val="-41"/>
          <w:sz w:val="24"/>
          <w:szCs w:val="24"/>
        </w:rPr>
        <w:t xml:space="preserve"> </w:t>
      </w:r>
      <w:r>
        <w:rPr>
          <w:rFonts w:hint="eastAsia" w:ascii="仿宋" w:hAnsi="仿宋" w:eastAsia="仿宋" w:cs="仿宋"/>
          <w:color w:val="auto"/>
          <w:spacing w:val="-1"/>
          <w:sz w:val="24"/>
          <w:szCs w:val="24"/>
        </w:rPr>
        <w:t>发包人对工程的技术标准和功能要求的特殊要求：</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u w:val="single" w:color="auto"/>
          <w:lang w:val="en-US" w:eastAsia="zh-CN"/>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75DF42E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1.5 合同文件的优先顺序</w:t>
      </w:r>
    </w:p>
    <w:p w14:paraId="38169FA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合同文件组成及优先顺序为：</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6B88D3E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1.6 图纸和承包人文件</w:t>
      </w:r>
    </w:p>
    <w:p w14:paraId="2DDAC88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1.6.1 图纸的提供</w:t>
      </w:r>
    </w:p>
    <w:p w14:paraId="60C2038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发包人向承包人提供图纸的期限：</w:t>
      </w:r>
      <w:r>
        <w:rPr>
          <w:rFonts w:hint="eastAsia" w:ascii="仿宋" w:hAnsi="仿宋" w:eastAsia="仿宋" w:cs="仿宋"/>
          <w:color w:val="auto"/>
          <w:spacing w:val="-1"/>
          <w:sz w:val="24"/>
          <w:szCs w:val="24"/>
          <w:u w:val="single"/>
        </w:rPr>
        <w:t>开工前发包人向承包人提供全套施工图；</w:t>
      </w:r>
    </w:p>
    <w:p w14:paraId="68644FB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default" w:ascii="仿宋" w:hAnsi="仿宋" w:eastAsia="仿宋" w:cs="仿宋"/>
          <w:color w:val="auto"/>
          <w:spacing w:val="-1"/>
          <w:sz w:val="24"/>
          <w:szCs w:val="24"/>
          <w:u w:val="single"/>
          <w:lang w:val="en-US" w:eastAsia="zh-CN"/>
        </w:rPr>
      </w:pPr>
      <w:r>
        <w:rPr>
          <w:rFonts w:hint="eastAsia" w:ascii="仿宋" w:hAnsi="仿宋" w:eastAsia="仿宋" w:cs="仿宋"/>
          <w:color w:val="auto"/>
          <w:spacing w:val="-1"/>
          <w:sz w:val="24"/>
          <w:szCs w:val="24"/>
        </w:rPr>
        <w:t>发包人向承包人提供图纸的数量：</w:t>
      </w:r>
      <w:r>
        <w:rPr>
          <w:rFonts w:hint="eastAsia" w:ascii="仿宋" w:hAnsi="仿宋" w:eastAsia="仿宋" w:cs="仿宋"/>
          <w:color w:val="auto"/>
          <w:spacing w:val="-1"/>
          <w:sz w:val="24"/>
          <w:szCs w:val="24"/>
          <w:u w:val="single"/>
          <w:lang w:val="en-US" w:eastAsia="zh-CN"/>
        </w:rPr>
        <w:t xml:space="preserve">           </w:t>
      </w:r>
    </w:p>
    <w:p w14:paraId="6731A44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1.6.2 图纸的错误</w:t>
      </w:r>
    </w:p>
    <w:p w14:paraId="51E3FF0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u w:val="single"/>
        </w:rPr>
      </w:pPr>
      <w:r>
        <w:rPr>
          <w:rFonts w:hint="eastAsia" w:ascii="仿宋" w:hAnsi="仿宋" w:eastAsia="仿宋" w:cs="仿宋"/>
          <w:color w:val="auto"/>
          <w:spacing w:val="-1"/>
          <w:sz w:val="24"/>
          <w:szCs w:val="24"/>
          <w:u w:val="single"/>
        </w:rPr>
        <w:t>承包人应在图纸提供后7天内，将其认为相关图纸中可能存在的任何缺陷、遗漏或不足，以书面形式呈报监理工程师和发包人。承包人未尽审查义务造成任何损失的，由承包人承担全部责任。</w:t>
      </w:r>
    </w:p>
    <w:p w14:paraId="765CF51C">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发包人向承包人提供图纸的内容：</w:t>
      </w:r>
      <w:r>
        <w:rPr>
          <w:rFonts w:hint="eastAsia" w:ascii="仿宋" w:hAnsi="仿宋" w:eastAsia="仿宋" w:cs="仿宋"/>
          <w:color w:val="auto"/>
          <w:spacing w:val="-1"/>
          <w:sz w:val="24"/>
          <w:szCs w:val="24"/>
          <w:u w:val="single"/>
        </w:rPr>
        <w:t>同</w:t>
      </w:r>
      <w:r>
        <w:rPr>
          <w:rFonts w:hint="eastAsia" w:ascii="仿宋" w:hAnsi="仿宋" w:eastAsia="仿宋" w:cs="仿宋"/>
          <w:color w:val="auto"/>
          <w:spacing w:val="-1"/>
          <w:sz w:val="24"/>
          <w:szCs w:val="24"/>
          <w:u w:val="single"/>
          <w:lang w:val="en-US" w:eastAsia="zh-CN"/>
        </w:rPr>
        <w:t>磋商</w:t>
      </w:r>
      <w:r>
        <w:rPr>
          <w:rFonts w:hint="eastAsia" w:ascii="仿宋" w:hAnsi="仿宋" w:eastAsia="仿宋" w:cs="仿宋"/>
          <w:color w:val="auto"/>
          <w:spacing w:val="-1"/>
          <w:sz w:val="24"/>
          <w:szCs w:val="24"/>
          <w:u w:val="single"/>
        </w:rPr>
        <w:t>文件。</w:t>
      </w:r>
    </w:p>
    <w:p w14:paraId="6893866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1.6.4 承包人文件</w:t>
      </w:r>
    </w:p>
    <w:p w14:paraId="10CC276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需要由承包人提供的文件，包括：</w:t>
      </w:r>
      <w:r>
        <w:rPr>
          <w:rFonts w:hint="eastAsia" w:ascii="仿宋" w:hAnsi="仿宋" w:eastAsia="仿宋" w:cs="仿宋"/>
          <w:color w:val="auto"/>
          <w:spacing w:val="-1"/>
          <w:sz w:val="24"/>
          <w:szCs w:val="24"/>
          <w:u w:val="single"/>
        </w:rPr>
        <w:t>开工报告、施工总进度计划、详细工程进度计划、工作量报表、施工用电、用水计划等；资金计划、材料和施工机械进场计划、施工组织设计、（专项）施工方案、季度资金计划、每月农民工进出场统计表、月度农民工工资发放记录台账、材料设备招标及进场计划；</w:t>
      </w:r>
    </w:p>
    <w:p w14:paraId="36ED62D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1.6.5 现场图纸准备</w:t>
      </w:r>
    </w:p>
    <w:p w14:paraId="3426DA5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关于现场图纸准备的约定：</w:t>
      </w:r>
      <w:r>
        <w:rPr>
          <w:rFonts w:hint="eastAsia" w:ascii="仿宋" w:hAnsi="仿宋" w:eastAsia="仿宋" w:cs="仿宋"/>
          <w:color w:val="auto"/>
          <w:spacing w:val="-1"/>
          <w:sz w:val="24"/>
          <w:szCs w:val="24"/>
          <w:u w:val="single"/>
        </w:rPr>
        <w:t xml:space="preserve">  / </w:t>
      </w:r>
      <w:r>
        <w:rPr>
          <w:rFonts w:hint="eastAsia" w:ascii="仿宋" w:hAnsi="仿宋" w:eastAsia="仿宋" w:cs="仿宋"/>
          <w:color w:val="auto"/>
          <w:spacing w:val="-1"/>
          <w:sz w:val="24"/>
          <w:szCs w:val="24"/>
        </w:rPr>
        <w:t xml:space="preserve"> 。</w:t>
      </w:r>
    </w:p>
    <w:p w14:paraId="4FA57BE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1.7 联络</w:t>
      </w:r>
    </w:p>
    <w:p w14:paraId="21490FA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1.7.1发包人和承包人应当在</w:t>
      </w:r>
      <w:r>
        <w:rPr>
          <w:rFonts w:hint="eastAsia" w:ascii="仿宋" w:hAnsi="仿宋" w:eastAsia="仿宋" w:cs="仿宋"/>
          <w:color w:val="auto"/>
          <w:spacing w:val="-1"/>
          <w:sz w:val="24"/>
          <w:szCs w:val="24"/>
          <w:u w:val="single"/>
        </w:rPr>
        <w:t xml:space="preserve"> 7 </w:t>
      </w:r>
      <w:r>
        <w:rPr>
          <w:rFonts w:hint="eastAsia" w:ascii="仿宋" w:hAnsi="仿宋" w:eastAsia="仿宋" w:cs="仿宋"/>
          <w:color w:val="auto"/>
          <w:spacing w:val="-1"/>
          <w:sz w:val="24"/>
          <w:szCs w:val="24"/>
        </w:rPr>
        <w:t>天内将与合同有关的通知、批准、证明、证书、指示、指令、要求、请求、同意、意见、确定和决定等书面函件送达对方当事人。</w:t>
      </w:r>
    </w:p>
    <w:p w14:paraId="2A35175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1.7.2 发包人接收文件的地点：工程所在地；</w:t>
      </w:r>
    </w:p>
    <w:p w14:paraId="0D932F9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发包人指定的接收人为：</w:t>
      </w:r>
      <w:r>
        <w:rPr>
          <w:rFonts w:hint="eastAsia" w:ascii="仿宋" w:hAnsi="仿宋" w:eastAsia="仿宋" w:cs="仿宋"/>
          <w:color w:val="auto"/>
          <w:spacing w:val="-1"/>
          <w:sz w:val="24"/>
          <w:szCs w:val="24"/>
          <w:u w:val="single"/>
        </w:rPr>
        <w:t>发包人代表</w:t>
      </w:r>
      <w:r>
        <w:rPr>
          <w:rFonts w:hint="eastAsia" w:ascii="仿宋" w:hAnsi="仿宋" w:eastAsia="仿宋" w:cs="仿宋"/>
          <w:color w:val="auto"/>
          <w:spacing w:val="-1"/>
          <w:sz w:val="24"/>
          <w:szCs w:val="24"/>
        </w:rPr>
        <w:t>；</w:t>
      </w:r>
    </w:p>
    <w:p w14:paraId="5DC606D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承包人接收文件的地点：</w:t>
      </w:r>
      <w:r>
        <w:rPr>
          <w:rFonts w:hint="eastAsia" w:ascii="仿宋" w:hAnsi="仿宋" w:eastAsia="仿宋" w:cs="仿宋"/>
          <w:color w:val="auto"/>
          <w:spacing w:val="-1"/>
          <w:sz w:val="24"/>
          <w:szCs w:val="24"/>
          <w:u w:val="single"/>
        </w:rPr>
        <w:t>工程所在地</w:t>
      </w:r>
      <w:r>
        <w:rPr>
          <w:rFonts w:hint="eastAsia" w:ascii="仿宋" w:hAnsi="仿宋" w:eastAsia="仿宋" w:cs="仿宋"/>
          <w:color w:val="auto"/>
          <w:spacing w:val="-1"/>
          <w:sz w:val="24"/>
          <w:szCs w:val="24"/>
        </w:rPr>
        <w:t>；</w:t>
      </w:r>
    </w:p>
    <w:p w14:paraId="40E6A11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承包人指定的接收人为：</w:t>
      </w:r>
      <w:r>
        <w:rPr>
          <w:rFonts w:hint="eastAsia" w:ascii="仿宋" w:hAnsi="仿宋" w:eastAsia="仿宋" w:cs="仿宋"/>
          <w:color w:val="auto"/>
          <w:spacing w:val="-1"/>
          <w:sz w:val="24"/>
          <w:szCs w:val="24"/>
          <w:u w:val="single"/>
        </w:rPr>
        <w:t>项目经理</w:t>
      </w:r>
      <w:r>
        <w:rPr>
          <w:rFonts w:hint="eastAsia" w:ascii="仿宋" w:hAnsi="仿宋" w:eastAsia="仿宋" w:cs="仿宋"/>
          <w:color w:val="auto"/>
          <w:spacing w:val="-1"/>
          <w:sz w:val="24"/>
          <w:szCs w:val="24"/>
        </w:rPr>
        <w:t>；</w:t>
      </w:r>
    </w:p>
    <w:p w14:paraId="2A7A7FB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监理人接收文件的地点：</w:t>
      </w:r>
      <w:r>
        <w:rPr>
          <w:rFonts w:hint="eastAsia" w:ascii="仿宋" w:hAnsi="仿宋" w:eastAsia="仿宋" w:cs="仿宋"/>
          <w:color w:val="auto"/>
          <w:spacing w:val="-1"/>
          <w:sz w:val="24"/>
          <w:szCs w:val="24"/>
          <w:u w:val="single"/>
        </w:rPr>
        <w:t>工程所在地</w:t>
      </w:r>
      <w:r>
        <w:rPr>
          <w:rFonts w:hint="eastAsia" w:ascii="仿宋" w:hAnsi="仿宋" w:eastAsia="仿宋" w:cs="仿宋"/>
          <w:color w:val="auto"/>
          <w:spacing w:val="-1"/>
          <w:sz w:val="24"/>
          <w:szCs w:val="24"/>
        </w:rPr>
        <w:t>；</w:t>
      </w:r>
    </w:p>
    <w:p w14:paraId="27C7692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监理人指定的接收人为：</w:t>
      </w:r>
      <w:r>
        <w:rPr>
          <w:rFonts w:hint="eastAsia" w:ascii="仿宋" w:hAnsi="仿宋" w:eastAsia="仿宋" w:cs="仿宋"/>
          <w:color w:val="auto"/>
          <w:spacing w:val="-1"/>
          <w:sz w:val="24"/>
          <w:szCs w:val="24"/>
          <w:u w:val="single"/>
        </w:rPr>
        <w:t>总监理工程师</w:t>
      </w:r>
      <w:r>
        <w:rPr>
          <w:rFonts w:hint="eastAsia" w:ascii="仿宋" w:hAnsi="仿宋" w:eastAsia="仿宋" w:cs="仿宋"/>
          <w:color w:val="auto"/>
          <w:spacing w:val="-1"/>
          <w:sz w:val="24"/>
          <w:szCs w:val="24"/>
        </w:rPr>
        <w:t>。</w:t>
      </w:r>
    </w:p>
    <w:p w14:paraId="41057C3B">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1.10</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5"/>
          <w:sz w:val="24"/>
          <w:szCs w:val="24"/>
        </w:rPr>
        <w:t>交通运输</w:t>
      </w:r>
    </w:p>
    <w:p w14:paraId="0AD47A2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1.10.1出入现场的权利</w:t>
      </w:r>
    </w:p>
    <w:p w14:paraId="086D542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关于出入现场的权利的约定：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p>
    <w:p w14:paraId="154CD201">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1.10.3 场内交通</w:t>
      </w:r>
    </w:p>
    <w:p w14:paraId="1511D5E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z w:val="24"/>
          <w:szCs w:val="24"/>
        </w:rPr>
        <w:t>关于场外交通和场内交通的边界的约定：</w:t>
      </w:r>
      <w:r>
        <w:rPr>
          <w:rFonts w:hint="eastAsia" w:ascii="仿宋" w:hAnsi="仿宋" w:eastAsia="仿宋" w:cs="仿宋"/>
          <w:color w:val="auto"/>
          <w:sz w:val="24"/>
          <w:szCs w:val="24"/>
          <w:u w:val="single" w:color="auto"/>
        </w:rPr>
        <w:t xml:space="preserve"> </w:t>
      </w:r>
      <w:r>
        <w:rPr>
          <w:rFonts w:hint="eastAsia" w:ascii="仿宋" w:hAnsi="仿宋" w:eastAsia="仿宋" w:cs="仿宋"/>
          <w:sz w:val="24"/>
          <w:szCs w:val="24"/>
          <w:highlight w:val="none"/>
          <w:u w:val="single"/>
        </w:rPr>
        <w:t>承包人施工、办公、生活实际占用的范围为场内交通（含出入口与主道路相接部分），以外则为场外交通</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184A868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关于发包人向承包人免费提供满足工程施工需要的场内道路和交通设施的约定：</w:t>
      </w:r>
      <w:r>
        <w:rPr>
          <w:rFonts w:hint="eastAsia" w:ascii="仿宋" w:hAnsi="仿宋" w:eastAsia="仿宋" w:cs="仿宋"/>
          <w:kern w:val="0"/>
          <w:sz w:val="24"/>
          <w:szCs w:val="24"/>
          <w:highlight w:val="none"/>
          <w:u w:val="single"/>
        </w:rPr>
        <w:t>承包人负责完成文明工地施工要求的场内外道路和交通设施，其费用包含在合同价中。确保满足施工运输的需要，保证施工期间的畅通。若施工场地已与公共道路接通，承包人应确保不因施工作业对公共道路系统及其功能造成任何损坏。如承包人在施工过程中对公共道路市政设施造成损坏而导致第三人要求赔偿或导致行政处罚的，由承包人自行承担法律责任，并赔偿因此给发包人造成的全部损失。承包方应遵守当地交通管理部门限制通行的有关规定,并负责协调在工程实施中出现的各种情况。</w:t>
      </w:r>
    </w:p>
    <w:p w14:paraId="279F0AA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1.10.4超大件和超重件的运输</w:t>
      </w:r>
    </w:p>
    <w:p w14:paraId="213E947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default"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rPr>
        <w:t>运输超大件或超重件所需的道路和桥梁临时加固改造费用和运输费用等其他有关费用由</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u w:val="none"/>
          <w:lang w:val="en-US" w:eastAsia="zh-CN"/>
        </w:rPr>
        <w:t>。</w:t>
      </w:r>
    </w:p>
    <w:p w14:paraId="1B649C4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1.11 知识产权</w:t>
      </w:r>
    </w:p>
    <w:p w14:paraId="33BAB01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u w:val="single"/>
        </w:rPr>
      </w:pPr>
      <w:r>
        <w:rPr>
          <w:rFonts w:hint="eastAsia" w:ascii="仿宋" w:hAnsi="仿宋" w:eastAsia="仿宋" w:cs="仿宋"/>
          <w:color w:val="auto"/>
          <w:spacing w:val="-1"/>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pacing w:val="-1"/>
          <w:sz w:val="24"/>
          <w:szCs w:val="24"/>
          <w:u w:val="single"/>
        </w:rPr>
        <w:t>发包人。承包人不得向任何第三方泄露或用于任何与本项目施工无关的用途；本项目竣工验收后，未经发包人书面同意，承包人不得自行使用或授权他人使用发包人前述提供的图纸、文件。</w:t>
      </w:r>
    </w:p>
    <w:p w14:paraId="278ED95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关于发包人提供的上述文件的使用限制的要求：</w:t>
      </w:r>
      <w:r>
        <w:rPr>
          <w:rFonts w:hint="eastAsia" w:ascii="仿宋" w:hAnsi="仿宋" w:eastAsia="仿宋" w:cs="仿宋"/>
          <w:color w:val="auto"/>
          <w:spacing w:val="-1"/>
          <w:sz w:val="24"/>
          <w:szCs w:val="24"/>
          <w:u w:val="single"/>
        </w:rPr>
        <w:t>按照通用条款执行外，承包人对合同中涉及的所有文件复制应经发包人同意并记录，按受控文件要求进行管理，不得外传、外借。如有违反约定，每发生一次承包人应向发包人支付1万元违约金，并承担有可能泄密造成的违约责任及因此造成的全部损失。</w:t>
      </w:r>
    </w:p>
    <w:p w14:paraId="1780B1B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1.11.2 关于承包人为实施工程所编制文件的著作权的归属：</w:t>
      </w:r>
      <w:r>
        <w:rPr>
          <w:rFonts w:hint="eastAsia" w:ascii="仿宋" w:hAnsi="仿宋" w:eastAsia="仿宋" w:cs="仿宋"/>
          <w:color w:val="auto"/>
          <w:spacing w:val="-1"/>
          <w:sz w:val="24"/>
          <w:szCs w:val="24"/>
          <w:u w:val="single"/>
        </w:rPr>
        <w:t>发包人</w:t>
      </w:r>
      <w:r>
        <w:rPr>
          <w:rFonts w:hint="eastAsia" w:ascii="仿宋" w:hAnsi="仿宋" w:eastAsia="仿宋" w:cs="仿宋"/>
          <w:color w:val="auto"/>
          <w:spacing w:val="-1"/>
          <w:sz w:val="24"/>
          <w:szCs w:val="24"/>
        </w:rPr>
        <w:t>。</w:t>
      </w:r>
    </w:p>
    <w:p w14:paraId="234CEA4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1.11.4 承包人在施工过程中所采用的专利、专有技术、技术秘密的使用费的承担方式：</w:t>
      </w:r>
      <w:r>
        <w:rPr>
          <w:rFonts w:hint="eastAsia" w:ascii="仿宋" w:hAnsi="仿宋" w:eastAsia="仿宋" w:cs="仿宋"/>
          <w:color w:val="auto"/>
          <w:spacing w:val="-1"/>
          <w:sz w:val="24"/>
          <w:szCs w:val="24"/>
          <w:u w:val="single"/>
        </w:rPr>
        <w:t>由承包人自行承担</w:t>
      </w:r>
      <w:r>
        <w:rPr>
          <w:rFonts w:hint="eastAsia" w:ascii="仿宋" w:hAnsi="仿宋" w:eastAsia="仿宋" w:cs="仿宋"/>
          <w:color w:val="auto"/>
          <w:spacing w:val="-1"/>
          <w:sz w:val="24"/>
          <w:szCs w:val="24"/>
        </w:rPr>
        <w:t>。</w:t>
      </w:r>
    </w:p>
    <w:p w14:paraId="3F6FEE8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1.13工程量清单错误的修正</w:t>
      </w:r>
    </w:p>
    <w:p w14:paraId="52DF007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出现工程量清单错误时，是否调整合同价格：</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u w:val="single"/>
        </w:rPr>
        <w:t>。</w:t>
      </w:r>
    </w:p>
    <w:p w14:paraId="072C22F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允许调整合同价格的工程量偏差范围：</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rPr>
        <w:t>。</w:t>
      </w:r>
    </w:p>
    <w:p w14:paraId="56667B2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发包人</w:t>
      </w:r>
    </w:p>
    <w:p w14:paraId="39AD4E8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2.1许可或批准</w:t>
      </w:r>
    </w:p>
    <w:p w14:paraId="2A17722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因发包人原因未能及时办理完毕前述许可、批准或备案，由发包人承担由此增加的费用和（或）延误的工期，但不支付承包人合理的利润。</w:t>
      </w:r>
    </w:p>
    <w:p w14:paraId="41B57FC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 发包人代表</w:t>
      </w:r>
    </w:p>
    <w:p w14:paraId="06A0F4B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FA4A51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F71DAD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职务：</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35E600A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728DBA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214429B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B94D91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发包人对发包人代表的授权范围如下：</w:t>
      </w:r>
      <w:r>
        <w:rPr>
          <w:rFonts w:hint="eastAsia" w:ascii="仿宋" w:hAnsi="仿宋" w:eastAsia="仿宋" w:cs="仿宋"/>
          <w:sz w:val="24"/>
          <w:szCs w:val="24"/>
          <w:highlight w:val="none"/>
          <w:u w:val="single"/>
          <w:lang w:val="en-US" w:eastAsia="zh-CN"/>
        </w:rPr>
        <w:t xml:space="preserve">      ；</w:t>
      </w:r>
    </w:p>
    <w:p w14:paraId="2FB88C4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2.4 施工现场、施工条件和基础资料的提供</w:t>
      </w:r>
    </w:p>
    <w:p w14:paraId="56C4C76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2.4.1 提供施工现场</w:t>
      </w:r>
    </w:p>
    <w:p w14:paraId="2BAE850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关于发包人移交施工现场的期限要求：</w:t>
      </w:r>
      <w:r>
        <w:rPr>
          <w:rFonts w:hint="eastAsia" w:ascii="仿宋" w:hAnsi="仿宋" w:eastAsia="仿宋" w:cs="仿宋"/>
          <w:sz w:val="24"/>
          <w:szCs w:val="24"/>
          <w:highlight w:val="none"/>
          <w:u w:val="single"/>
        </w:rPr>
        <w:t>根据项目实际情况，由双方协商确定。</w:t>
      </w:r>
    </w:p>
    <w:p w14:paraId="77F3430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2.4.2 提供施工条件</w:t>
      </w:r>
    </w:p>
    <w:p w14:paraId="1085F7F6">
      <w:pPr>
        <w:keepNext w:val="0"/>
        <w:keepLines w:val="0"/>
        <w:pageBreakBefore w:val="0"/>
        <w:widowControl w:val="0"/>
        <w:kinsoku/>
        <w:wordWrap/>
        <w:overflowPunct/>
        <w:topLinePunct w:val="0"/>
        <w:autoSpaceDE/>
        <w:autoSpaceDN/>
        <w:bidi w:val="0"/>
        <w:adjustRightInd/>
        <w:snapToGrid/>
        <w:spacing w:line="360" w:lineRule="auto"/>
        <w:ind w:firstLine="460" w:firstLineChars="192"/>
        <w:textAlignment w:val="auto"/>
        <w:rPr>
          <w:rFonts w:hint="eastAsia" w:ascii="仿宋" w:hAnsi="仿宋" w:eastAsia="仿宋" w:cs="仿宋"/>
          <w:color w:val="auto"/>
          <w:spacing w:val="-5"/>
          <w:sz w:val="24"/>
          <w:szCs w:val="24"/>
        </w:rPr>
      </w:pPr>
      <w:r>
        <w:rPr>
          <w:rFonts w:hint="eastAsia" w:ascii="仿宋" w:hAnsi="仿宋" w:eastAsia="仿宋" w:cs="仿宋"/>
          <w:sz w:val="24"/>
          <w:szCs w:val="24"/>
          <w:highlight w:val="none"/>
          <w:u w:val="none"/>
        </w:rPr>
        <w:t>关于发包人应负责提供施工所需要的条件，包括：</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w:t>
      </w:r>
    </w:p>
    <w:p w14:paraId="1C3A147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2.5 资金来源证明及支付担保</w:t>
      </w:r>
    </w:p>
    <w:p w14:paraId="1A4C64A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发包人提供资金来源证明的期限要求：</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w:t>
      </w:r>
    </w:p>
    <w:p w14:paraId="44DC92F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发包人是否提供支付担保：</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u w:val="single" w:color="auto"/>
          <w:lang w:val="en-US" w:eastAsia="zh-CN"/>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2943FB53">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发包人提供支付担保的形式：</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0EA8788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3.</w:t>
      </w:r>
      <w:r>
        <w:rPr>
          <w:rFonts w:hint="eastAsia" w:ascii="仿宋" w:hAnsi="仿宋" w:eastAsia="仿宋" w:cs="仿宋"/>
          <w:color w:val="auto"/>
          <w:spacing w:val="6"/>
          <w:sz w:val="24"/>
          <w:szCs w:val="24"/>
        </w:rPr>
        <w:t xml:space="preserve"> </w:t>
      </w:r>
      <w:r>
        <w:rPr>
          <w:rFonts w:hint="eastAsia" w:ascii="仿宋" w:hAnsi="仿宋" w:eastAsia="仿宋" w:cs="仿宋"/>
          <w:color w:val="auto"/>
          <w:spacing w:val="-4"/>
          <w:sz w:val="24"/>
          <w:szCs w:val="24"/>
        </w:rPr>
        <w:t>承包人</w:t>
      </w:r>
    </w:p>
    <w:p w14:paraId="7DB9BCE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3.1 承包人的一般义务</w:t>
      </w:r>
    </w:p>
    <w:p w14:paraId="70D469D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（10）承包人应履行的其他义务：</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7912CFA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3.2</w:t>
      </w:r>
      <w:r>
        <w:rPr>
          <w:rFonts w:hint="eastAsia" w:ascii="仿宋" w:hAnsi="仿宋" w:eastAsia="仿宋" w:cs="仿宋"/>
          <w:color w:val="auto"/>
          <w:spacing w:val="16"/>
          <w:sz w:val="24"/>
          <w:szCs w:val="24"/>
        </w:rPr>
        <w:t xml:space="preserve"> </w:t>
      </w:r>
      <w:r>
        <w:rPr>
          <w:rFonts w:hint="eastAsia" w:ascii="仿宋" w:hAnsi="仿宋" w:eastAsia="仿宋" w:cs="仿宋"/>
          <w:color w:val="auto"/>
          <w:spacing w:val="-4"/>
          <w:sz w:val="24"/>
          <w:szCs w:val="24"/>
        </w:rPr>
        <w:t>项目经理</w:t>
      </w:r>
    </w:p>
    <w:p w14:paraId="0F1B13B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3.2.1 项目经理：</w:t>
      </w:r>
    </w:p>
    <w:p w14:paraId="0BA134D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6245918C">
      <w:pPr>
        <w:keepNext w:val="0"/>
        <w:keepLines w:val="0"/>
        <w:pageBreakBefore w:val="0"/>
        <w:widowControl w:val="0"/>
        <w:tabs>
          <w:tab w:val="left" w:pos="4536"/>
        </w:tabs>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E6D5C4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建造师执业资格等级：</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2A6EE9F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建造师注册证书号：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1CD8CB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建造师执业印章号：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A4285E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安全生产考核合格证书号：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1FEB989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4EB4DA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电子信箱：</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3A9937E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通信地址：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sz w:val="24"/>
          <w:szCs w:val="24"/>
          <w:highlight w:val="none"/>
        </w:rPr>
        <w:t>；</w:t>
      </w:r>
    </w:p>
    <w:p w14:paraId="221EF49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承包人对项目经理的授权范围如下：</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w:t>
      </w:r>
    </w:p>
    <w:p w14:paraId="16F65D5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关于项目经理每月在施工现场的时间要求：</w:t>
      </w:r>
      <w:r>
        <w:rPr>
          <w:rFonts w:hint="eastAsia" w:ascii="仿宋" w:hAnsi="仿宋" w:eastAsia="仿宋" w:cs="仿宋"/>
          <w:color w:val="auto"/>
          <w:spacing w:val="-4"/>
          <w:sz w:val="24"/>
          <w:szCs w:val="24"/>
          <w:u w:val="single" w:color="auto"/>
        </w:rPr>
        <w:t xml:space="preserve"> 确保每月在工</w:t>
      </w:r>
      <w:r>
        <w:rPr>
          <w:rFonts w:hint="eastAsia" w:ascii="仿宋" w:hAnsi="仿宋" w:eastAsia="仿宋" w:cs="仿宋"/>
          <w:color w:val="auto"/>
          <w:spacing w:val="-5"/>
          <w:sz w:val="24"/>
          <w:szCs w:val="24"/>
          <w:u w:val="single" w:color="auto"/>
        </w:rPr>
        <w:t>地工作时间不得少于</w:t>
      </w:r>
      <w:r>
        <w:rPr>
          <w:rFonts w:hint="eastAsia" w:ascii="仿宋" w:hAnsi="仿宋" w:eastAsia="仿宋" w:cs="仿宋"/>
          <w:color w:val="auto"/>
          <w:spacing w:val="-43"/>
          <w:sz w:val="24"/>
          <w:szCs w:val="24"/>
          <w:u w:val="single" w:color="auto"/>
        </w:rPr>
        <w:t xml:space="preserve"> </w:t>
      </w:r>
      <w:r>
        <w:rPr>
          <w:rFonts w:hint="eastAsia" w:ascii="仿宋" w:hAnsi="仿宋" w:eastAsia="仿宋" w:cs="仿宋"/>
          <w:color w:val="auto"/>
          <w:spacing w:val="-5"/>
          <w:sz w:val="24"/>
          <w:szCs w:val="24"/>
          <w:u w:val="single" w:color="auto"/>
        </w:rPr>
        <w:t>22</w:t>
      </w:r>
      <w:r>
        <w:rPr>
          <w:rFonts w:hint="eastAsia" w:ascii="仿宋" w:hAnsi="仿宋" w:eastAsia="仿宋" w:cs="仿宋"/>
          <w:color w:val="auto"/>
          <w:spacing w:val="-42"/>
          <w:sz w:val="24"/>
          <w:szCs w:val="24"/>
          <w:u w:val="single" w:color="auto"/>
        </w:rPr>
        <w:t xml:space="preserve"> </w:t>
      </w:r>
      <w:r>
        <w:rPr>
          <w:rFonts w:hint="eastAsia" w:ascii="仿宋" w:hAnsi="仿宋" w:eastAsia="仿宋" w:cs="仿宋"/>
          <w:color w:val="auto"/>
          <w:spacing w:val="-5"/>
          <w:sz w:val="24"/>
          <w:szCs w:val="24"/>
          <w:u w:val="single" w:color="auto"/>
        </w:rPr>
        <w:t>天，</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color="auto"/>
        </w:rPr>
        <w:t>项目经理要外出一天以上的（含一天）必须事先取得发包人的许可，否则按缺勤处理。项目</w:t>
      </w:r>
      <w:r>
        <w:rPr>
          <w:rFonts w:hint="eastAsia" w:ascii="仿宋" w:hAnsi="仿宋" w:eastAsia="仿宋" w:cs="仿宋"/>
          <w:color w:val="auto"/>
          <w:spacing w:val="2"/>
          <w:sz w:val="24"/>
          <w:szCs w:val="24"/>
          <w:u w:val="single" w:color="auto"/>
        </w:rPr>
        <w:t>经理每次请假时间不超过3</w:t>
      </w:r>
      <w:r>
        <w:rPr>
          <w:rFonts w:hint="eastAsia" w:ascii="仿宋" w:hAnsi="仿宋" w:eastAsia="仿宋" w:cs="仿宋"/>
          <w:color w:val="auto"/>
          <w:spacing w:val="-42"/>
          <w:sz w:val="24"/>
          <w:szCs w:val="24"/>
          <w:u w:val="single" w:color="auto"/>
        </w:rPr>
        <w:t xml:space="preserve"> </w:t>
      </w:r>
      <w:r>
        <w:rPr>
          <w:rFonts w:hint="eastAsia" w:ascii="仿宋" w:hAnsi="仿宋" w:eastAsia="仿宋" w:cs="仿宋"/>
          <w:color w:val="auto"/>
          <w:spacing w:val="2"/>
          <w:sz w:val="24"/>
          <w:szCs w:val="24"/>
          <w:u w:val="single" w:color="auto"/>
        </w:rPr>
        <w:t xml:space="preserve">天 </w:t>
      </w:r>
      <w:r>
        <w:rPr>
          <w:rFonts w:hint="eastAsia" w:ascii="仿宋" w:hAnsi="仿宋" w:eastAsia="仿宋" w:cs="仿宋"/>
          <w:color w:val="auto"/>
          <w:spacing w:val="2"/>
          <w:sz w:val="24"/>
          <w:szCs w:val="24"/>
        </w:rPr>
        <w:t>。</w:t>
      </w:r>
    </w:p>
    <w:p w14:paraId="47D12BD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rPr>
        <w:t>承包人未提交劳动合同以及没有为项目经理缴纳社会保险证明的违约责任：</w:t>
      </w:r>
      <w:r>
        <w:rPr>
          <w:rFonts w:hint="eastAsia" w:ascii="仿宋" w:hAnsi="仿宋" w:eastAsia="仿宋" w:cs="仿宋"/>
          <w:color w:val="auto"/>
          <w:spacing w:val="-4"/>
          <w:sz w:val="24"/>
          <w:szCs w:val="24"/>
          <w:u w:val="single"/>
        </w:rPr>
        <w:t>执行通用条款。</w:t>
      </w:r>
    </w:p>
    <w:p w14:paraId="48E072C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项目经理未经批准，擅自离开施工现场的违约责任：</w:t>
      </w:r>
      <w:r>
        <w:rPr>
          <w:rFonts w:hint="eastAsia" w:ascii="仿宋" w:hAnsi="仿宋" w:eastAsia="仿宋" w:cs="仿宋"/>
          <w:color w:val="auto"/>
          <w:spacing w:val="3"/>
          <w:sz w:val="24"/>
          <w:szCs w:val="24"/>
          <w:u w:val="single" w:color="auto"/>
        </w:rPr>
        <w:t>发包人有权按5000元/天·人标准向承包人收取违约金，给发包人造成损失的，承包人还应承担所有损失</w:t>
      </w:r>
      <w:r>
        <w:rPr>
          <w:rFonts w:hint="eastAsia" w:ascii="仿宋" w:hAnsi="仿宋" w:eastAsia="仿宋" w:cs="仿宋"/>
          <w:color w:val="auto"/>
          <w:spacing w:val="-3"/>
          <w:sz w:val="24"/>
          <w:szCs w:val="24"/>
        </w:rPr>
        <w:t>。</w:t>
      </w:r>
    </w:p>
    <w:p w14:paraId="3C49ACAE">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3.2.3 承包人擅自更换项目经理的违约责任：</w:t>
      </w:r>
      <w:r>
        <w:rPr>
          <w:rFonts w:hint="eastAsia" w:ascii="仿宋" w:hAnsi="仿宋" w:eastAsia="仿宋" w:cs="仿宋"/>
          <w:color w:val="auto"/>
          <w:spacing w:val="3"/>
          <w:sz w:val="24"/>
          <w:szCs w:val="24"/>
          <w:u w:val="single" w:color="auto"/>
        </w:rPr>
        <w:t xml:space="preserve"> 视为承包人违约，发包人有权</w:t>
      </w:r>
      <w:r>
        <w:rPr>
          <w:rFonts w:hint="eastAsia" w:ascii="仿宋" w:hAnsi="仿宋" w:eastAsia="仿宋" w:cs="仿宋"/>
          <w:color w:val="auto"/>
          <w:spacing w:val="2"/>
          <w:sz w:val="24"/>
          <w:szCs w:val="24"/>
          <w:u w:val="single" w:color="auto"/>
        </w:rPr>
        <w:t>按解除合</w:t>
      </w:r>
      <w:r>
        <w:rPr>
          <w:rFonts w:hint="eastAsia" w:ascii="仿宋" w:hAnsi="仿宋" w:eastAsia="仿宋" w:cs="仿宋"/>
          <w:color w:val="auto"/>
          <w:spacing w:val="-15"/>
          <w:sz w:val="24"/>
          <w:szCs w:val="24"/>
          <w:u w:val="single" w:color="auto"/>
        </w:rPr>
        <w:t>同</w:t>
      </w:r>
      <w:r>
        <w:rPr>
          <w:rFonts w:hint="eastAsia" w:ascii="仿宋" w:hAnsi="仿宋" w:eastAsia="仿宋" w:cs="仿宋"/>
          <w:color w:val="auto"/>
          <w:spacing w:val="-15"/>
          <w:sz w:val="24"/>
          <w:szCs w:val="24"/>
        </w:rPr>
        <w:t>。</w:t>
      </w:r>
    </w:p>
    <w:p w14:paraId="6334C91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3.2.4 承包人无正当理由拒绝更换项目经理的违约责任：</w:t>
      </w:r>
      <w:r>
        <w:rPr>
          <w:rFonts w:hint="eastAsia" w:ascii="仿宋" w:hAnsi="仿宋" w:eastAsia="仿宋" w:cs="仿宋"/>
          <w:color w:val="auto"/>
          <w:sz w:val="24"/>
          <w:szCs w:val="24"/>
          <w:u w:val="single" w:color="auto"/>
        </w:rPr>
        <w:t xml:space="preserve"> 视为承包人违约，发包人有</w:t>
      </w:r>
      <w:r>
        <w:rPr>
          <w:rFonts w:hint="eastAsia" w:ascii="仿宋" w:hAnsi="仿宋" w:eastAsia="仿宋" w:cs="仿宋"/>
          <w:color w:val="auto"/>
          <w:spacing w:val="-1"/>
          <w:sz w:val="24"/>
          <w:szCs w:val="24"/>
          <w:u w:val="single" w:color="auto"/>
        </w:rPr>
        <w:t>权按解除合同</w:t>
      </w:r>
      <w:r>
        <w:rPr>
          <w:rFonts w:hint="eastAsia" w:ascii="仿宋" w:hAnsi="仿宋" w:eastAsia="仿宋" w:cs="仿宋"/>
          <w:color w:val="auto"/>
          <w:spacing w:val="-1"/>
          <w:sz w:val="24"/>
          <w:szCs w:val="24"/>
        </w:rPr>
        <w:t>。</w:t>
      </w:r>
    </w:p>
    <w:p w14:paraId="39D6BF3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3.3 承包人人员</w:t>
      </w:r>
    </w:p>
    <w:p w14:paraId="6E155F1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u w:val="single"/>
        </w:rPr>
      </w:pPr>
      <w:r>
        <w:rPr>
          <w:rFonts w:hint="eastAsia" w:ascii="仿宋" w:hAnsi="仿宋" w:eastAsia="仿宋" w:cs="仿宋"/>
          <w:color w:val="auto"/>
          <w:spacing w:val="-2"/>
          <w:sz w:val="24"/>
          <w:szCs w:val="24"/>
        </w:rPr>
        <w:t>3.3.1 承包人提交项目管理机构及施工现场管理人员安排报告的期限：</w:t>
      </w:r>
      <w:r>
        <w:rPr>
          <w:rFonts w:hint="eastAsia" w:ascii="仿宋" w:hAnsi="仿宋" w:eastAsia="仿宋" w:cs="仿宋"/>
          <w:color w:val="auto"/>
          <w:spacing w:val="-2"/>
          <w:sz w:val="24"/>
          <w:szCs w:val="24"/>
          <w:u w:val="single"/>
        </w:rPr>
        <w:t>合同签订7天内</w:t>
      </w:r>
      <w:r>
        <w:rPr>
          <w:rFonts w:hint="eastAsia" w:ascii="仿宋" w:hAnsi="仿宋" w:eastAsia="仿宋" w:cs="仿宋"/>
          <w:color w:val="auto"/>
          <w:spacing w:val="-2"/>
          <w:sz w:val="24"/>
          <w:szCs w:val="24"/>
          <w:u w:val="none"/>
        </w:rPr>
        <w:t>。</w:t>
      </w:r>
    </w:p>
    <w:p w14:paraId="39181851">
      <w:pPr>
        <w:keepNext w:val="0"/>
        <w:keepLines w:val="0"/>
        <w:pageBreakBefore w:val="0"/>
        <w:widowControl w:val="0"/>
        <w:kinsoku/>
        <w:wordWrap/>
        <w:overflowPunct/>
        <w:topLinePunct w:val="0"/>
        <w:autoSpaceDE/>
        <w:autoSpaceDN/>
        <w:bidi w:val="0"/>
        <w:adjustRightInd/>
        <w:snapToGrid/>
        <w:spacing w:line="360" w:lineRule="auto"/>
        <w:ind w:left="0" w:right="0" w:firstLine="51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8"/>
          <w:sz w:val="24"/>
          <w:szCs w:val="24"/>
        </w:rPr>
        <w:t>3.3.3 承包人无正当理由拒绝撤换主要施工管理人员的违约责任：</w:t>
      </w:r>
      <w:r>
        <w:rPr>
          <w:rFonts w:hint="eastAsia" w:ascii="仿宋" w:hAnsi="仿宋" w:eastAsia="仿宋" w:cs="仿宋"/>
          <w:color w:val="auto"/>
          <w:spacing w:val="7"/>
          <w:sz w:val="24"/>
          <w:szCs w:val="24"/>
          <w:u w:val="single" w:color="auto"/>
        </w:rPr>
        <w:t xml:space="preserve"> 视为承包</w:t>
      </w:r>
      <w:r>
        <w:rPr>
          <w:rFonts w:hint="eastAsia" w:ascii="仿宋" w:hAnsi="仿宋" w:eastAsia="仿宋" w:cs="仿宋"/>
          <w:color w:val="auto"/>
          <w:spacing w:val="-2"/>
          <w:sz w:val="24"/>
          <w:szCs w:val="24"/>
          <w:u w:val="single"/>
        </w:rPr>
        <w:t xml:space="preserve">人违约 </w:t>
      </w:r>
      <w:r>
        <w:rPr>
          <w:rFonts w:hint="eastAsia" w:ascii="仿宋" w:hAnsi="仿宋" w:eastAsia="仿宋" w:cs="仿宋"/>
          <w:color w:val="auto"/>
          <w:spacing w:val="-2"/>
          <w:sz w:val="24"/>
          <w:szCs w:val="24"/>
        </w:rPr>
        <w:t>。</w:t>
      </w:r>
    </w:p>
    <w:p w14:paraId="78D0C0D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3.3.4 承包人主要施工管理人员包含项目经理，安全总监，技术总工，等班子成员以及安全生产、防尘治霾、保障农民工工资相关人员）离开施工现场的批准要求：</w:t>
      </w:r>
      <w:r>
        <w:rPr>
          <w:rFonts w:hint="eastAsia" w:ascii="仿宋" w:hAnsi="仿宋" w:eastAsia="仿宋" w:cs="仿宋"/>
          <w:color w:val="auto"/>
          <w:spacing w:val="-2"/>
          <w:sz w:val="24"/>
          <w:szCs w:val="24"/>
          <w:u w:val="single"/>
        </w:rPr>
        <w:t>须办理离场手续，由监理人批准，并经发包人同意后方可离开，承包人在其离场前安排好代替的管理人员</w:t>
      </w:r>
      <w:r>
        <w:rPr>
          <w:rFonts w:hint="eastAsia" w:ascii="仿宋" w:hAnsi="仿宋" w:eastAsia="仿宋" w:cs="仿宋"/>
          <w:color w:val="auto"/>
          <w:spacing w:val="-2"/>
          <w:sz w:val="24"/>
          <w:szCs w:val="24"/>
        </w:rPr>
        <w:t>。</w:t>
      </w:r>
    </w:p>
    <w:p w14:paraId="2A5E2A1C">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3.3.5承包人未经发包人、监理人允许擅自更换主要施工管理人员的违约责任：</w:t>
      </w:r>
      <w:r>
        <w:rPr>
          <w:rFonts w:hint="eastAsia" w:ascii="仿宋" w:hAnsi="仿宋" w:eastAsia="仿宋" w:cs="仿宋"/>
          <w:color w:val="auto"/>
          <w:spacing w:val="-5"/>
          <w:sz w:val="24"/>
          <w:szCs w:val="24"/>
          <w:u w:val="single"/>
        </w:rPr>
        <w:t>将对承包人处以5万元/人·次的违约金。</w:t>
      </w:r>
    </w:p>
    <w:p w14:paraId="2F6FC109">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承包人主要施工管理人员未经发包人、监理人允许擅自离开施工现场的违约责任：</w:t>
      </w:r>
      <w:r>
        <w:rPr>
          <w:rFonts w:hint="eastAsia" w:ascii="仿宋" w:hAnsi="仿宋" w:eastAsia="仿宋" w:cs="仿宋"/>
          <w:color w:val="auto"/>
          <w:spacing w:val="-5"/>
          <w:sz w:val="24"/>
          <w:szCs w:val="24"/>
          <w:u w:val="single"/>
        </w:rPr>
        <w:t>按2000元/天·人标准向发包人支付违约金，给发包人造成损失的，还应承担所有损失。</w:t>
      </w:r>
    </w:p>
    <w:p w14:paraId="1D471637">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3.3.6</w:t>
      </w:r>
      <w:r>
        <w:rPr>
          <w:rFonts w:hint="eastAsia" w:ascii="仿宋" w:hAnsi="仿宋" w:eastAsia="仿宋" w:cs="仿宋"/>
          <w:color w:val="auto"/>
          <w:spacing w:val="-5"/>
          <w:sz w:val="24"/>
          <w:szCs w:val="24"/>
          <w:u w:val="single"/>
        </w:rPr>
        <w:t>本项目的项目组织架构应在开工前报送发包人。发包人有权要求承包人补充项目管理人员，承包人不得有异议。</w:t>
      </w:r>
    </w:p>
    <w:p w14:paraId="3DFBC741">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5"/>
          <w:sz w:val="24"/>
          <w:szCs w:val="24"/>
        </w:rPr>
        <w:t>3.5</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5"/>
          <w:sz w:val="24"/>
          <w:szCs w:val="24"/>
        </w:rPr>
        <w:t>分包</w:t>
      </w:r>
    </w:p>
    <w:p w14:paraId="316D336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3.5.1 分包的一般约定</w:t>
      </w:r>
    </w:p>
    <w:p w14:paraId="496815C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禁止分包的工程包括：</w:t>
      </w:r>
      <w:r>
        <w:rPr>
          <w:rFonts w:hint="eastAsia" w:ascii="仿宋" w:hAnsi="仿宋" w:eastAsia="仿宋" w:cs="仿宋"/>
          <w:color w:val="auto"/>
          <w:sz w:val="24"/>
          <w:szCs w:val="24"/>
          <w:u w:val="single" w:color="auto"/>
        </w:rPr>
        <w:t xml:space="preserve">   全部工程范围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64200F8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主体结构、关键性工作的范围：</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rPr>
        <w:t>。</w:t>
      </w:r>
    </w:p>
    <w:p w14:paraId="362E73DE">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3.5.2</w:t>
      </w:r>
      <w:r>
        <w:rPr>
          <w:rFonts w:hint="eastAsia" w:ascii="仿宋" w:hAnsi="仿宋" w:eastAsia="仿宋" w:cs="仿宋"/>
          <w:color w:val="auto"/>
          <w:spacing w:val="-38"/>
          <w:sz w:val="24"/>
          <w:szCs w:val="24"/>
        </w:rPr>
        <w:t xml:space="preserve"> </w:t>
      </w:r>
      <w:r>
        <w:rPr>
          <w:rFonts w:hint="eastAsia" w:ascii="仿宋" w:hAnsi="仿宋" w:eastAsia="仿宋" w:cs="仿宋"/>
          <w:color w:val="auto"/>
          <w:spacing w:val="-3"/>
          <w:sz w:val="24"/>
          <w:szCs w:val="24"/>
        </w:rPr>
        <w:t>分包的确定</w:t>
      </w:r>
    </w:p>
    <w:p w14:paraId="06021FD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允许分包的专业工程包括：</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rPr>
        <w:t>。</w:t>
      </w:r>
    </w:p>
    <w:p w14:paraId="548E061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其他关于分包的约定：</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0B4679A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3.5.4 分包合同价款</w:t>
      </w:r>
    </w:p>
    <w:p w14:paraId="09B7152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关于分包合同价款支付的约定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rPr>
        <w:t>。</w:t>
      </w:r>
    </w:p>
    <w:p w14:paraId="0E7786F7">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3.7</w:t>
      </w:r>
      <w:r>
        <w:rPr>
          <w:rFonts w:hint="eastAsia" w:ascii="仿宋" w:hAnsi="仿宋" w:eastAsia="仿宋" w:cs="仿宋"/>
          <w:color w:val="auto"/>
          <w:spacing w:val="16"/>
          <w:sz w:val="24"/>
          <w:szCs w:val="24"/>
        </w:rPr>
        <w:t xml:space="preserve"> </w:t>
      </w:r>
      <w:r>
        <w:rPr>
          <w:rFonts w:hint="eastAsia" w:ascii="仿宋" w:hAnsi="仿宋" w:eastAsia="仿宋" w:cs="仿宋"/>
          <w:color w:val="auto"/>
          <w:spacing w:val="-4"/>
          <w:sz w:val="24"/>
          <w:szCs w:val="24"/>
        </w:rPr>
        <w:t>履约担保</w:t>
      </w:r>
    </w:p>
    <w:p w14:paraId="54AC6B8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承包人是否提供履约担保：</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4CC25C5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pacing w:val="-1"/>
          <w:sz w:val="24"/>
          <w:szCs w:val="24"/>
        </w:rPr>
        <w:t>承包人提供履约担保的形式、金额及期限：</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u w:val="none" w:color="auto"/>
          <w:lang w:eastAsia="zh-CN"/>
        </w:rPr>
        <w:t>。</w:t>
      </w:r>
    </w:p>
    <w:p w14:paraId="2FF48545">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rPr>
        <w:t>4. 监理人</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lang w:val="en-US" w:eastAsia="zh-CN"/>
        </w:rPr>
        <w:t>如有</w:t>
      </w:r>
      <w:r>
        <w:rPr>
          <w:rFonts w:hint="eastAsia" w:ascii="仿宋" w:hAnsi="仿宋" w:eastAsia="仿宋" w:cs="仿宋"/>
          <w:b/>
          <w:sz w:val="24"/>
          <w:szCs w:val="24"/>
          <w:highlight w:val="none"/>
          <w:lang w:eastAsia="zh-CN"/>
        </w:rPr>
        <w:t>）</w:t>
      </w:r>
    </w:p>
    <w:p w14:paraId="790C3D2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4.1监理人的一般规定</w:t>
      </w:r>
    </w:p>
    <w:p w14:paraId="2AA29EB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关于监理人的监理内容:</w:t>
      </w:r>
      <w:r>
        <w:rPr>
          <w:rFonts w:hint="eastAsia" w:ascii="仿宋" w:hAnsi="仿宋" w:eastAsia="仿宋" w:cs="仿宋"/>
          <w:sz w:val="24"/>
          <w:szCs w:val="24"/>
          <w:highlight w:val="none"/>
          <w:u w:val="single"/>
        </w:rPr>
        <w:t>见《监理合同》。</w:t>
      </w:r>
    </w:p>
    <w:p w14:paraId="1C00583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关于监理人的监理权限:</w:t>
      </w:r>
      <w:r>
        <w:rPr>
          <w:rFonts w:hint="eastAsia" w:ascii="仿宋" w:hAnsi="仿宋" w:eastAsia="仿宋" w:cs="仿宋"/>
          <w:sz w:val="24"/>
          <w:szCs w:val="24"/>
          <w:highlight w:val="none"/>
          <w:u w:val="single"/>
        </w:rPr>
        <w:t>见《监理合同》，发包人委托监理对现场质量安全进行监督，若现场出现质量安全隐患，监理人报发包人审核后，有权依照施工合同相关条款对承包人进行处理。</w:t>
      </w:r>
    </w:p>
    <w:p w14:paraId="01FAAB4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关于监理人在施工现场的办公场所、生活场所的提供和费用承担的约定：</w:t>
      </w:r>
      <w:r>
        <w:rPr>
          <w:rFonts w:hint="eastAsia" w:ascii="仿宋" w:hAnsi="仿宋" w:eastAsia="仿宋" w:cs="仿宋"/>
          <w:sz w:val="24"/>
          <w:szCs w:val="24"/>
          <w:highlight w:val="none"/>
          <w:u w:val="single"/>
        </w:rPr>
        <w:t>见《监理合同》</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由承包人提供办公场所，满足发包人及监理人的要求，并承担相应费用以及水电费。</w:t>
      </w:r>
    </w:p>
    <w:p w14:paraId="216A3267">
      <w:pPr>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textAlignment w:val="auto"/>
        <w:outlineLvl w:val="9"/>
        <w:rPr>
          <w:rFonts w:hint="eastAsia" w:ascii="仿宋" w:hAnsi="仿宋" w:eastAsia="仿宋" w:cs="仿宋"/>
          <w:color w:val="auto"/>
          <w:spacing w:val="-4"/>
          <w:sz w:val="24"/>
          <w:szCs w:val="24"/>
        </w:rPr>
      </w:pPr>
      <w:r>
        <w:rPr>
          <w:rFonts w:hint="eastAsia" w:ascii="仿宋" w:hAnsi="仿宋" w:eastAsia="仿宋" w:cs="仿宋"/>
          <w:b/>
          <w:sz w:val="24"/>
          <w:szCs w:val="24"/>
          <w:highlight w:val="none"/>
        </w:rPr>
        <w:t>4.2 监理人员:</w:t>
      </w:r>
      <w:r>
        <w:rPr>
          <w:rFonts w:hint="eastAsia" w:ascii="仿宋" w:hAnsi="仿宋" w:eastAsia="仿宋" w:cs="仿宋"/>
          <w:sz w:val="24"/>
          <w:szCs w:val="24"/>
          <w:highlight w:val="none"/>
          <w:u w:val="single"/>
        </w:rPr>
        <w:t>见《监理合同》。</w:t>
      </w:r>
    </w:p>
    <w:p w14:paraId="32246EB9">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200"/>
        <w:textAlignment w:val="auto"/>
        <w:outlineLvl w:val="9"/>
        <w:rPr>
          <w:rFonts w:hint="eastAsia" w:ascii="仿宋" w:hAnsi="仿宋" w:eastAsia="仿宋" w:cs="仿宋"/>
          <w:b/>
          <w:bCs/>
          <w:color w:val="auto"/>
          <w:sz w:val="24"/>
          <w:szCs w:val="24"/>
          <w:lang w:eastAsia="zh-CN"/>
        </w:rPr>
      </w:pPr>
      <w:r>
        <w:rPr>
          <w:rFonts w:hint="eastAsia" w:ascii="仿宋" w:hAnsi="仿宋" w:eastAsia="仿宋" w:cs="仿宋"/>
          <w:b/>
          <w:bCs/>
          <w:color w:val="auto"/>
          <w:spacing w:val="-4"/>
          <w:sz w:val="24"/>
          <w:szCs w:val="24"/>
        </w:rPr>
        <w:t>5.</w:t>
      </w:r>
      <w:r>
        <w:rPr>
          <w:rFonts w:hint="eastAsia" w:ascii="仿宋" w:hAnsi="仿宋" w:eastAsia="仿宋" w:cs="仿宋"/>
          <w:b/>
          <w:bCs/>
          <w:color w:val="auto"/>
          <w:spacing w:val="9"/>
          <w:sz w:val="24"/>
          <w:szCs w:val="24"/>
        </w:rPr>
        <w:t xml:space="preserve"> </w:t>
      </w:r>
      <w:r>
        <w:rPr>
          <w:rFonts w:hint="eastAsia" w:ascii="仿宋" w:hAnsi="仿宋" w:eastAsia="仿宋" w:cs="仿宋"/>
          <w:b/>
          <w:bCs/>
          <w:color w:val="auto"/>
          <w:spacing w:val="-4"/>
          <w:sz w:val="24"/>
          <w:szCs w:val="24"/>
        </w:rPr>
        <w:t>工程质量</w:t>
      </w:r>
    </w:p>
    <w:p w14:paraId="4F24F7F5">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outlineLvl w:val="9"/>
        <w:rPr>
          <w:rFonts w:hint="eastAsia" w:ascii="仿宋" w:hAnsi="仿宋" w:eastAsia="仿宋" w:cs="仿宋"/>
          <w:b/>
          <w:bCs/>
          <w:color w:val="auto"/>
          <w:sz w:val="24"/>
          <w:szCs w:val="24"/>
        </w:rPr>
      </w:pPr>
      <w:r>
        <w:rPr>
          <w:rFonts w:hint="eastAsia" w:ascii="仿宋" w:hAnsi="仿宋" w:eastAsia="仿宋" w:cs="仿宋"/>
          <w:b/>
          <w:bCs/>
          <w:color w:val="auto"/>
          <w:spacing w:val="-2"/>
          <w:sz w:val="24"/>
          <w:szCs w:val="24"/>
        </w:rPr>
        <w:t>5.1 质量要求</w:t>
      </w:r>
    </w:p>
    <w:p w14:paraId="070A04B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pacing w:val="-1"/>
          <w:sz w:val="24"/>
          <w:szCs w:val="24"/>
        </w:rPr>
        <w:t>5.1.1 特殊质量标准和要求：</w:t>
      </w:r>
      <w:r>
        <w:rPr>
          <w:rFonts w:hint="eastAsia" w:ascii="仿宋" w:hAnsi="仿宋" w:eastAsia="仿宋" w:cs="仿宋"/>
          <w:color w:val="auto"/>
          <w:spacing w:val="-1"/>
          <w:sz w:val="24"/>
          <w:szCs w:val="24"/>
          <w:u w:val="single"/>
          <w:lang w:val="en-US" w:eastAsia="zh-CN"/>
        </w:rPr>
        <w:t xml:space="preserve">              </w:t>
      </w:r>
    </w:p>
    <w:p w14:paraId="60D13C9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z w:val="24"/>
          <w:szCs w:val="24"/>
        </w:rPr>
        <w:t>关于工程奖项的约定：</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22650D3">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5.3 隐蔽工程检查</w:t>
      </w:r>
    </w:p>
    <w:p w14:paraId="3BB0AB3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5.3.2承包人提前通知监理人隐蔽工程检查的期限的约定：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w:t>
      </w:r>
    </w:p>
    <w:p w14:paraId="03363B5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监理人不能按时进行检查时，应提前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小时提交书面延期要求。</w:t>
      </w:r>
    </w:p>
    <w:p w14:paraId="3D19015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小时。</w:t>
      </w:r>
    </w:p>
    <w:p w14:paraId="1545880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5.3.3重新检查</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04DDF5E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bCs/>
          <w:color w:val="auto"/>
          <w:sz w:val="24"/>
          <w:szCs w:val="24"/>
        </w:rPr>
      </w:pPr>
      <w:r>
        <w:rPr>
          <w:rFonts w:hint="eastAsia" w:ascii="仿宋" w:hAnsi="仿宋" w:eastAsia="仿宋" w:cs="仿宋"/>
          <w:b/>
          <w:bCs/>
          <w:color w:val="auto"/>
          <w:spacing w:val="-1"/>
          <w:sz w:val="24"/>
          <w:szCs w:val="24"/>
        </w:rPr>
        <w:t>6.安全文明施工与环境保护</w:t>
      </w:r>
    </w:p>
    <w:p w14:paraId="42E7585B">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6.1安全文明施工</w:t>
      </w:r>
    </w:p>
    <w:p w14:paraId="1E98DC1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6.1.1 项目安全生产的达标目标及相应事项的约定：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341C57F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6.1.2关于治安保卫的特别约定：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 xml:space="preserve">。  </w:t>
      </w:r>
    </w:p>
    <w:p w14:paraId="39C0E56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关于编制施工场地治安管理计划的约定：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lang w:val="en-US" w:eastAsia="zh-CN"/>
        </w:rPr>
        <w:t xml:space="preserve">   </w:t>
      </w:r>
    </w:p>
    <w:p w14:paraId="2AF7E4E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6.1.3文明施工</w:t>
      </w:r>
    </w:p>
    <w:p w14:paraId="4E8EFF4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yellow"/>
          <w:u w:val="single"/>
        </w:rPr>
      </w:pPr>
      <w:r>
        <w:rPr>
          <w:rFonts w:hint="eastAsia" w:ascii="仿宋" w:hAnsi="仿宋" w:eastAsia="仿宋" w:cs="仿宋"/>
          <w:sz w:val="24"/>
          <w:szCs w:val="24"/>
          <w:highlight w:val="none"/>
        </w:rPr>
        <w:t>合同当事人对文明施工的要求：</w:t>
      </w:r>
      <w:r>
        <w:rPr>
          <w:rFonts w:hint="eastAsia" w:ascii="仿宋" w:hAnsi="仿宋" w:eastAsia="仿宋" w:cs="仿宋"/>
          <w:sz w:val="24"/>
          <w:szCs w:val="24"/>
          <w:highlight w:val="none"/>
          <w:u w:val="single"/>
        </w:rPr>
        <w:t>承包人按照《</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"http://baike.baidu.com/view/20497.htm" \t "_blank" </w:instrText>
      </w:r>
      <w:r>
        <w:rPr>
          <w:rFonts w:hint="eastAsia" w:ascii="仿宋" w:hAnsi="仿宋" w:eastAsia="仿宋" w:cs="仿宋"/>
          <w:sz w:val="24"/>
          <w:szCs w:val="24"/>
          <w:highlight w:val="none"/>
        </w:rPr>
        <w:fldChar w:fldCharType="separate"/>
      </w:r>
      <w:r>
        <w:rPr>
          <w:rFonts w:hint="eastAsia" w:ascii="仿宋" w:hAnsi="仿宋" w:eastAsia="仿宋" w:cs="仿宋"/>
          <w:color w:val="auto"/>
          <w:sz w:val="24"/>
          <w:szCs w:val="24"/>
          <w:highlight w:val="none"/>
          <w:u w:val="single"/>
        </w:rPr>
        <w:t>中华人民共和国安全生产法</w:t>
      </w:r>
      <w:r>
        <w:rPr>
          <w:rFonts w:hint="eastAsia" w:ascii="仿宋" w:hAnsi="仿宋" w:eastAsia="仿宋" w:cs="仿宋"/>
          <w:color w:val="auto"/>
          <w:sz w:val="24"/>
          <w:szCs w:val="24"/>
          <w:highlight w:val="none"/>
          <w:u w:val="single"/>
        </w:rPr>
        <w:fldChar w:fldCharType="end"/>
      </w:r>
      <w:r>
        <w:rPr>
          <w:rFonts w:hint="eastAsia" w:ascii="仿宋" w:hAnsi="仿宋" w:eastAsia="仿宋" w:cs="仿宋"/>
          <w:sz w:val="24"/>
          <w:szCs w:val="24"/>
          <w:highlight w:val="none"/>
          <w:u w:val="single"/>
        </w:rPr>
        <w:t>》，《建设工程安全生产管理条例》和建设部建办[2005]89号《建筑工程安全防护、文明施工措施费用及使用管理规定》、《</w:t>
      </w:r>
      <w:r>
        <w:rPr>
          <w:rFonts w:hint="eastAsia" w:ascii="仿宋" w:hAnsi="仿宋" w:eastAsia="仿宋" w:cs="仿宋"/>
          <w:sz w:val="24"/>
          <w:szCs w:val="24"/>
          <w:highlight w:val="none"/>
          <w:u w:val="single"/>
          <w:lang w:eastAsia="zh-CN"/>
        </w:rPr>
        <w:t>咸阳</w:t>
      </w:r>
      <w:r>
        <w:rPr>
          <w:rFonts w:hint="eastAsia" w:ascii="仿宋" w:hAnsi="仿宋" w:eastAsia="仿宋" w:cs="仿宋"/>
          <w:sz w:val="24"/>
          <w:szCs w:val="24"/>
          <w:highlight w:val="none"/>
          <w:u w:val="single"/>
        </w:rPr>
        <w:t>市扬尘污染防治条例》住建部建办质[2019]23号《住房和城乡建设部办公厅关于进一步加强施工工地和道路扬尘管控工作的通知》、及陕西省、项目所在地相关要求中关于创建安全文明施工作业环境的规定执行，所需全部费用已包含在发包人支付的安全防护、文明施工措施费中，发包人无需另行支付。承包人承担由于自身措施不力造成事故的全部责任和费用；若文件更新或者取消，按照最新文件标准执行。</w:t>
      </w:r>
    </w:p>
    <w:p w14:paraId="3537962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施工场地清洁卫生的要求：</w:t>
      </w:r>
      <w:r>
        <w:rPr>
          <w:rFonts w:hint="eastAsia" w:ascii="仿宋" w:hAnsi="仿宋" w:eastAsia="仿宋" w:cs="仿宋"/>
          <w:sz w:val="24"/>
          <w:szCs w:val="24"/>
          <w:highlight w:val="none"/>
          <w:u w:val="single"/>
        </w:rPr>
        <w:t>达到</w:t>
      </w:r>
      <w:r>
        <w:rPr>
          <w:rFonts w:hint="eastAsia" w:ascii="仿宋" w:hAnsi="仿宋" w:eastAsia="仿宋" w:cs="仿宋"/>
          <w:sz w:val="24"/>
          <w:szCs w:val="24"/>
          <w:highlight w:val="none"/>
          <w:u w:val="single"/>
          <w:lang w:eastAsia="zh-CN"/>
        </w:rPr>
        <w:t>甲方</w:t>
      </w:r>
      <w:r>
        <w:rPr>
          <w:rFonts w:hint="eastAsia" w:ascii="仿宋" w:hAnsi="仿宋" w:eastAsia="仿宋" w:cs="仿宋"/>
          <w:sz w:val="24"/>
          <w:szCs w:val="24"/>
          <w:highlight w:val="none"/>
          <w:u w:val="single"/>
        </w:rPr>
        <w:t>标准。按照环境卫生管理的有关规定，现场必须采取必要的防尘措施；建筑垃圾的堆放清除、现场材料、设备的存放均应有序并明确标识；交工前清理现场达到建筑物无污染，现场无建筑垃圾。</w:t>
      </w:r>
    </w:p>
    <w:p w14:paraId="29AE083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6.1.6 关于安全文明施工费支付比例和支付期限的约定：</w:t>
      </w:r>
      <w:r>
        <w:rPr>
          <w:rFonts w:hint="eastAsia" w:ascii="仿宋" w:hAnsi="仿宋" w:eastAsia="仿宋" w:cs="仿宋"/>
          <w:sz w:val="24"/>
          <w:szCs w:val="24"/>
          <w:highlight w:val="none"/>
          <w:u w:val="single"/>
          <w:lang w:val="en-US" w:eastAsia="zh-CN"/>
        </w:rPr>
        <w:t xml:space="preserve"> 进场后14天全额100%支付安全文明措施费 </w:t>
      </w:r>
      <w:r>
        <w:rPr>
          <w:rFonts w:hint="eastAsia" w:ascii="仿宋" w:hAnsi="仿宋" w:eastAsia="仿宋" w:cs="仿宋"/>
          <w:sz w:val="24"/>
          <w:szCs w:val="24"/>
          <w:highlight w:val="none"/>
          <w:u w:val="none"/>
          <w:lang w:val="en-US" w:eastAsia="zh-CN"/>
        </w:rPr>
        <w:t>。</w:t>
      </w:r>
    </w:p>
    <w:p w14:paraId="41A4D93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7. 工期和进度</w:t>
      </w:r>
    </w:p>
    <w:p w14:paraId="7EC67D7C">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7.1 施工组织设计</w:t>
      </w:r>
    </w:p>
    <w:p w14:paraId="330A0C4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rPr>
        <w:t>7.1.1 合同当事人约定的施工组织设计</w:t>
      </w:r>
      <w:r>
        <w:rPr>
          <w:rFonts w:hint="eastAsia" w:ascii="仿宋" w:hAnsi="仿宋" w:eastAsia="仿宋" w:cs="仿宋"/>
          <w:color w:val="auto"/>
          <w:sz w:val="24"/>
          <w:szCs w:val="24"/>
        </w:rPr>
        <w:t>应包括的其他内容：</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216D495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7.1.2 施工组织设计的提交和修改</w:t>
      </w:r>
    </w:p>
    <w:p w14:paraId="12656BA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承包人提交详细施工组织设计的期限的约定：</w:t>
      </w:r>
      <w:r>
        <w:rPr>
          <w:rFonts w:hint="eastAsia" w:ascii="仿宋" w:hAnsi="仿宋" w:eastAsia="仿宋" w:cs="仿宋"/>
          <w:sz w:val="24"/>
          <w:szCs w:val="24"/>
          <w:highlight w:val="none"/>
          <w:u w:val="single"/>
        </w:rPr>
        <w:t>以通用合同条款约定的内容为准。</w:t>
      </w:r>
    </w:p>
    <w:p w14:paraId="076E2D5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发包人和监理人在收到详细的施工组织设计后确认或提出修改意见的期限：</w:t>
      </w:r>
      <w:r>
        <w:rPr>
          <w:rFonts w:hint="eastAsia" w:ascii="仿宋" w:hAnsi="仿宋" w:eastAsia="仿宋" w:cs="仿宋"/>
          <w:sz w:val="24"/>
          <w:szCs w:val="24"/>
          <w:highlight w:val="none"/>
          <w:u w:val="single"/>
        </w:rPr>
        <w:t>以通用合同条款约定的内容为准。</w:t>
      </w:r>
    </w:p>
    <w:p w14:paraId="3511DC1B">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7.2 施工进度计划</w:t>
      </w:r>
    </w:p>
    <w:p w14:paraId="65E5227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7.2.2 施工进度计划的修订</w:t>
      </w:r>
    </w:p>
    <w:p w14:paraId="73DCD29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发包人和监理人在收到修订的施工进度计划后确认或提出修改意见的期限：</w:t>
      </w:r>
      <w:r>
        <w:rPr>
          <w:rFonts w:hint="eastAsia" w:ascii="仿宋" w:hAnsi="仿宋" w:eastAsia="仿宋" w:cs="仿宋"/>
          <w:sz w:val="24"/>
          <w:szCs w:val="24"/>
          <w:highlight w:val="none"/>
          <w:u w:val="single"/>
        </w:rPr>
        <w:t>以通用合同条款约定的内容为准。</w:t>
      </w:r>
    </w:p>
    <w:p w14:paraId="14364E84">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7.3 开工</w:t>
      </w:r>
    </w:p>
    <w:p w14:paraId="69DE941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7.3.1 开工准备</w:t>
      </w:r>
    </w:p>
    <w:p w14:paraId="1F16E15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关于承包人提交工程开工报审表的期限：</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w:t>
      </w:r>
    </w:p>
    <w:p w14:paraId="52A9AF6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关于发包人应完成的其他开工准备工作及期限：执行通用条款。</w:t>
      </w:r>
    </w:p>
    <w:p w14:paraId="75E3BA0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关于承包人应完成的其他开工准备工作及期限：</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6468EF6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7.4 测量放线</w:t>
      </w:r>
    </w:p>
    <w:p w14:paraId="0775006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7.4.1发包人通过监理人向承包人提供测量基准点、基准线和水准点及其书面资料的期限：</w:t>
      </w:r>
      <w:r>
        <w:rPr>
          <w:rFonts w:hint="eastAsia" w:ascii="仿宋" w:hAnsi="仿宋" w:eastAsia="仿宋" w:cs="仿宋"/>
          <w:sz w:val="24"/>
          <w:szCs w:val="24"/>
          <w:highlight w:val="none"/>
          <w:u w:val="single"/>
        </w:rPr>
        <w:t>按通用条款执行。</w:t>
      </w:r>
    </w:p>
    <w:p w14:paraId="5AC7DFA7">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7.5</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4"/>
          <w:sz w:val="24"/>
          <w:szCs w:val="24"/>
        </w:rPr>
        <w:t>工期延误</w:t>
      </w:r>
    </w:p>
    <w:p w14:paraId="02826F5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7.5.1 因发包人原因导致工期延误</w:t>
      </w:r>
    </w:p>
    <w:p w14:paraId="7D9E2384">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（7）因发包人原因导致工期延误的其他情形：</w:t>
      </w:r>
      <w:r>
        <w:rPr>
          <w:rFonts w:hint="eastAsia" w:ascii="仿宋" w:hAnsi="仿宋" w:eastAsia="仿宋" w:cs="仿宋"/>
          <w:color w:val="auto"/>
          <w:spacing w:val="-3"/>
          <w:sz w:val="24"/>
          <w:szCs w:val="24"/>
          <w:u w:val="single" w:color="auto"/>
          <w:lang w:val="en-US" w:eastAsia="zh-CN"/>
        </w:rPr>
        <w:t xml:space="preserve">1）重大设计变更而影响施工进度关键线路的；2）不可抗力。以上原因造成的工期延误须在发生后 7 天内办理延期申请，逾期不予认可 </w:t>
      </w:r>
      <w:r>
        <w:rPr>
          <w:rFonts w:hint="eastAsia" w:ascii="仿宋" w:hAnsi="仿宋" w:eastAsia="仿宋" w:cs="仿宋"/>
          <w:color w:val="auto"/>
          <w:spacing w:val="-1"/>
          <w:sz w:val="24"/>
          <w:szCs w:val="24"/>
        </w:rPr>
        <w:t>。</w:t>
      </w:r>
    </w:p>
    <w:p w14:paraId="1CC4305C">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7.5.2 因承包人原因导致工期延误</w:t>
      </w:r>
    </w:p>
    <w:p w14:paraId="0233CBE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因承包人原因造成工期延误，逾期竣工违约金的计算方法为：</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u w:val="single" w:color="auto"/>
          <w:lang w:val="en-US" w:eastAsia="zh-CN"/>
        </w:rPr>
        <w:t xml:space="preserve">  </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rPr>
        <w:t>。</w:t>
      </w:r>
      <w:r>
        <w:rPr>
          <w:rFonts w:hint="eastAsia" w:ascii="仿宋" w:hAnsi="仿宋" w:eastAsia="仿宋" w:cs="仿宋"/>
          <w:color w:val="auto"/>
          <w:sz w:val="24"/>
          <w:szCs w:val="24"/>
        </w:rPr>
        <w:t xml:space="preserve"> 因承包人原因造成工期延误，逾期竣工违约金的上</w:t>
      </w:r>
      <w:r>
        <w:rPr>
          <w:rFonts w:hint="eastAsia" w:ascii="仿宋" w:hAnsi="仿宋" w:eastAsia="仿宋" w:cs="仿宋"/>
          <w:color w:val="auto"/>
          <w:spacing w:val="-1"/>
          <w:sz w:val="24"/>
          <w:szCs w:val="24"/>
        </w:rPr>
        <w:t>限：</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u w:val="single" w:color="auto"/>
          <w:lang w:val="en-US" w:eastAsia="zh-CN"/>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0650095C">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7.6 不利物质条件</w:t>
      </w:r>
    </w:p>
    <w:p w14:paraId="5378065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不利物质条件的其他情形和有关约定：</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49175F3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7.7</w:t>
      </w:r>
      <w:r>
        <w:rPr>
          <w:rFonts w:hint="eastAsia" w:ascii="仿宋" w:hAnsi="仿宋" w:eastAsia="仿宋" w:cs="仿宋"/>
          <w:color w:val="auto"/>
          <w:spacing w:val="-43"/>
          <w:sz w:val="24"/>
          <w:szCs w:val="24"/>
        </w:rPr>
        <w:t xml:space="preserve"> </w:t>
      </w:r>
      <w:r>
        <w:rPr>
          <w:rFonts w:hint="eastAsia" w:ascii="仿宋" w:hAnsi="仿宋" w:eastAsia="仿宋" w:cs="仿宋"/>
          <w:color w:val="auto"/>
          <w:spacing w:val="-2"/>
          <w:sz w:val="24"/>
          <w:szCs w:val="24"/>
        </w:rPr>
        <w:t>异常恶劣的气候条件</w:t>
      </w:r>
    </w:p>
    <w:p w14:paraId="3E6573C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发包人和承包人同意以下情形视为异常恶劣的气候条件：</w:t>
      </w:r>
    </w:p>
    <w:p w14:paraId="5B624CDF">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3"/>
          <w:sz w:val="24"/>
          <w:szCs w:val="24"/>
        </w:rPr>
        <w:t>；</w:t>
      </w:r>
    </w:p>
    <w:p w14:paraId="06E47B2A">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（2）</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3"/>
          <w:sz w:val="24"/>
          <w:szCs w:val="24"/>
        </w:rPr>
        <w:t>；</w:t>
      </w:r>
    </w:p>
    <w:p w14:paraId="39C09A1E">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（3）</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3"/>
          <w:sz w:val="24"/>
          <w:szCs w:val="24"/>
          <w:u w:val="single" w:color="auto"/>
        </w:rPr>
        <w:t xml:space="preserve">     </w:t>
      </w:r>
      <w:r>
        <w:rPr>
          <w:rFonts w:hint="eastAsia" w:ascii="仿宋" w:hAnsi="仿宋" w:eastAsia="仿宋" w:cs="仿宋"/>
          <w:color w:val="auto"/>
          <w:spacing w:val="-3"/>
          <w:sz w:val="24"/>
          <w:szCs w:val="24"/>
        </w:rPr>
        <w:t>。</w:t>
      </w:r>
    </w:p>
    <w:p w14:paraId="72CC2CF9">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7.9 提前竣工的奖励</w:t>
      </w:r>
    </w:p>
    <w:p w14:paraId="7A83A16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7.9.2</w:t>
      </w:r>
      <w:r>
        <w:rPr>
          <w:rFonts w:hint="eastAsia" w:ascii="仿宋" w:hAnsi="仿宋" w:eastAsia="仿宋" w:cs="仿宋"/>
          <w:color w:val="auto"/>
          <w:spacing w:val="-48"/>
          <w:sz w:val="24"/>
          <w:szCs w:val="24"/>
        </w:rPr>
        <w:t xml:space="preserve"> </w:t>
      </w:r>
      <w:r>
        <w:rPr>
          <w:rFonts w:hint="eastAsia" w:ascii="仿宋" w:hAnsi="仿宋" w:eastAsia="仿宋" w:cs="仿宋"/>
          <w:color w:val="auto"/>
          <w:sz w:val="24"/>
          <w:szCs w:val="24"/>
        </w:rPr>
        <w:t>提前竣工的奖励：</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66C7F52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8. 材料与设备</w:t>
      </w:r>
    </w:p>
    <w:p w14:paraId="5C8217B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8.4</w:t>
      </w:r>
      <w:r>
        <w:rPr>
          <w:rFonts w:hint="eastAsia" w:ascii="仿宋" w:hAnsi="仿宋" w:eastAsia="仿宋" w:cs="仿宋"/>
          <w:color w:val="auto"/>
          <w:spacing w:val="-47"/>
          <w:sz w:val="24"/>
          <w:szCs w:val="24"/>
        </w:rPr>
        <w:t xml:space="preserve"> </w:t>
      </w:r>
      <w:r>
        <w:rPr>
          <w:rFonts w:hint="eastAsia" w:ascii="仿宋" w:hAnsi="仿宋" w:eastAsia="仿宋" w:cs="仿宋"/>
          <w:color w:val="auto"/>
          <w:spacing w:val="-1"/>
          <w:sz w:val="24"/>
          <w:szCs w:val="24"/>
        </w:rPr>
        <w:t>材料与工程设备的保管与使用</w:t>
      </w:r>
    </w:p>
    <w:p w14:paraId="074EFC68">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8.4.1</w:t>
      </w:r>
      <w:r>
        <w:rPr>
          <w:rFonts w:hint="eastAsia" w:ascii="仿宋" w:hAnsi="仿宋" w:eastAsia="仿宋" w:cs="仿宋"/>
          <w:color w:val="auto"/>
          <w:spacing w:val="-31"/>
          <w:sz w:val="24"/>
          <w:szCs w:val="24"/>
        </w:rPr>
        <w:t xml:space="preserve"> </w:t>
      </w:r>
      <w:r>
        <w:rPr>
          <w:rFonts w:hint="eastAsia" w:ascii="仿宋" w:hAnsi="仿宋" w:eastAsia="仿宋" w:cs="仿宋"/>
          <w:color w:val="auto"/>
          <w:spacing w:val="-1"/>
          <w:sz w:val="24"/>
          <w:szCs w:val="24"/>
        </w:rPr>
        <w:t>发包人供应的材料设备的保管费用的承担：</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00D2067E">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8.5 材料与工程设备采购及使用</w:t>
      </w:r>
    </w:p>
    <w:p w14:paraId="599D7F4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8.5.1 该项目所使用材料设备必须满足发包人</w:t>
      </w:r>
      <w:r>
        <w:rPr>
          <w:rFonts w:hint="eastAsia" w:ascii="仿宋" w:hAnsi="仿宋" w:eastAsia="仿宋" w:cs="仿宋"/>
          <w:sz w:val="24"/>
          <w:szCs w:val="24"/>
          <w:highlight w:val="none"/>
          <w:lang w:val="en-US" w:eastAsia="zh-CN"/>
        </w:rPr>
        <w:t>要求</w:t>
      </w:r>
      <w:r>
        <w:rPr>
          <w:rFonts w:hint="eastAsia" w:ascii="仿宋" w:hAnsi="仿宋" w:eastAsia="仿宋" w:cs="仿宋"/>
          <w:sz w:val="24"/>
          <w:szCs w:val="24"/>
          <w:highlight w:val="none"/>
        </w:rPr>
        <w:t>。</w:t>
      </w:r>
    </w:p>
    <w:p w14:paraId="5B538746">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8.6 样品</w:t>
      </w:r>
    </w:p>
    <w:p w14:paraId="7AD1FBA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8.6.1样品的报送与封存</w:t>
      </w:r>
    </w:p>
    <w:p w14:paraId="20BEEAA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default" w:ascii="仿宋" w:hAnsi="仿宋" w:eastAsia="仿宋" w:cs="仿宋"/>
          <w:color w:val="auto"/>
          <w:spacing w:val="-1"/>
          <w:sz w:val="24"/>
          <w:szCs w:val="24"/>
          <w:u w:val="none"/>
          <w:lang w:val="en-US" w:eastAsia="zh-CN"/>
        </w:rPr>
      </w:pPr>
      <w:r>
        <w:rPr>
          <w:rFonts w:hint="eastAsia" w:ascii="仿宋" w:hAnsi="仿宋" w:eastAsia="仿宋" w:cs="仿宋"/>
          <w:sz w:val="24"/>
          <w:szCs w:val="24"/>
          <w:highlight w:val="none"/>
        </w:rPr>
        <w:t>需要承包人报送样品的材料或工程设备，样品的种类、名称、规格、数量要求：</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238D8D0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8.8 施工设备和临时设施</w:t>
      </w:r>
    </w:p>
    <w:p w14:paraId="54359A6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8.8.1 承包人提供的施工设备和临时设施</w:t>
      </w:r>
    </w:p>
    <w:p w14:paraId="26D6FB98">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关于修建临时设施费用承担的约定：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61C27069">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9. 试验与检验</w:t>
      </w:r>
    </w:p>
    <w:p w14:paraId="6793281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9.1试验设备与试验人员</w:t>
      </w:r>
    </w:p>
    <w:p w14:paraId="3F2CF7F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9.1.2 试验设备</w:t>
      </w:r>
    </w:p>
    <w:p w14:paraId="741A1CE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施工现场需要配置的试验场所：</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58E559F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施工现场需要配备的试验设备：</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66C9CAD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施工现场需要具备的其他试验条件：</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554C3AC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9.4 现场工艺试验</w:t>
      </w:r>
    </w:p>
    <w:p w14:paraId="3171222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rPr>
        <w:t>现场工艺试验的有关约定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w:t>
      </w:r>
    </w:p>
    <w:p w14:paraId="3B0BAB7B">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7"/>
          <w:sz w:val="24"/>
          <w:szCs w:val="24"/>
        </w:rPr>
        <w:t>10.</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7"/>
          <w:sz w:val="24"/>
          <w:szCs w:val="24"/>
        </w:rPr>
        <w:t>变更</w:t>
      </w:r>
    </w:p>
    <w:p w14:paraId="47EC2EA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10.1</w:t>
      </w:r>
      <w:r>
        <w:rPr>
          <w:rFonts w:hint="eastAsia" w:ascii="仿宋" w:hAnsi="仿宋" w:eastAsia="仿宋" w:cs="仿宋"/>
          <w:color w:val="auto"/>
          <w:spacing w:val="-44"/>
          <w:sz w:val="24"/>
          <w:szCs w:val="24"/>
        </w:rPr>
        <w:t xml:space="preserve"> </w:t>
      </w:r>
      <w:r>
        <w:rPr>
          <w:rFonts w:hint="eastAsia" w:ascii="仿宋" w:hAnsi="仿宋" w:eastAsia="仿宋" w:cs="仿宋"/>
          <w:color w:val="auto"/>
          <w:spacing w:val="-4"/>
          <w:sz w:val="24"/>
          <w:szCs w:val="24"/>
        </w:rPr>
        <w:t>变更的范围</w:t>
      </w:r>
    </w:p>
    <w:p w14:paraId="5940486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关于变更的范围的约定：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62F6B8B2">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10.4 变更估价</w:t>
      </w:r>
    </w:p>
    <w:p w14:paraId="5C55115A">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10.4.1 变更估价原则</w:t>
      </w:r>
    </w:p>
    <w:p w14:paraId="053D0A3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 xml:space="preserve">关于变更估价的约定: </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05DF21D5">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10.5</w:t>
      </w:r>
      <w:r>
        <w:rPr>
          <w:rFonts w:hint="eastAsia" w:ascii="仿宋" w:hAnsi="仿宋" w:eastAsia="仿宋" w:cs="仿宋"/>
          <w:color w:val="auto"/>
          <w:spacing w:val="-41"/>
          <w:sz w:val="24"/>
          <w:szCs w:val="24"/>
        </w:rPr>
        <w:t xml:space="preserve"> </w:t>
      </w:r>
      <w:r>
        <w:rPr>
          <w:rFonts w:hint="eastAsia" w:ascii="仿宋" w:hAnsi="仿宋" w:eastAsia="仿宋" w:cs="仿宋"/>
          <w:color w:val="auto"/>
          <w:spacing w:val="-3"/>
          <w:sz w:val="24"/>
          <w:szCs w:val="24"/>
        </w:rPr>
        <w:t>承包人的合理化建议</w:t>
      </w:r>
    </w:p>
    <w:p w14:paraId="7025B56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承包人提出的合理化建议降低了合同价格或者提高了工程经济效益的奖励的方法和金额</w:t>
      </w:r>
      <w:r>
        <w:rPr>
          <w:rFonts w:hint="eastAsia" w:ascii="仿宋" w:hAnsi="仿宋" w:eastAsia="仿宋" w:cs="仿宋"/>
          <w:color w:val="auto"/>
          <w:spacing w:val="-5"/>
          <w:sz w:val="24"/>
          <w:szCs w:val="24"/>
        </w:rPr>
        <w:t>为：</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5"/>
          <w:sz w:val="24"/>
          <w:szCs w:val="24"/>
          <w:u w:val="single" w:color="auto"/>
        </w:rPr>
        <w:t>/</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5"/>
          <w:sz w:val="24"/>
          <w:szCs w:val="24"/>
        </w:rPr>
        <w:t>。</w:t>
      </w:r>
    </w:p>
    <w:p w14:paraId="58BD396E">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10.7</w:t>
      </w:r>
      <w:r>
        <w:rPr>
          <w:rFonts w:hint="eastAsia" w:ascii="仿宋" w:hAnsi="仿宋" w:eastAsia="仿宋" w:cs="仿宋"/>
          <w:color w:val="auto"/>
          <w:spacing w:val="17"/>
          <w:sz w:val="24"/>
          <w:szCs w:val="24"/>
        </w:rPr>
        <w:t xml:space="preserve"> </w:t>
      </w:r>
      <w:r>
        <w:rPr>
          <w:rFonts w:hint="eastAsia" w:ascii="仿宋" w:hAnsi="仿宋" w:eastAsia="仿宋" w:cs="仿宋"/>
          <w:color w:val="auto"/>
          <w:spacing w:val="-6"/>
          <w:sz w:val="24"/>
          <w:szCs w:val="24"/>
        </w:rPr>
        <w:t>暂估价</w:t>
      </w:r>
    </w:p>
    <w:p w14:paraId="645C9138">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暂估价材料和工程设备的明细详见附件</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2"/>
          <w:sz w:val="24"/>
          <w:szCs w:val="24"/>
        </w:rPr>
        <w:t>11：《暂估价一览表》。</w:t>
      </w:r>
    </w:p>
    <w:p w14:paraId="052DA94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w:t>
      </w:r>
      <w:bookmarkStart w:id="1" w:name="_Toc312678035"/>
      <w:bookmarkStart w:id="2" w:name="_Toc312677509"/>
      <w:bookmarkStart w:id="3" w:name="_Toc318581177"/>
      <w:r>
        <w:rPr>
          <w:rFonts w:hint="eastAsia" w:ascii="仿宋" w:hAnsi="仿宋" w:eastAsia="仿宋" w:cs="仿宋"/>
          <w:color w:val="auto"/>
          <w:spacing w:val="-2"/>
          <w:sz w:val="24"/>
          <w:szCs w:val="24"/>
        </w:rPr>
        <w:t>0.7.1 依法必须招标的暂估价项目</w:t>
      </w:r>
    </w:p>
    <w:bookmarkEnd w:id="1"/>
    <w:bookmarkEnd w:id="2"/>
    <w:bookmarkEnd w:id="3"/>
    <w:p w14:paraId="6B272CB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对于依法必须招标的暂估价项目的确认和批准采取第</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u w:val="single"/>
          <w:lang w:val="en-US" w:eastAsia="zh-CN"/>
        </w:rPr>
        <w:t xml:space="preserve"> 1</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种方式确定。</w:t>
      </w:r>
    </w:p>
    <w:p w14:paraId="623FC136">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outlineLvl w:val="9"/>
        <w:rPr>
          <w:rFonts w:hint="eastAsia" w:ascii="仿宋" w:hAnsi="仿宋" w:eastAsia="仿宋" w:cs="仿宋"/>
          <w:b/>
          <w:bCs/>
          <w:color w:val="auto"/>
          <w:spacing w:val="-2"/>
          <w:sz w:val="24"/>
          <w:szCs w:val="24"/>
        </w:rPr>
      </w:pPr>
      <w:r>
        <w:rPr>
          <w:rFonts w:hint="eastAsia" w:ascii="仿宋" w:hAnsi="仿宋" w:eastAsia="仿宋" w:cs="仿宋"/>
          <w:b/>
          <w:bCs/>
          <w:color w:val="auto"/>
          <w:spacing w:val="-2"/>
          <w:sz w:val="24"/>
          <w:szCs w:val="24"/>
        </w:rPr>
        <w:t>本条通用条款内容：</w:t>
      </w:r>
    </w:p>
    <w:p w14:paraId="1FF2E1E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 1 种方式：对于依法必须招标的暂估价项目，由承包人招标，对该暂估价项目的确认和批准按照以下约定执行：</w:t>
      </w:r>
    </w:p>
    <w:p w14:paraId="4B8C8C9C">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5AE34E9">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D31A5C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 7 天内，将暂估价合同副本报送发包人留存。</w:t>
      </w:r>
    </w:p>
    <w:p w14:paraId="7961C38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 2 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2"/>
          <w:sz w:val="24"/>
          <w:szCs w:val="24"/>
        </w:rPr>
        <w:t>由发包人、承包人与中标人共同签订暂估价合同。</w:t>
      </w:r>
    </w:p>
    <w:p w14:paraId="28BB60E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10.7.2 不属于依法必须招标的暂估价项目</w:t>
      </w:r>
    </w:p>
    <w:p w14:paraId="09663FEA">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对于不属于依法必须招标的暂估价项目的确认和批准采取第</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u w:val="single"/>
          <w:lang w:val="en-US" w:eastAsia="zh-CN"/>
        </w:rPr>
        <w:t>1</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种方式确定。</w:t>
      </w:r>
    </w:p>
    <w:p w14:paraId="7BE3D120">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outlineLvl w:val="9"/>
        <w:rPr>
          <w:rFonts w:hint="eastAsia" w:ascii="仿宋" w:hAnsi="仿宋" w:eastAsia="仿宋" w:cs="仿宋"/>
          <w:b/>
          <w:bCs/>
          <w:color w:val="auto"/>
          <w:spacing w:val="-2"/>
          <w:sz w:val="24"/>
          <w:szCs w:val="24"/>
        </w:rPr>
      </w:pPr>
      <w:r>
        <w:rPr>
          <w:rFonts w:hint="eastAsia" w:ascii="仿宋" w:hAnsi="仿宋" w:eastAsia="仿宋" w:cs="仿宋"/>
          <w:b/>
          <w:bCs/>
          <w:color w:val="auto"/>
          <w:spacing w:val="-2"/>
          <w:sz w:val="24"/>
          <w:szCs w:val="24"/>
        </w:rPr>
        <w:t>本条通用条款内容：</w:t>
      </w:r>
    </w:p>
    <w:p w14:paraId="42C1E2BA">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 1 种方式：对于不属于依法必须招标的暂估价项目，按本项约定确认和批准：</w:t>
      </w:r>
    </w:p>
    <w:p w14:paraId="1D37E53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（1）承包人应根据施工进度计划，在签订暂估价项目的采购合同、分包合同前</w:t>
      </w:r>
    </w:p>
    <w:p w14:paraId="40292575">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28 天向监理人提出书面申请。监理人应当在收到申请后 3 天内报送发包人，发包人应 当在收到申请后 14 天内给予批准或提出修改意见，发包人逾期未予批准或提出修改 意见的，视为该书面申请已获得同意；</w:t>
      </w:r>
    </w:p>
    <w:p w14:paraId="7BD66F11">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lang w:eastAsia="zh-CN"/>
        </w:rPr>
      </w:pPr>
      <w:r>
        <w:rPr>
          <w:rFonts w:hint="eastAsia" w:ascii="仿宋" w:hAnsi="仿宋" w:eastAsia="仿宋" w:cs="仿宋"/>
          <w:color w:val="auto"/>
          <w:spacing w:val="-2"/>
          <w:sz w:val="24"/>
          <w:szCs w:val="24"/>
        </w:rPr>
        <w:t>（2）发包人认为承包人确定的供应商、分包人无法满足工程质量或合同要求的， 发包人可以要求承包人重新确定暂估价项目的供应商、分包人</w:t>
      </w:r>
      <w:r>
        <w:rPr>
          <w:rFonts w:hint="eastAsia" w:ascii="仿宋" w:hAnsi="仿宋" w:eastAsia="仿宋" w:cs="仿宋"/>
          <w:color w:val="auto"/>
          <w:spacing w:val="-2"/>
          <w:sz w:val="24"/>
          <w:szCs w:val="24"/>
          <w:lang w:eastAsia="zh-CN"/>
        </w:rPr>
        <w:t>；</w:t>
      </w:r>
    </w:p>
    <w:p w14:paraId="0D37BFA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（3）承包人应当在签订暂估价合同后 7 天内，将暂估价合同副本报送发包人留存。</w:t>
      </w:r>
    </w:p>
    <w:p w14:paraId="3A504231">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第3种方式：承包人直接实施的暂估价项目</w:t>
      </w:r>
    </w:p>
    <w:p w14:paraId="60D5A3E1">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lang w:eastAsia="zh-CN"/>
        </w:rPr>
      </w:pPr>
      <w:r>
        <w:rPr>
          <w:rFonts w:hint="eastAsia" w:ascii="仿宋" w:hAnsi="仿宋" w:eastAsia="仿宋" w:cs="仿宋"/>
          <w:color w:val="auto"/>
          <w:spacing w:val="-2"/>
          <w:sz w:val="24"/>
          <w:szCs w:val="24"/>
        </w:rPr>
        <w:t>承包人直接实施的暂估价项目的约定：</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u w:val="none"/>
          <w:lang w:eastAsia="zh-CN"/>
        </w:rPr>
        <w:t>。</w:t>
      </w:r>
    </w:p>
    <w:p w14:paraId="5A38AD56">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rPr>
        <w:t>10.8</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5"/>
          <w:sz w:val="24"/>
          <w:szCs w:val="24"/>
        </w:rPr>
        <w:t>暂列金额</w:t>
      </w:r>
    </w:p>
    <w:p w14:paraId="3743DD9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合同当事人关于暂列金额使用的约定：</w:t>
      </w:r>
      <w:r>
        <w:rPr>
          <w:rFonts w:hint="eastAsia" w:ascii="仿宋" w:hAnsi="仿宋" w:eastAsia="仿宋" w:cs="仿宋"/>
          <w:color w:val="auto"/>
          <w:sz w:val="24"/>
          <w:szCs w:val="24"/>
          <w:u w:val="single" w:color="auto"/>
        </w:rPr>
        <w:t xml:space="preserve"> 暂列金额是发包人为工程实施过程中的不可预见的变更和索赔、调价、材料采购等所设，不应视为承包人所有，当工程发生以上事项时，依据合同相关条款据实结算</w:t>
      </w:r>
      <w:r>
        <w:rPr>
          <w:rFonts w:hint="eastAsia" w:ascii="仿宋" w:hAnsi="仿宋" w:eastAsia="仿宋" w:cs="仿宋"/>
          <w:color w:val="auto"/>
          <w:spacing w:val="-1"/>
          <w:sz w:val="24"/>
          <w:szCs w:val="24"/>
        </w:rPr>
        <w:t>。</w:t>
      </w:r>
    </w:p>
    <w:p w14:paraId="2369339A">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11. 价格调整</w:t>
      </w:r>
    </w:p>
    <w:p w14:paraId="3C8BB60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市场价格波动是否调整合同价格的约定：</w:t>
      </w:r>
      <w:r>
        <w:rPr>
          <w:rFonts w:hint="eastAsia" w:ascii="仿宋" w:hAnsi="仿宋" w:eastAsia="仿宋" w:cs="仿宋"/>
          <w:color w:val="auto"/>
          <w:spacing w:val="-2"/>
          <w:sz w:val="24"/>
          <w:szCs w:val="24"/>
          <w:u w:val="single"/>
          <w:lang w:val="en-US" w:eastAsia="zh-CN"/>
        </w:rPr>
        <w:t xml:space="preserve">         </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w:t>
      </w:r>
    </w:p>
    <w:p w14:paraId="088443D7">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因市场价格波动调整合同价格，采用以下第</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种方式对合同价格进行调整：</w:t>
      </w:r>
    </w:p>
    <w:p w14:paraId="6ACD8BC9">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第1种方式：采用价格指数进行价格调整。</w:t>
      </w:r>
    </w:p>
    <w:p w14:paraId="3226BB88">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default" w:ascii="仿宋" w:hAnsi="仿宋" w:eastAsia="仿宋" w:cs="仿宋"/>
          <w:color w:val="auto"/>
          <w:spacing w:val="-2"/>
          <w:sz w:val="24"/>
          <w:szCs w:val="24"/>
          <w:lang w:val="en-US" w:eastAsia="zh-CN"/>
        </w:rPr>
      </w:pPr>
      <w:r>
        <w:rPr>
          <w:rFonts w:hint="eastAsia" w:ascii="仿宋" w:hAnsi="仿宋" w:eastAsia="仿宋" w:cs="仿宋"/>
          <w:color w:val="auto"/>
          <w:spacing w:val="-2"/>
          <w:sz w:val="24"/>
          <w:szCs w:val="24"/>
        </w:rPr>
        <w:t>关于各可调因子、定值和变值权重，以及基本价格指数及其来源的约</w:t>
      </w:r>
      <w:r>
        <w:rPr>
          <w:rFonts w:hint="eastAsia" w:ascii="仿宋" w:hAnsi="仿宋" w:eastAsia="仿宋" w:cs="仿宋"/>
          <w:color w:val="auto"/>
          <w:spacing w:val="-2"/>
          <w:sz w:val="24"/>
          <w:szCs w:val="24"/>
          <w:lang w:val="en-US" w:eastAsia="zh-CN"/>
        </w:rPr>
        <w:t>定：</w:t>
      </w:r>
      <w:r>
        <w:rPr>
          <w:rFonts w:hint="eastAsia" w:ascii="仿宋" w:hAnsi="仿宋" w:eastAsia="仿宋" w:cs="仿宋"/>
          <w:color w:val="auto"/>
          <w:spacing w:val="-2"/>
          <w:sz w:val="24"/>
          <w:szCs w:val="24"/>
          <w:u w:val="single"/>
          <w:lang w:val="en-US" w:eastAsia="zh-CN"/>
        </w:rPr>
        <w:t xml:space="preserve">          </w:t>
      </w:r>
      <w:r>
        <w:rPr>
          <w:rFonts w:hint="eastAsia" w:ascii="仿宋" w:hAnsi="仿宋" w:eastAsia="仿宋" w:cs="仿宋"/>
          <w:color w:val="auto"/>
          <w:spacing w:val="-2"/>
          <w:sz w:val="24"/>
          <w:szCs w:val="24"/>
          <w:lang w:val="en-US" w:eastAsia="zh-CN"/>
        </w:rPr>
        <w:t>。</w:t>
      </w:r>
    </w:p>
    <w:p w14:paraId="7B52AE49">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第2种方式：采用造价信息进行价格调整。</w:t>
      </w:r>
    </w:p>
    <w:p w14:paraId="6E687ED1">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（2）关于基准价格的约定：</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 xml:space="preserve"> 。</w:t>
      </w:r>
    </w:p>
    <w:p w14:paraId="12EADDE5">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%时，或材料单价跌幅以已标价工程量清单或预算书中载明材料单价为基础超过</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%时，其超过部分据实调整。</w:t>
      </w:r>
    </w:p>
    <w:p w14:paraId="2D7F9FBC">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%时，材料单价涨幅以已标价工程量清单或预算书中载明材料单价为基础超过</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%时，其超过部分据实调整。</w:t>
      </w:r>
    </w:p>
    <w:p w14:paraId="74134C9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pacing w:val="-2"/>
          <w:sz w:val="24"/>
          <w:szCs w:val="24"/>
          <w:u w:val="single"/>
        </w:rPr>
        <w:t xml:space="preserve">   </w:t>
      </w:r>
      <w:r>
        <w:rPr>
          <w:rFonts w:hint="eastAsia" w:ascii="仿宋" w:hAnsi="仿宋" w:eastAsia="仿宋" w:cs="仿宋"/>
          <w:color w:val="auto"/>
          <w:spacing w:val="-2"/>
          <w:sz w:val="24"/>
          <w:szCs w:val="24"/>
        </w:rPr>
        <w:t>%时，其超过部分据实调整。</w:t>
      </w:r>
    </w:p>
    <w:p w14:paraId="0F5AA0D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default" w:ascii="仿宋" w:hAnsi="仿宋" w:eastAsia="仿宋" w:cs="仿宋"/>
          <w:color w:val="auto"/>
          <w:spacing w:val="-2"/>
          <w:sz w:val="24"/>
          <w:szCs w:val="24"/>
          <w:lang w:val="en-US" w:eastAsia="zh-CN"/>
        </w:rPr>
      </w:pPr>
      <w:r>
        <w:rPr>
          <w:rFonts w:hint="eastAsia" w:ascii="仿宋" w:hAnsi="仿宋" w:eastAsia="仿宋" w:cs="仿宋"/>
          <w:color w:val="auto"/>
          <w:spacing w:val="-2"/>
          <w:sz w:val="24"/>
          <w:szCs w:val="24"/>
        </w:rPr>
        <w:t>第3种方式：其他价格</w:t>
      </w:r>
      <w:r>
        <w:rPr>
          <w:rFonts w:hint="eastAsia" w:ascii="仿宋" w:hAnsi="仿宋" w:eastAsia="仿宋" w:cs="仿宋"/>
          <w:color w:val="auto"/>
          <w:spacing w:val="-2"/>
          <w:sz w:val="24"/>
          <w:szCs w:val="24"/>
          <w:lang w:val="en-US" w:eastAsia="zh-CN"/>
        </w:rPr>
        <w:t>调整方式：</w:t>
      </w:r>
      <w:r>
        <w:rPr>
          <w:rFonts w:hint="eastAsia" w:ascii="仿宋" w:hAnsi="仿宋" w:eastAsia="仿宋" w:cs="仿宋"/>
          <w:color w:val="auto"/>
          <w:spacing w:val="-2"/>
          <w:sz w:val="24"/>
          <w:szCs w:val="24"/>
          <w:u w:val="single"/>
          <w:lang w:val="en-US" w:eastAsia="zh-CN"/>
        </w:rPr>
        <w:t xml:space="preserve">                    </w:t>
      </w:r>
      <w:r>
        <w:rPr>
          <w:rFonts w:hint="eastAsia" w:ascii="仿宋" w:hAnsi="仿宋" w:eastAsia="仿宋" w:cs="仿宋"/>
          <w:color w:val="auto"/>
          <w:spacing w:val="-2"/>
          <w:sz w:val="24"/>
          <w:szCs w:val="24"/>
          <w:lang w:val="en-US" w:eastAsia="zh-CN"/>
        </w:rPr>
        <w:t xml:space="preserve">。 </w:t>
      </w:r>
    </w:p>
    <w:p w14:paraId="51D872A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12. 合同价格、计量与支付</w:t>
      </w:r>
    </w:p>
    <w:p w14:paraId="5928B01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12.1 合同价格形式</w:t>
      </w:r>
    </w:p>
    <w:p w14:paraId="6F7EA263">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1、单价合同。</w:t>
      </w:r>
    </w:p>
    <w:p w14:paraId="689474B8">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综合单价包含的风险范围：</w:t>
      </w:r>
      <w:r>
        <w:rPr>
          <w:rFonts w:hint="eastAsia" w:ascii="仿宋" w:hAnsi="仿宋" w:eastAsia="仿宋" w:cs="仿宋"/>
          <w:color w:val="auto"/>
          <w:spacing w:val="-3"/>
          <w:sz w:val="24"/>
          <w:szCs w:val="24"/>
          <w:u w:val="single" w:color="auto"/>
        </w:rPr>
        <w:t xml:space="preserve"> 除国家、地方相关政策性文件、规定及不可抗力以外的所有风险</w:t>
      </w:r>
      <w:r>
        <w:rPr>
          <w:rFonts w:hint="eastAsia" w:ascii="仿宋" w:hAnsi="仿宋" w:eastAsia="仿宋" w:cs="仿宋"/>
          <w:color w:val="auto"/>
          <w:spacing w:val="27"/>
          <w:sz w:val="24"/>
          <w:szCs w:val="24"/>
          <w:u w:val="single" w:color="auto"/>
        </w:rPr>
        <w:t xml:space="preserve"> </w:t>
      </w:r>
      <w:r>
        <w:rPr>
          <w:rFonts w:hint="eastAsia" w:ascii="仿宋" w:hAnsi="仿宋" w:eastAsia="仿宋" w:cs="仿宋"/>
          <w:color w:val="auto"/>
          <w:spacing w:val="-5"/>
          <w:sz w:val="24"/>
          <w:szCs w:val="24"/>
        </w:rPr>
        <w:t>。</w:t>
      </w:r>
    </w:p>
    <w:p w14:paraId="00CDB8F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风险费用的计算方法：</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u w:val="single" w:color="auto"/>
          <w:lang w:val="en-US" w:eastAsia="zh-CN"/>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238BE18">
      <w:pPr>
        <w:keepNext w:val="0"/>
        <w:keepLines w:val="0"/>
        <w:pageBreakBefore w:val="0"/>
        <w:widowControl w:val="0"/>
        <w:tabs>
          <w:tab w:val="left" w:pos="557"/>
        </w:tabs>
        <w:kinsoku/>
        <w:wordWrap/>
        <w:overflowPunct/>
        <w:topLinePunct w:val="0"/>
        <w:autoSpaceDE/>
        <w:autoSpaceDN/>
        <w:bidi w:val="0"/>
        <w:adjustRightInd/>
        <w:snapToGrid/>
        <w:spacing w:line="360" w:lineRule="auto"/>
        <w:ind w:left="0" w:right="0" w:firstLine="484" w:firstLineChars="200"/>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pacing w:val="1"/>
          <w:sz w:val="24"/>
          <w:szCs w:val="24"/>
        </w:rPr>
        <w:t>风险范围以外合同价格的调整方法：</w:t>
      </w:r>
      <w:r>
        <w:rPr>
          <w:rFonts w:hint="eastAsia" w:ascii="仿宋" w:hAnsi="仿宋" w:eastAsia="仿宋" w:cs="仿宋"/>
          <w:color w:val="auto"/>
          <w:spacing w:val="1"/>
          <w:sz w:val="24"/>
          <w:szCs w:val="24"/>
          <w:u w:val="single" w:color="auto"/>
          <w:lang w:val="en-US" w:eastAsia="zh-CN"/>
        </w:rPr>
        <w:t xml:space="preserve">    </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u w:val="none" w:color="auto"/>
          <w:lang w:eastAsia="zh-CN"/>
        </w:rPr>
        <w:t>。</w:t>
      </w:r>
    </w:p>
    <w:p w14:paraId="43A6F674">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2、总价合同。</w:t>
      </w:r>
    </w:p>
    <w:p w14:paraId="5A7E803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总价包含的风险范围：</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3"/>
          <w:sz w:val="24"/>
          <w:szCs w:val="24"/>
          <w:u w:val="single" w:color="auto"/>
        </w:rPr>
        <w:t>除国家、地方相关政策性文件、规定及不可抗力以外的所有风险</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119982A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风险费用的计算方法：</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7CF6166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风险范围以外合同价格的调整方法：</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561A857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3、其他价格方式：</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2B187FB">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5"/>
          <w:sz w:val="24"/>
          <w:szCs w:val="24"/>
        </w:rPr>
        <w:t>12.2</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5"/>
          <w:sz w:val="24"/>
          <w:szCs w:val="24"/>
        </w:rPr>
        <w:t>预付款</w:t>
      </w:r>
    </w:p>
    <w:p w14:paraId="278181D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12.2.1 预付款的支付</w:t>
      </w:r>
    </w:p>
    <w:p w14:paraId="3ABCDFA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预付款支付比例或金额：</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2DDAEC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预付款支付期限：</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7DA7D013">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预付款扣回的方式：</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66CE9157">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12.2.2 预付款担保</w:t>
      </w:r>
    </w:p>
    <w:p w14:paraId="5F8C8823">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承包人提交预付款担保的期限：</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5220D19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预付款担保的形式为：</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13C1E09E">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12.3</w:t>
      </w:r>
      <w:r>
        <w:rPr>
          <w:rFonts w:hint="eastAsia" w:ascii="仿宋" w:hAnsi="仿宋" w:eastAsia="仿宋" w:cs="仿宋"/>
          <w:color w:val="auto"/>
          <w:spacing w:val="11"/>
          <w:sz w:val="24"/>
          <w:szCs w:val="24"/>
        </w:rPr>
        <w:t xml:space="preserve"> </w:t>
      </w:r>
      <w:r>
        <w:rPr>
          <w:rFonts w:hint="eastAsia" w:ascii="仿宋" w:hAnsi="仿宋" w:eastAsia="仿宋" w:cs="仿宋"/>
          <w:color w:val="auto"/>
          <w:spacing w:val="-6"/>
          <w:sz w:val="24"/>
          <w:szCs w:val="24"/>
        </w:rPr>
        <w:t>计量</w:t>
      </w:r>
    </w:p>
    <w:p w14:paraId="0CE31DBE">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12.3.1 计量原则</w:t>
      </w:r>
    </w:p>
    <w:p w14:paraId="1C287CE4">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工程量计算规则：</w:t>
      </w:r>
      <w:r>
        <w:rPr>
          <w:rFonts w:hint="eastAsia" w:ascii="仿宋" w:hAnsi="仿宋" w:eastAsia="仿宋" w:cs="仿宋"/>
          <w:color w:val="auto"/>
          <w:spacing w:val="-2"/>
          <w:sz w:val="24"/>
          <w:szCs w:val="24"/>
          <w:u w:val="single"/>
          <w:lang w:val="en-US" w:eastAsia="zh-CN"/>
        </w:rPr>
        <w:t xml:space="preserve">                        </w:t>
      </w:r>
      <w:r>
        <w:rPr>
          <w:rFonts w:hint="eastAsia" w:ascii="仿宋" w:hAnsi="仿宋" w:eastAsia="仿宋" w:cs="仿宋"/>
          <w:color w:val="auto"/>
          <w:spacing w:val="-1"/>
          <w:sz w:val="24"/>
          <w:szCs w:val="24"/>
          <w:u w:val="single"/>
        </w:rPr>
        <w:t>。</w:t>
      </w:r>
    </w:p>
    <w:p w14:paraId="77C16A95">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12.3.2 计量周期</w:t>
      </w:r>
    </w:p>
    <w:p w14:paraId="7B659DE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关于计量周期的约定：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32F2693A">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12.3.3 单价合同的计量</w:t>
      </w:r>
    </w:p>
    <w:p w14:paraId="728EF79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关于单价合同计量的约定：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7AE92C3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12.3.4 总价合同的计量</w:t>
      </w:r>
    </w:p>
    <w:p w14:paraId="1A9F7D8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关于总价合同计量的约定：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65B87E6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12.3.5</w:t>
      </w:r>
      <w:r>
        <w:rPr>
          <w:rFonts w:hint="eastAsia" w:ascii="仿宋" w:hAnsi="仿宋" w:eastAsia="仿宋" w:cs="仿宋"/>
          <w:color w:val="auto"/>
          <w:spacing w:val="-42"/>
          <w:sz w:val="24"/>
          <w:szCs w:val="24"/>
        </w:rPr>
        <w:t xml:space="preserve"> </w:t>
      </w:r>
      <w:r>
        <w:rPr>
          <w:rFonts w:hint="eastAsia" w:ascii="仿宋" w:hAnsi="仿宋" w:eastAsia="仿宋" w:cs="仿宋"/>
          <w:color w:val="auto"/>
          <w:spacing w:val="-4"/>
          <w:sz w:val="24"/>
          <w:szCs w:val="24"/>
        </w:rPr>
        <w:t>总价合同采用支付分解表计量支付的，是否适用第</w:t>
      </w:r>
      <w:r>
        <w:rPr>
          <w:rFonts w:hint="eastAsia" w:ascii="仿宋" w:hAnsi="仿宋" w:eastAsia="仿宋" w:cs="仿宋"/>
          <w:color w:val="auto"/>
          <w:spacing w:val="-33"/>
          <w:sz w:val="24"/>
          <w:szCs w:val="24"/>
        </w:rPr>
        <w:t xml:space="preserve"> </w:t>
      </w:r>
      <w:r>
        <w:rPr>
          <w:rFonts w:hint="eastAsia" w:ascii="仿宋" w:hAnsi="仿宋" w:eastAsia="仿宋" w:cs="仿宋"/>
          <w:color w:val="auto"/>
          <w:spacing w:val="-4"/>
          <w:sz w:val="24"/>
          <w:szCs w:val="24"/>
        </w:rPr>
        <w:t>12.3.4 项〔总</w:t>
      </w:r>
      <w:r>
        <w:rPr>
          <w:rFonts w:hint="eastAsia" w:ascii="仿宋" w:hAnsi="仿宋" w:eastAsia="仿宋" w:cs="仿宋"/>
          <w:color w:val="auto"/>
          <w:spacing w:val="-5"/>
          <w:sz w:val="24"/>
          <w:szCs w:val="24"/>
        </w:rPr>
        <w:t>价合同的计量〕</w:t>
      </w:r>
      <w:r>
        <w:rPr>
          <w:rFonts w:hint="eastAsia" w:ascii="仿宋" w:hAnsi="仿宋" w:eastAsia="仿宋" w:cs="仿宋"/>
          <w:color w:val="auto"/>
          <w:sz w:val="24"/>
          <w:szCs w:val="24"/>
        </w:rPr>
        <w:t>约定进行计量：</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AFFA2EF">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12.3.6 其他价格形式合同的计量</w:t>
      </w:r>
    </w:p>
    <w:p w14:paraId="31DAC04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其他价格形式的计量方式和程序：</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3BAD1EC5">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12.4 工程进度款支付</w:t>
      </w:r>
    </w:p>
    <w:p w14:paraId="2C047CFE">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12.4.1 付款周期</w:t>
      </w:r>
    </w:p>
    <w:p w14:paraId="405B6004">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outlineLvl w:val="9"/>
        <w:rPr>
          <w:rFonts w:hint="eastAsia" w:ascii="仿宋" w:hAnsi="仿宋" w:eastAsia="仿宋" w:cs="仿宋"/>
          <w:color w:val="auto"/>
          <w:spacing w:val="1"/>
          <w:sz w:val="24"/>
          <w:szCs w:val="24"/>
          <w:u w:val="single"/>
        </w:rPr>
      </w:pPr>
      <w:r>
        <w:rPr>
          <w:rFonts w:hint="eastAsia" w:ascii="仿宋" w:hAnsi="仿宋" w:eastAsia="仿宋" w:cs="仿宋"/>
          <w:color w:val="auto"/>
          <w:spacing w:val="1"/>
          <w:sz w:val="24"/>
          <w:szCs w:val="24"/>
        </w:rPr>
        <w:t>关于付款周期的约定：</w:t>
      </w:r>
      <w:r>
        <w:rPr>
          <w:rFonts w:hint="eastAsia" w:ascii="仿宋" w:hAnsi="仿宋" w:eastAsia="仿宋" w:cs="仿宋"/>
          <w:color w:val="auto"/>
          <w:spacing w:val="1"/>
          <w:sz w:val="24"/>
          <w:szCs w:val="24"/>
          <w:u w:val="single"/>
        </w:rPr>
        <w:t>合同签订，进场后支付合同价的40%，完工验收合格后支付剩下的60%的合同款。</w:t>
      </w:r>
    </w:p>
    <w:p w14:paraId="39A6E03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12.4.2 进度付款申请单的编制</w:t>
      </w:r>
    </w:p>
    <w:p w14:paraId="5452FE7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关于进度付款申请单编制的约定：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58256FA4">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12.4.3 进度付款申请单的提交</w:t>
      </w:r>
    </w:p>
    <w:p w14:paraId="28ADD37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（1）单价合同进度付款申请单提交的约定：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7EBA968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（2）总价合同进度付款申请单提交的约定：</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59B6FAE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（3）其他价格形式合同进度付款申请单提交的约定：</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   </w:t>
      </w:r>
      <w:r>
        <w:rPr>
          <w:rFonts w:hint="eastAsia" w:ascii="仿宋" w:hAnsi="仿宋" w:eastAsia="仿宋" w:cs="仿宋"/>
          <w:color w:val="auto"/>
          <w:spacing w:val="-1"/>
          <w:sz w:val="24"/>
          <w:szCs w:val="24"/>
        </w:rPr>
        <w:t>。</w:t>
      </w:r>
    </w:p>
    <w:p w14:paraId="2C15AA5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12.4.4 进度款审核和支付</w:t>
      </w:r>
    </w:p>
    <w:p w14:paraId="53B6EAC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（1）监理人审查并报送发包人的期限：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4894320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发包人完成审批并签发进度款支付证书的期限：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24C99D8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（2）发包人支付进度款的期限：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75AC0B8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发包人逾期支付进度款的违约金的计算方式</w:t>
      </w:r>
      <w:r>
        <w:rPr>
          <w:rFonts w:hint="eastAsia" w:ascii="仿宋" w:hAnsi="仿宋" w:eastAsia="仿宋" w:cs="仿宋"/>
          <w:color w:val="auto"/>
          <w:spacing w:val="-1"/>
          <w:sz w:val="24"/>
          <w:szCs w:val="24"/>
        </w:rPr>
        <w:t>：</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5F267885">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13.2 竣工验收</w:t>
      </w:r>
    </w:p>
    <w:p w14:paraId="15A2AAFC">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13.2.2</w:t>
      </w:r>
      <w:r>
        <w:rPr>
          <w:rFonts w:hint="eastAsia" w:ascii="仿宋" w:hAnsi="仿宋" w:eastAsia="仿宋" w:cs="仿宋"/>
          <w:color w:val="auto"/>
          <w:spacing w:val="-43"/>
          <w:sz w:val="24"/>
          <w:szCs w:val="24"/>
        </w:rPr>
        <w:t xml:space="preserve"> </w:t>
      </w:r>
      <w:r>
        <w:rPr>
          <w:rFonts w:hint="eastAsia" w:ascii="仿宋" w:hAnsi="仿宋" w:eastAsia="仿宋" w:cs="仿宋"/>
          <w:color w:val="auto"/>
          <w:spacing w:val="-3"/>
          <w:sz w:val="24"/>
          <w:szCs w:val="24"/>
        </w:rPr>
        <w:t>竣工验收程序</w:t>
      </w:r>
    </w:p>
    <w:p w14:paraId="102446A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发包人不按照本项约定组织竣工验收、颁发工程接收证书的违约金的计算方法：</w:t>
      </w:r>
      <w:r>
        <w:rPr>
          <w:rFonts w:hint="eastAsia" w:ascii="仿宋" w:hAnsi="仿宋" w:eastAsia="仿宋" w:cs="仿宋"/>
          <w:color w:val="auto"/>
          <w:sz w:val="24"/>
          <w:szCs w:val="24"/>
          <w:u w:val="single" w:color="auto"/>
        </w:rPr>
        <w:t>执行通</w:t>
      </w:r>
      <w:r>
        <w:rPr>
          <w:rFonts w:hint="eastAsia" w:ascii="仿宋" w:hAnsi="仿宋" w:eastAsia="仿宋" w:cs="仿宋"/>
          <w:color w:val="auto"/>
          <w:spacing w:val="-2"/>
          <w:sz w:val="24"/>
          <w:szCs w:val="24"/>
          <w:u w:val="single" w:color="auto"/>
        </w:rPr>
        <w:t>用合同条款</w:t>
      </w:r>
      <w:r>
        <w:rPr>
          <w:rFonts w:hint="eastAsia" w:ascii="仿宋" w:hAnsi="仿宋" w:eastAsia="仿宋" w:cs="仿宋"/>
          <w:color w:val="auto"/>
          <w:spacing w:val="-2"/>
          <w:sz w:val="24"/>
          <w:szCs w:val="24"/>
        </w:rPr>
        <w:t>。</w:t>
      </w:r>
    </w:p>
    <w:p w14:paraId="3505879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13.2.5</w:t>
      </w:r>
      <w:r>
        <w:rPr>
          <w:rFonts w:hint="eastAsia" w:ascii="仿宋" w:hAnsi="仿宋" w:eastAsia="仿宋" w:cs="仿宋"/>
          <w:color w:val="auto"/>
          <w:spacing w:val="-44"/>
          <w:sz w:val="24"/>
          <w:szCs w:val="24"/>
        </w:rPr>
        <w:t xml:space="preserve"> </w:t>
      </w:r>
      <w:r>
        <w:rPr>
          <w:rFonts w:hint="eastAsia" w:ascii="仿宋" w:hAnsi="仿宋" w:eastAsia="仿宋" w:cs="仿宋"/>
          <w:color w:val="auto"/>
          <w:spacing w:val="-2"/>
          <w:sz w:val="24"/>
          <w:szCs w:val="24"/>
        </w:rPr>
        <w:t>移交、接收全部与部分工程</w:t>
      </w:r>
    </w:p>
    <w:p w14:paraId="25ECBDA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承包人向发包人移交工程的期限：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5BE501E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发包人未按本合同约定接收全部或部分工程的，违约金的计算方法为：</w:t>
      </w:r>
      <w:r>
        <w:rPr>
          <w:rFonts w:hint="eastAsia" w:ascii="仿宋" w:hAnsi="仿宋" w:eastAsia="仿宋" w:cs="仿宋"/>
          <w:color w:val="auto"/>
          <w:sz w:val="24"/>
          <w:szCs w:val="24"/>
          <w:u w:val="single" w:color="auto"/>
        </w:rPr>
        <w:t>执行通用合同条</w:t>
      </w:r>
      <w:r>
        <w:rPr>
          <w:rFonts w:hint="eastAsia" w:ascii="仿宋" w:hAnsi="仿宋" w:eastAsia="仿宋" w:cs="仿宋"/>
          <w:color w:val="auto"/>
          <w:spacing w:val="-5"/>
          <w:sz w:val="24"/>
          <w:szCs w:val="24"/>
          <w:u w:val="single" w:color="auto"/>
        </w:rPr>
        <w:t>款</w:t>
      </w:r>
      <w:r>
        <w:rPr>
          <w:rFonts w:hint="eastAsia" w:ascii="仿宋" w:hAnsi="仿宋" w:eastAsia="仿宋" w:cs="仿宋"/>
          <w:color w:val="auto"/>
          <w:spacing w:val="-5"/>
          <w:sz w:val="24"/>
          <w:szCs w:val="24"/>
        </w:rPr>
        <w:t>。</w:t>
      </w:r>
    </w:p>
    <w:p w14:paraId="6628CA9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z w:val="24"/>
          <w:szCs w:val="24"/>
        </w:rPr>
        <w:t>承包人未按时移交工程的，违约金的计算方法为：</w:t>
      </w:r>
      <w:r>
        <w:rPr>
          <w:rFonts w:hint="eastAsia" w:ascii="仿宋" w:hAnsi="仿宋" w:eastAsia="仿宋" w:cs="仿宋"/>
          <w:color w:val="auto"/>
          <w:sz w:val="24"/>
          <w:szCs w:val="24"/>
          <w:u w:val="single" w:color="auto"/>
        </w:rPr>
        <w:t>执</w:t>
      </w:r>
      <w:r>
        <w:rPr>
          <w:rFonts w:hint="eastAsia" w:ascii="仿宋" w:hAnsi="仿宋" w:eastAsia="仿宋" w:cs="仿宋"/>
          <w:color w:val="auto"/>
          <w:spacing w:val="-1"/>
          <w:sz w:val="24"/>
          <w:szCs w:val="24"/>
          <w:u w:val="single" w:color="auto"/>
        </w:rPr>
        <w:t>行通用合同条款</w:t>
      </w:r>
      <w:r>
        <w:rPr>
          <w:rFonts w:hint="eastAsia" w:ascii="仿宋" w:hAnsi="仿宋" w:eastAsia="仿宋" w:cs="仿宋"/>
          <w:color w:val="auto"/>
          <w:spacing w:val="-1"/>
          <w:sz w:val="24"/>
          <w:szCs w:val="24"/>
        </w:rPr>
        <w:t>。</w:t>
      </w:r>
    </w:p>
    <w:p w14:paraId="70AEAF1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14. 竣工结算</w:t>
      </w:r>
    </w:p>
    <w:p w14:paraId="17E3E126">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14.1 竣工结算申请</w:t>
      </w:r>
    </w:p>
    <w:p w14:paraId="218AD6F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承包人提交竣工结算申请单的期限：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0EE970B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竣工结算申请单应包括的内容：</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1D425DC8">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14.2 竣工结算审核</w:t>
      </w:r>
    </w:p>
    <w:p w14:paraId="55F964B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发包人审批竣工付款申请单的期限：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4A0799F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发包人完成竣工付款的期限：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0933D6D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关于竣工付款证书异议部分复核的方式和程序：</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02DF12E1">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14.4 最终结清</w:t>
      </w:r>
    </w:p>
    <w:p w14:paraId="674420A5">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14.4.1 最终结清申请单</w:t>
      </w:r>
    </w:p>
    <w:p w14:paraId="4A3FDE1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承包人提交最终结清申请单的份数：</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2A0EF3E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承包人提交最终结算申请单的期限：</w:t>
      </w:r>
      <w:r>
        <w:rPr>
          <w:rFonts w:hint="eastAsia" w:ascii="仿宋" w:hAnsi="仿宋" w:eastAsia="仿宋" w:cs="仿宋"/>
          <w:color w:val="auto"/>
          <w:spacing w:val="-1"/>
          <w:sz w:val="24"/>
          <w:szCs w:val="24"/>
          <w:u w:val="single" w:color="auto"/>
        </w:rPr>
        <w:t>执行通用合同条款</w:t>
      </w:r>
      <w:r>
        <w:rPr>
          <w:rFonts w:hint="eastAsia" w:ascii="仿宋" w:hAnsi="仿宋" w:eastAsia="仿宋" w:cs="仿宋"/>
          <w:color w:val="auto"/>
          <w:spacing w:val="-1"/>
          <w:sz w:val="24"/>
          <w:szCs w:val="24"/>
        </w:rPr>
        <w:t>。</w:t>
      </w:r>
    </w:p>
    <w:p w14:paraId="237683A4">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14.4.2 最终结清证书和支付</w:t>
      </w:r>
    </w:p>
    <w:p w14:paraId="3B91495C">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（1）发包人完成最终结清申请单的审批并颁发最终结清证书的期限：</w:t>
      </w:r>
      <w:r>
        <w:rPr>
          <w:rFonts w:hint="eastAsia" w:ascii="仿宋" w:hAnsi="仿宋" w:eastAsia="仿宋" w:cs="仿宋"/>
          <w:color w:val="auto"/>
          <w:spacing w:val="-6"/>
          <w:sz w:val="24"/>
          <w:szCs w:val="24"/>
          <w:u w:val="single" w:color="auto"/>
        </w:rPr>
        <w:t>执</w:t>
      </w:r>
      <w:r>
        <w:rPr>
          <w:rFonts w:hint="eastAsia" w:ascii="仿宋" w:hAnsi="仿宋" w:eastAsia="仿宋" w:cs="仿宋"/>
          <w:color w:val="auto"/>
          <w:spacing w:val="-7"/>
          <w:sz w:val="24"/>
          <w:szCs w:val="24"/>
          <w:u w:val="single" w:color="auto"/>
        </w:rPr>
        <w:t>行通用合同条款</w:t>
      </w:r>
      <w:r>
        <w:rPr>
          <w:rFonts w:hint="eastAsia" w:ascii="仿宋" w:hAnsi="仿宋" w:eastAsia="仿宋" w:cs="仿宋"/>
          <w:color w:val="auto"/>
          <w:spacing w:val="-7"/>
          <w:sz w:val="24"/>
          <w:szCs w:val="24"/>
        </w:rPr>
        <w:t>。</w:t>
      </w:r>
    </w:p>
    <w:p w14:paraId="477762B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（2）发包人完成支付的期限：</w:t>
      </w:r>
      <w:r>
        <w:rPr>
          <w:rFonts w:hint="eastAsia" w:ascii="仿宋" w:hAnsi="仿宋" w:eastAsia="仿宋" w:cs="仿宋"/>
          <w:color w:val="auto"/>
          <w:sz w:val="24"/>
          <w:szCs w:val="24"/>
          <w:u w:val="single" w:color="auto"/>
        </w:rPr>
        <w:t>执行通用合同条款。</w:t>
      </w:r>
    </w:p>
    <w:p w14:paraId="001462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15. 缺陷责任期与保修</w:t>
      </w:r>
    </w:p>
    <w:p w14:paraId="4033200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15.2</w:t>
      </w:r>
      <w:r>
        <w:rPr>
          <w:rFonts w:hint="eastAsia" w:ascii="仿宋" w:hAnsi="仿宋" w:eastAsia="仿宋" w:cs="仿宋"/>
          <w:color w:val="auto"/>
          <w:spacing w:val="-44"/>
          <w:sz w:val="24"/>
          <w:szCs w:val="24"/>
        </w:rPr>
        <w:t xml:space="preserve"> </w:t>
      </w:r>
      <w:r>
        <w:rPr>
          <w:rFonts w:hint="eastAsia" w:ascii="仿宋" w:hAnsi="仿宋" w:eastAsia="仿宋" w:cs="仿宋"/>
          <w:color w:val="auto"/>
          <w:spacing w:val="-4"/>
          <w:sz w:val="24"/>
          <w:szCs w:val="24"/>
        </w:rPr>
        <w:t>缺陷责任期</w:t>
      </w:r>
    </w:p>
    <w:p w14:paraId="6DCBE17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缺陷责任期的具体期限：</w:t>
      </w:r>
      <w:r>
        <w:rPr>
          <w:rFonts w:hint="eastAsia" w:ascii="仿宋" w:hAnsi="仿宋" w:eastAsia="仿宋" w:cs="仿宋"/>
          <w:color w:val="auto"/>
          <w:spacing w:val="-1"/>
          <w:sz w:val="24"/>
          <w:szCs w:val="24"/>
          <w:u w:val="single" w:color="auto"/>
        </w:rPr>
        <w:t>见工程质量保修书</w:t>
      </w:r>
      <w:r>
        <w:rPr>
          <w:rFonts w:hint="eastAsia" w:ascii="仿宋" w:hAnsi="仿宋" w:eastAsia="仿宋" w:cs="仿宋"/>
          <w:color w:val="auto"/>
          <w:spacing w:val="-1"/>
          <w:sz w:val="24"/>
          <w:szCs w:val="24"/>
        </w:rPr>
        <w:t>。</w:t>
      </w:r>
    </w:p>
    <w:p w14:paraId="7B18ACF0">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15.</w:t>
      </w:r>
      <w:r>
        <w:rPr>
          <w:rFonts w:hint="eastAsia" w:ascii="仿宋" w:hAnsi="仿宋" w:eastAsia="仿宋" w:cs="仿宋"/>
          <w:color w:val="auto"/>
          <w:spacing w:val="-6"/>
          <w:sz w:val="24"/>
          <w:szCs w:val="24"/>
          <w:lang w:val="en-US" w:eastAsia="zh-CN"/>
        </w:rPr>
        <w:t>3</w:t>
      </w:r>
      <w:r>
        <w:rPr>
          <w:rFonts w:hint="eastAsia" w:ascii="仿宋" w:hAnsi="仿宋" w:eastAsia="仿宋" w:cs="仿宋"/>
          <w:color w:val="auto"/>
          <w:spacing w:val="-44"/>
          <w:sz w:val="24"/>
          <w:szCs w:val="24"/>
        </w:rPr>
        <w:t xml:space="preserve"> </w:t>
      </w:r>
      <w:r>
        <w:rPr>
          <w:rFonts w:hint="eastAsia" w:ascii="仿宋" w:hAnsi="仿宋" w:eastAsia="仿宋" w:cs="仿宋"/>
          <w:color w:val="auto"/>
          <w:spacing w:val="-6"/>
          <w:sz w:val="24"/>
          <w:szCs w:val="24"/>
        </w:rPr>
        <w:t>保修</w:t>
      </w:r>
    </w:p>
    <w:p w14:paraId="00594492">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15.</w:t>
      </w:r>
      <w:r>
        <w:rPr>
          <w:rFonts w:hint="eastAsia" w:ascii="仿宋" w:hAnsi="仿宋" w:eastAsia="仿宋" w:cs="仿宋"/>
          <w:color w:val="auto"/>
          <w:spacing w:val="-3"/>
          <w:sz w:val="24"/>
          <w:szCs w:val="24"/>
          <w:lang w:val="en-US" w:eastAsia="zh-CN"/>
        </w:rPr>
        <w:t>3</w:t>
      </w:r>
      <w:r>
        <w:rPr>
          <w:rFonts w:hint="eastAsia" w:ascii="仿宋" w:hAnsi="仿宋" w:eastAsia="仿宋" w:cs="仿宋"/>
          <w:color w:val="auto"/>
          <w:spacing w:val="-3"/>
          <w:sz w:val="24"/>
          <w:szCs w:val="24"/>
        </w:rPr>
        <w:t>.1 保修责任</w:t>
      </w:r>
    </w:p>
    <w:p w14:paraId="3A4BD3A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工程保修期为：</w:t>
      </w:r>
      <w:r>
        <w:rPr>
          <w:rFonts w:hint="eastAsia" w:ascii="仿宋" w:hAnsi="仿宋" w:eastAsia="仿宋" w:cs="仿宋"/>
          <w:color w:val="auto"/>
          <w:spacing w:val="-1"/>
          <w:sz w:val="24"/>
          <w:szCs w:val="24"/>
          <w:u w:val="single" w:color="auto"/>
        </w:rPr>
        <w:t>见工程质量保修书</w:t>
      </w:r>
      <w:r>
        <w:rPr>
          <w:rFonts w:hint="eastAsia" w:ascii="仿宋" w:hAnsi="仿宋" w:eastAsia="仿宋" w:cs="仿宋"/>
          <w:color w:val="auto"/>
          <w:spacing w:val="-1"/>
          <w:sz w:val="24"/>
          <w:szCs w:val="24"/>
        </w:rPr>
        <w:t>。</w:t>
      </w:r>
    </w:p>
    <w:p w14:paraId="5C229B96">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7"/>
          <w:sz w:val="24"/>
          <w:szCs w:val="24"/>
        </w:rPr>
        <w:t>16.</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7"/>
          <w:sz w:val="24"/>
          <w:szCs w:val="24"/>
        </w:rPr>
        <w:t>违约</w:t>
      </w:r>
    </w:p>
    <w:p w14:paraId="53AFDD31">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16.1 发包人违约</w:t>
      </w:r>
    </w:p>
    <w:p w14:paraId="4C78BE87">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16.1.1</w:t>
      </w:r>
      <w:r>
        <w:rPr>
          <w:rFonts w:hint="eastAsia" w:ascii="仿宋" w:hAnsi="仿宋" w:eastAsia="仿宋" w:cs="仿宋"/>
          <w:color w:val="auto"/>
          <w:spacing w:val="-38"/>
          <w:sz w:val="24"/>
          <w:szCs w:val="24"/>
        </w:rPr>
        <w:t xml:space="preserve"> </w:t>
      </w:r>
      <w:r>
        <w:rPr>
          <w:rFonts w:hint="eastAsia" w:ascii="仿宋" w:hAnsi="仿宋" w:eastAsia="仿宋" w:cs="仿宋"/>
          <w:color w:val="auto"/>
          <w:spacing w:val="-3"/>
          <w:sz w:val="24"/>
          <w:szCs w:val="24"/>
        </w:rPr>
        <w:t>发包人违约的情形</w:t>
      </w:r>
    </w:p>
    <w:p w14:paraId="25ACB3D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发包人违约的其他情形：</w:t>
      </w:r>
      <w:r>
        <w:rPr>
          <w:rFonts w:hint="eastAsia" w:ascii="仿宋" w:hAnsi="仿宋" w:eastAsia="仿宋" w:cs="仿宋"/>
          <w:color w:val="auto"/>
          <w:sz w:val="24"/>
          <w:szCs w:val="24"/>
          <w:u w:val="single" w:color="auto"/>
        </w:rPr>
        <w:t xml:space="preserve">     /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6917D18F">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16.1.2 发包人违约的责任</w:t>
      </w:r>
    </w:p>
    <w:p w14:paraId="096B34EC">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发包人违约责任的承担方式和计算方法：</w:t>
      </w:r>
    </w:p>
    <w:p w14:paraId="75CE5441">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（1）因发包人原因未能在计划开工日期前</w:t>
      </w:r>
      <w:r>
        <w:rPr>
          <w:rFonts w:hint="eastAsia" w:ascii="仿宋" w:hAnsi="仿宋" w:eastAsia="仿宋" w:cs="仿宋"/>
          <w:color w:val="auto"/>
          <w:spacing w:val="-34"/>
          <w:sz w:val="24"/>
          <w:szCs w:val="24"/>
        </w:rPr>
        <w:t xml:space="preserve"> </w:t>
      </w:r>
      <w:r>
        <w:rPr>
          <w:rFonts w:hint="eastAsia" w:ascii="仿宋" w:hAnsi="仿宋" w:eastAsia="仿宋" w:cs="仿宋"/>
          <w:color w:val="auto"/>
          <w:spacing w:val="2"/>
          <w:sz w:val="24"/>
          <w:szCs w:val="24"/>
        </w:rPr>
        <w:t>7</w:t>
      </w:r>
      <w:r>
        <w:rPr>
          <w:rFonts w:hint="eastAsia" w:ascii="仿宋" w:hAnsi="仿宋" w:eastAsia="仿宋" w:cs="仿宋"/>
          <w:color w:val="auto"/>
          <w:spacing w:val="-40"/>
          <w:sz w:val="24"/>
          <w:szCs w:val="24"/>
        </w:rPr>
        <w:t xml:space="preserve"> </w:t>
      </w:r>
      <w:r>
        <w:rPr>
          <w:rFonts w:hint="eastAsia" w:ascii="仿宋" w:hAnsi="仿宋" w:eastAsia="仿宋" w:cs="仿宋"/>
          <w:color w:val="auto"/>
          <w:spacing w:val="2"/>
          <w:sz w:val="24"/>
          <w:szCs w:val="24"/>
        </w:rPr>
        <w:t>天内下达开工通知的违约责任：</w:t>
      </w:r>
      <w:r>
        <w:rPr>
          <w:rFonts w:hint="eastAsia" w:ascii="仿宋" w:hAnsi="仿宋" w:eastAsia="仿宋" w:cs="仿宋"/>
          <w:color w:val="auto"/>
          <w:spacing w:val="2"/>
          <w:sz w:val="24"/>
          <w:szCs w:val="24"/>
          <w:u w:val="single" w:color="auto"/>
        </w:rPr>
        <w:t>工期顺</w:t>
      </w:r>
      <w:r>
        <w:rPr>
          <w:rFonts w:hint="eastAsia" w:ascii="仿宋" w:hAnsi="仿宋" w:eastAsia="仿宋" w:cs="仿宋"/>
          <w:color w:val="auto"/>
          <w:spacing w:val="-3"/>
          <w:sz w:val="24"/>
          <w:szCs w:val="24"/>
          <w:u w:val="single" w:color="auto"/>
        </w:rPr>
        <w:t>延</w:t>
      </w:r>
      <w:r>
        <w:rPr>
          <w:rFonts w:hint="eastAsia" w:ascii="仿宋" w:hAnsi="仿宋" w:eastAsia="仿宋" w:cs="仿宋"/>
          <w:color w:val="auto"/>
          <w:spacing w:val="-3"/>
          <w:sz w:val="24"/>
          <w:szCs w:val="24"/>
        </w:rPr>
        <w:t>。</w:t>
      </w:r>
    </w:p>
    <w:p w14:paraId="78810D9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（2）因发包人原因未能按合同约定支付合同价款的</w:t>
      </w:r>
      <w:r>
        <w:rPr>
          <w:rFonts w:hint="eastAsia" w:ascii="仿宋" w:hAnsi="仿宋" w:eastAsia="仿宋" w:cs="仿宋"/>
          <w:color w:val="auto"/>
          <w:spacing w:val="-1"/>
          <w:sz w:val="24"/>
          <w:szCs w:val="24"/>
        </w:rPr>
        <w:t>违约责任：</w:t>
      </w:r>
      <w:r>
        <w:rPr>
          <w:rFonts w:hint="eastAsia" w:ascii="仿宋" w:hAnsi="仿宋" w:eastAsia="仿宋" w:cs="仿宋"/>
          <w:color w:val="auto"/>
          <w:spacing w:val="-1"/>
          <w:sz w:val="24"/>
          <w:szCs w:val="24"/>
          <w:u w:val="single" w:color="auto"/>
        </w:rPr>
        <w:t xml:space="preserve">  双方另行协商 </w:t>
      </w:r>
      <w:r>
        <w:rPr>
          <w:rFonts w:hint="eastAsia" w:ascii="仿宋" w:hAnsi="仿宋" w:eastAsia="仿宋" w:cs="仿宋"/>
          <w:color w:val="auto"/>
          <w:spacing w:val="-1"/>
          <w:sz w:val="24"/>
          <w:szCs w:val="24"/>
        </w:rPr>
        <w:t>。</w:t>
      </w:r>
    </w:p>
    <w:p w14:paraId="0E2B18DC">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（3）发包人违反第</w:t>
      </w:r>
      <w:r>
        <w:rPr>
          <w:rFonts w:hint="eastAsia" w:ascii="仿宋" w:hAnsi="仿宋" w:eastAsia="仿宋" w:cs="仿宋"/>
          <w:color w:val="auto"/>
          <w:spacing w:val="-30"/>
          <w:sz w:val="24"/>
          <w:szCs w:val="24"/>
        </w:rPr>
        <w:t xml:space="preserve"> </w:t>
      </w:r>
      <w:r>
        <w:rPr>
          <w:rFonts w:hint="eastAsia" w:ascii="仿宋" w:hAnsi="仿宋" w:eastAsia="仿宋" w:cs="仿宋"/>
          <w:color w:val="auto"/>
          <w:spacing w:val="-3"/>
          <w:sz w:val="24"/>
          <w:szCs w:val="24"/>
        </w:rPr>
        <w:t>10.1</w:t>
      </w:r>
      <w:r>
        <w:rPr>
          <w:rFonts w:hint="eastAsia" w:ascii="仿宋" w:hAnsi="仿宋" w:eastAsia="仿宋" w:cs="仿宋"/>
          <w:color w:val="auto"/>
          <w:spacing w:val="-48"/>
          <w:sz w:val="24"/>
          <w:szCs w:val="24"/>
        </w:rPr>
        <w:t xml:space="preserve"> </w:t>
      </w:r>
      <w:r>
        <w:rPr>
          <w:rFonts w:hint="eastAsia" w:ascii="仿宋" w:hAnsi="仿宋" w:eastAsia="仿宋" w:cs="仿宋"/>
          <w:color w:val="auto"/>
          <w:spacing w:val="-3"/>
          <w:sz w:val="24"/>
          <w:szCs w:val="24"/>
        </w:rPr>
        <w:t>款〔变更的范围〕第（2）项</w:t>
      </w:r>
      <w:r>
        <w:rPr>
          <w:rFonts w:hint="eastAsia" w:ascii="仿宋" w:hAnsi="仿宋" w:eastAsia="仿宋" w:cs="仿宋"/>
          <w:color w:val="auto"/>
          <w:spacing w:val="-4"/>
          <w:sz w:val="24"/>
          <w:szCs w:val="24"/>
        </w:rPr>
        <w:t>约定，自行实施被取消的工作或转</w:t>
      </w:r>
      <w:r>
        <w:rPr>
          <w:rFonts w:hint="eastAsia" w:ascii="仿宋" w:hAnsi="仿宋" w:eastAsia="仿宋" w:cs="仿宋"/>
          <w:color w:val="auto"/>
          <w:spacing w:val="-1"/>
          <w:sz w:val="24"/>
          <w:szCs w:val="24"/>
        </w:rPr>
        <w:t>由他人实施的违约责任：</w:t>
      </w:r>
      <w:r>
        <w:rPr>
          <w:rFonts w:hint="eastAsia" w:ascii="仿宋" w:hAnsi="仿宋" w:eastAsia="仿宋" w:cs="仿宋"/>
          <w:color w:val="auto"/>
          <w:spacing w:val="-1"/>
          <w:sz w:val="24"/>
          <w:szCs w:val="24"/>
          <w:u w:val="single" w:color="auto"/>
        </w:rPr>
        <w:t xml:space="preserve"> 双方另行协商  </w:t>
      </w:r>
      <w:r>
        <w:rPr>
          <w:rFonts w:hint="eastAsia" w:ascii="仿宋" w:hAnsi="仿宋" w:eastAsia="仿宋" w:cs="仿宋"/>
          <w:color w:val="auto"/>
          <w:spacing w:val="-2"/>
          <w:sz w:val="24"/>
          <w:szCs w:val="24"/>
        </w:rPr>
        <w:t>。</w:t>
      </w:r>
    </w:p>
    <w:p w14:paraId="2E0AB55C">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（4）发包人提供的材料、工程设备的规格、数量或质量不符合合同约定，或因发包人原</w:t>
      </w:r>
      <w:r>
        <w:rPr>
          <w:rFonts w:hint="eastAsia" w:ascii="仿宋" w:hAnsi="仿宋" w:eastAsia="仿宋" w:cs="仿宋"/>
          <w:color w:val="auto"/>
          <w:spacing w:val="11"/>
          <w:sz w:val="24"/>
          <w:szCs w:val="24"/>
        </w:rPr>
        <w:t xml:space="preserve"> </w:t>
      </w:r>
      <w:r>
        <w:rPr>
          <w:rFonts w:hint="eastAsia" w:ascii="仿宋" w:hAnsi="仿宋" w:eastAsia="仿宋" w:cs="仿宋"/>
          <w:color w:val="auto"/>
          <w:sz w:val="24"/>
          <w:szCs w:val="24"/>
        </w:rPr>
        <w:t>因导致交货日期延误或交货地点变更等情况的违约责任：</w:t>
      </w:r>
      <w:r>
        <w:rPr>
          <w:rFonts w:hint="eastAsia" w:ascii="仿宋" w:hAnsi="仿宋" w:eastAsia="仿宋" w:cs="仿宋"/>
          <w:color w:val="auto"/>
          <w:sz w:val="24"/>
          <w:szCs w:val="24"/>
          <w:u w:val="single" w:color="auto"/>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w:t>
      </w:r>
      <w:r>
        <w:rPr>
          <w:rFonts w:hint="eastAsia" w:ascii="仿宋" w:hAnsi="仿宋" w:eastAsia="仿宋" w:cs="仿宋"/>
          <w:color w:val="auto"/>
          <w:spacing w:val="-5"/>
          <w:sz w:val="24"/>
          <w:szCs w:val="24"/>
          <w:u w:val="single" w:color="auto"/>
        </w:rPr>
        <w:t>担</w:t>
      </w:r>
      <w:r>
        <w:rPr>
          <w:rFonts w:hint="eastAsia" w:ascii="仿宋" w:hAnsi="仿宋" w:eastAsia="仿宋" w:cs="仿宋"/>
          <w:color w:val="auto"/>
          <w:spacing w:val="-5"/>
          <w:sz w:val="24"/>
          <w:szCs w:val="24"/>
        </w:rPr>
        <w:t>。</w:t>
      </w:r>
    </w:p>
    <w:p w14:paraId="1EBC9219">
      <w:pPr>
        <w:keepNext w:val="0"/>
        <w:keepLines w:val="0"/>
        <w:pageBreakBefore w:val="0"/>
        <w:widowControl w:val="0"/>
        <w:kinsoku/>
        <w:wordWrap/>
        <w:overflowPunct/>
        <w:topLinePunct w:val="0"/>
        <w:autoSpaceDE/>
        <w:autoSpaceDN/>
        <w:bidi w:val="0"/>
        <w:adjustRightInd/>
        <w:snapToGrid/>
        <w:spacing w:line="360" w:lineRule="auto"/>
        <w:ind w:right="0" w:firstLine="456"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（5）因发包人违反合同约定造成暂停施工的违约责任：</w:t>
      </w:r>
      <w:r>
        <w:rPr>
          <w:rFonts w:hint="eastAsia" w:ascii="仿宋" w:hAnsi="仿宋" w:eastAsia="仿宋" w:cs="仿宋"/>
          <w:color w:val="auto"/>
          <w:spacing w:val="-6"/>
          <w:sz w:val="24"/>
          <w:szCs w:val="24"/>
          <w:u w:val="single" w:color="auto"/>
        </w:rPr>
        <w:t>若影响工期的，工期予以顺延</w:t>
      </w:r>
      <w:r>
        <w:rPr>
          <w:rFonts w:hint="eastAsia" w:ascii="仿宋" w:hAnsi="仿宋" w:eastAsia="仿宋" w:cs="仿宋"/>
          <w:color w:val="auto"/>
          <w:spacing w:val="-7"/>
          <w:sz w:val="24"/>
          <w:szCs w:val="24"/>
          <w:u w:val="single" w:color="auto"/>
        </w:rPr>
        <w:t xml:space="preserve"> </w:t>
      </w:r>
      <w:r>
        <w:rPr>
          <w:rFonts w:hint="eastAsia" w:ascii="仿宋" w:hAnsi="仿宋" w:eastAsia="仿宋" w:cs="仿宋"/>
          <w:color w:val="auto"/>
          <w:spacing w:val="-7"/>
          <w:sz w:val="24"/>
          <w:szCs w:val="24"/>
        </w:rPr>
        <w:t>。</w:t>
      </w:r>
    </w:p>
    <w:p w14:paraId="3AB4A28B">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（6）发包人无正当理由没有在约定期限内发出复工指示，导致承包人无法复工的违约责</w:t>
      </w:r>
      <w:r>
        <w:rPr>
          <w:rFonts w:hint="eastAsia" w:ascii="仿宋" w:hAnsi="仿宋" w:eastAsia="仿宋" w:cs="仿宋"/>
          <w:color w:val="auto"/>
          <w:spacing w:val="14"/>
          <w:sz w:val="24"/>
          <w:szCs w:val="24"/>
        </w:rPr>
        <w:t xml:space="preserve"> </w:t>
      </w:r>
      <w:r>
        <w:rPr>
          <w:rFonts w:hint="eastAsia" w:ascii="仿宋" w:hAnsi="仿宋" w:eastAsia="仿宋" w:cs="仿宋"/>
          <w:color w:val="auto"/>
          <w:sz w:val="24"/>
          <w:szCs w:val="24"/>
        </w:rPr>
        <w:t>任：</w:t>
      </w:r>
      <w:r>
        <w:rPr>
          <w:rFonts w:hint="eastAsia" w:ascii="仿宋" w:hAnsi="仿宋" w:eastAsia="仿宋" w:cs="仿宋"/>
          <w:color w:val="auto"/>
          <w:sz w:val="24"/>
          <w:szCs w:val="24"/>
          <w:u w:val="single" w:color="auto"/>
        </w:rPr>
        <w:t xml:space="preserve"> 若影响工期的，工期予以顺延 </w:t>
      </w:r>
      <w:r>
        <w:rPr>
          <w:rFonts w:hint="eastAsia" w:ascii="仿宋" w:hAnsi="仿宋" w:eastAsia="仿宋" w:cs="仿宋"/>
          <w:color w:val="auto"/>
          <w:spacing w:val="-1"/>
          <w:sz w:val="24"/>
          <w:szCs w:val="24"/>
        </w:rPr>
        <w:t>。</w:t>
      </w:r>
    </w:p>
    <w:p w14:paraId="4367582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（7）其他：</w:t>
      </w:r>
      <w:r>
        <w:rPr>
          <w:rFonts w:hint="eastAsia" w:ascii="仿宋" w:hAnsi="仿宋" w:eastAsia="仿宋" w:cs="仿宋"/>
          <w:color w:val="auto"/>
          <w:sz w:val="24"/>
          <w:szCs w:val="24"/>
          <w:u w:val="single" w:color="auto"/>
        </w:rPr>
        <w:t xml:space="preserve">双方协商解决 </w:t>
      </w:r>
      <w:r>
        <w:rPr>
          <w:rFonts w:hint="eastAsia" w:ascii="仿宋" w:hAnsi="仿宋" w:eastAsia="仿宋" w:cs="仿宋"/>
          <w:color w:val="auto"/>
          <w:spacing w:val="-1"/>
          <w:sz w:val="24"/>
          <w:szCs w:val="24"/>
        </w:rPr>
        <w:t>。</w:t>
      </w:r>
    </w:p>
    <w:p w14:paraId="1420FDD9">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pacing w:val="-3"/>
          <w:sz w:val="24"/>
          <w:szCs w:val="24"/>
        </w:rPr>
      </w:pPr>
      <w:r>
        <w:rPr>
          <w:rFonts w:hint="eastAsia" w:ascii="仿宋" w:hAnsi="仿宋" w:eastAsia="仿宋" w:cs="仿宋"/>
          <w:color w:val="auto"/>
          <w:spacing w:val="-3"/>
          <w:sz w:val="24"/>
          <w:szCs w:val="24"/>
        </w:rPr>
        <w:t>16.2 承包人违约</w:t>
      </w:r>
    </w:p>
    <w:p w14:paraId="7287DC5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16.2.1 承包人违约的情形</w:t>
      </w:r>
    </w:p>
    <w:p w14:paraId="4BC80DB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承包人违约的其他情形</w:t>
      </w:r>
      <w:r>
        <w:rPr>
          <w:rFonts w:hint="eastAsia" w:ascii="仿宋" w:hAnsi="仿宋" w:eastAsia="仿宋" w:cs="仿宋"/>
          <w:color w:val="auto"/>
          <w:spacing w:val="-31"/>
          <w:sz w:val="24"/>
          <w:szCs w:val="24"/>
        </w:rPr>
        <w:t>：</w:t>
      </w:r>
      <w:r>
        <w:rPr>
          <w:rFonts w:hint="eastAsia" w:ascii="仿宋" w:hAnsi="仿宋" w:eastAsia="仿宋" w:cs="仿宋"/>
          <w:color w:val="auto"/>
          <w:spacing w:val="-31"/>
          <w:sz w:val="24"/>
          <w:szCs w:val="24"/>
          <w:u w:val="single" w:color="auto"/>
          <w:lang w:eastAsia="zh-CN"/>
        </w:rPr>
        <w:t>（</w:t>
      </w:r>
      <w:r>
        <w:rPr>
          <w:rFonts w:hint="eastAsia" w:ascii="仿宋" w:hAnsi="仿宋" w:eastAsia="仿宋" w:cs="仿宋"/>
          <w:color w:val="auto"/>
          <w:spacing w:val="-31"/>
          <w:sz w:val="24"/>
          <w:szCs w:val="24"/>
          <w:u w:val="single" w:color="auto"/>
          <w:lang w:val="en-US" w:eastAsia="zh-CN"/>
        </w:rPr>
        <w:t>1</w:t>
      </w:r>
      <w:r>
        <w:rPr>
          <w:rFonts w:hint="eastAsia" w:ascii="仿宋" w:hAnsi="仿宋" w:eastAsia="仿宋" w:cs="仿宋"/>
          <w:color w:val="auto"/>
          <w:spacing w:val="-31"/>
          <w:sz w:val="24"/>
          <w:szCs w:val="24"/>
          <w:u w:val="single" w:color="auto"/>
          <w:lang w:eastAsia="zh-CN"/>
        </w:rPr>
        <w:t>）</w:t>
      </w:r>
      <w:r>
        <w:rPr>
          <w:rFonts w:hint="eastAsia" w:ascii="仿宋" w:hAnsi="仿宋" w:eastAsia="仿宋" w:cs="仿宋"/>
          <w:color w:val="auto"/>
          <w:spacing w:val="-1"/>
          <w:sz w:val="24"/>
          <w:szCs w:val="24"/>
          <w:u w:val="single" w:color="auto"/>
        </w:rPr>
        <w:t>承包人不得更换经发包人认定的项目经理。承包人擅自更</w:t>
      </w:r>
      <w:r>
        <w:rPr>
          <w:rFonts w:hint="eastAsia" w:ascii="仿宋" w:hAnsi="仿宋" w:eastAsia="仿宋" w:cs="仿宋"/>
          <w:color w:val="auto"/>
          <w:spacing w:val="-3"/>
          <w:sz w:val="24"/>
          <w:szCs w:val="24"/>
          <w:u w:val="single" w:color="auto"/>
        </w:rPr>
        <w:t>换项目经理，应按</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color w:val="auto"/>
          <w:spacing w:val="-3"/>
          <w:sz w:val="24"/>
          <w:szCs w:val="24"/>
          <w:u w:val="single" w:color="auto"/>
        </w:rPr>
        <w:t>10</w:t>
      </w:r>
      <w:r>
        <w:rPr>
          <w:rFonts w:hint="eastAsia" w:ascii="仿宋" w:hAnsi="仿宋" w:eastAsia="仿宋" w:cs="仿宋"/>
          <w:color w:val="auto"/>
          <w:spacing w:val="-44"/>
          <w:sz w:val="24"/>
          <w:szCs w:val="24"/>
          <w:u w:val="single" w:color="auto"/>
        </w:rPr>
        <w:t xml:space="preserve"> </w:t>
      </w:r>
      <w:r>
        <w:rPr>
          <w:rFonts w:hint="eastAsia" w:ascii="仿宋" w:hAnsi="仿宋" w:eastAsia="仿宋" w:cs="仿宋"/>
          <w:color w:val="auto"/>
          <w:spacing w:val="-3"/>
          <w:sz w:val="24"/>
          <w:szCs w:val="24"/>
          <w:u w:val="single" w:color="auto"/>
        </w:rPr>
        <w:t>万元/人·次的标准向发包人支付违约金。如需要更换项目技术负责人及其它专业工程师，应至少提前</w:t>
      </w:r>
      <w:r>
        <w:rPr>
          <w:rFonts w:hint="eastAsia" w:ascii="仿宋" w:hAnsi="仿宋" w:eastAsia="仿宋" w:cs="仿宋"/>
          <w:color w:val="auto"/>
          <w:spacing w:val="-30"/>
          <w:sz w:val="24"/>
          <w:szCs w:val="24"/>
          <w:u w:val="single" w:color="auto"/>
        </w:rPr>
        <w:t xml:space="preserve"> </w:t>
      </w:r>
      <w:r>
        <w:rPr>
          <w:rFonts w:hint="eastAsia" w:ascii="仿宋" w:hAnsi="仿宋" w:eastAsia="仿宋" w:cs="仿宋"/>
          <w:color w:val="auto"/>
          <w:spacing w:val="-3"/>
          <w:sz w:val="24"/>
          <w:szCs w:val="24"/>
          <w:u w:val="single" w:color="auto"/>
        </w:rPr>
        <w:t>15</w:t>
      </w:r>
      <w:r>
        <w:rPr>
          <w:rFonts w:hint="eastAsia" w:ascii="仿宋" w:hAnsi="仿宋" w:eastAsia="仿宋" w:cs="仿宋"/>
          <w:color w:val="auto"/>
          <w:spacing w:val="-44"/>
          <w:sz w:val="24"/>
          <w:szCs w:val="24"/>
          <w:u w:val="single" w:color="auto"/>
        </w:rPr>
        <w:t xml:space="preserve"> </w:t>
      </w:r>
      <w:r>
        <w:rPr>
          <w:rFonts w:hint="eastAsia" w:ascii="仿宋" w:hAnsi="仿宋" w:eastAsia="仿宋" w:cs="仿宋"/>
          <w:color w:val="auto"/>
          <w:spacing w:val="-3"/>
          <w:sz w:val="24"/>
          <w:szCs w:val="24"/>
          <w:u w:val="single" w:color="auto"/>
        </w:rPr>
        <w:t>天以书面形式通知发包人，并</w:t>
      </w:r>
      <w:r>
        <w:rPr>
          <w:rFonts w:hint="eastAsia" w:ascii="仿宋" w:hAnsi="仿宋" w:eastAsia="仿宋" w:cs="仿宋"/>
          <w:color w:val="auto"/>
          <w:spacing w:val="-4"/>
          <w:sz w:val="24"/>
          <w:szCs w:val="24"/>
          <w:u w:val="single" w:color="auto"/>
        </w:rPr>
        <w:t>征得发包人同意；后任继续</w:t>
      </w:r>
      <w:r>
        <w:rPr>
          <w:rFonts w:hint="eastAsia" w:ascii="仿宋" w:hAnsi="仿宋" w:eastAsia="仿宋" w:cs="仿宋"/>
          <w:color w:val="auto"/>
          <w:spacing w:val="-1"/>
          <w:sz w:val="24"/>
          <w:szCs w:val="24"/>
          <w:u w:val="single" w:color="auto"/>
        </w:rPr>
        <w:t>行使合同文件约定的前任的职权，履行前任的义务</w:t>
      </w:r>
      <w:r>
        <w:rPr>
          <w:rFonts w:hint="eastAsia" w:ascii="仿宋" w:hAnsi="仿宋" w:eastAsia="仿宋" w:cs="仿宋"/>
          <w:color w:val="auto"/>
          <w:spacing w:val="20"/>
          <w:sz w:val="24"/>
          <w:szCs w:val="24"/>
          <w:u w:val="single" w:color="auto"/>
        </w:rPr>
        <w:t xml:space="preserve"> </w:t>
      </w:r>
      <w:r>
        <w:rPr>
          <w:rFonts w:hint="eastAsia" w:ascii="仿宋" w:hAnsi="仿宋" w:eastAsia="仿宋" w:cs="仿宋"/>
          <w:color w:val="auto"/>
          <w:spacing w:val="-1"/>
          <w:sz w:val="24"/>
          <w:szCs w:val="24"/>
        </w:rPr>
        <w:t>。</w:t>
      </w:r>
    </w:p>
    <w:p w14:paraId="32318168">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16.2.2</w:t>
      </w:r>
      <w:r>
        <w:rPr>
          <w:rFonts w:hint="eastAsia" w:ascii="仿宋" w:hAnsi="仿宋" w:eastAsia="仿宋" w:cs="仿宋"/>
          <w:color w:val="auto"/>
          <w:spacing w:val="-38"/>
          <w:sz w:val="24"/>
          <w:szCs w:val="24"/>
        </w:rPr>
        <w:t xml:space="preserve"> </w:t>
      </w:r>
      <w:r>
        <w:rPr>
          <w:rFonts w:hint="eastAsia" w:ascii="仿宋" w:hAnsi="仿宋" w:eastAsia="仿宋" w:cs="仿宋"/>
          <w:color w:val="auto"/>
          <w:spacing w:val="-3"/>
          <w:sz w:val="24"/>
          <w:szCs w:val="24"/>
        </w:rPr>
        <w:t>承包人违约的责任</w:t>
      </w:r>
    </w:p>
    <w:p w14:paraId="1369B32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承包人违约责任的承担方式和计算方法：</w:t>
      </w:r>
      <w:r>
        <w:rPr>
          <w:rFonts w:hint="eastAsia" w:ascii="仿宋" w:hAnsi="仿宋" w:eastAsia="仿宋" w:cs="仿宋"/>
          <w:color w:val="auto"/>
          <w:spacing w:val="-1"/>
          <w:sz w:val="24"/>
          <w:szCs w:val="24"/>
          <w:u w:val="single" w:color="auto"/>
        </w:rPr>
        <w:t xml:space="preserve">   /    </w:t>
      </w:r>
      <w:r>
        <w:rPr>
          <w:rFonts w:hint="eastAsia" w:ascii="仿宋" w:hAnsi="仿宋" w:eastAsia="仿宋" w:cs="仿宋"/>
          <w:color w:val="auto"/>
          <w:spacing w:val="-1"/>
          <w:sz w:val="24"/>
          <w:szCs w:val="24"/>
        </w:rPr>
        <w:t>。</w:t>
      </w:r>
    </w:p>
    <w:p w14:paraId="3038199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16.2.3 因承包人违约解除合同</w:t>
      </w:r>
    </w:p>
    <w:p w14:paraId="0AC7A04B">
      <w:pPr>
        <w:keepNext w:val="0"/>
        <w:keepLines w:val="0"/>
        <w:pageBreakBefore w:val="0"/>
        <w:widowControl w:val="0"/>
        <w:tabs>
          <w:tab w:val="left" w:pos="125"/>
        </w:tabs>
        <w:kinsoku/>
        <w:wordWrap/>
        <w:overflowPunct/>
        <w:topLinePunct w:val="0"/>
        <w:autoSpaceDE/>
        <w:autoSpaceDN/>
        <w:bidi w:val="0"/>
        <w:adjustRightInd/>
        <w:snapToGrid/>
        <w:spacing w:line="360" w:lineRule="auto"/>
        <w:ind w:left="0" w:right="0" w:firstLine="472" w:firstLineChars="200"/>
        <w:jc w:val="both"/>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2"/>
          <w:sz w:val="24"/>
          <w:szCs w:val="24"/>
        </w:rPr>
        <w:t>关于承包人违约解除合同的特别约定：</w:t>
      </w:r>
      <w:r>
        <w:rPr>
          <w:rFonts w:hint="eastAsia" w:ascii="仿宋" w:hAnsi="仿宋" w:eastAsia="仿宋" w:cs="仿宋"/>
          <w:color w:val="auto"/>
          <w:spacing w:val="-2"/>
          <w:sz w:val="24"/>
          <w:szCs w:val="24"/>
          <w:u w:val="single"/>
          <w:lang w:eastAsia="zh-CN"/>
        </w:rPr>
        <w:t>（</w:t>
      </w:r>
      <w:r>
        <w:rPr>
          <w:rFonts w:hint="eastAsia" w:ascii="仿宋" w:hAnsi="仿宋" w:eastAsia="仿宋" w:cs="仿宋"/>
          <w:color w:val="auto"/>
          <w:spacing w:val="-2"/>
          <w:sz w:val="24"/>
          <w:szCs w:val="24"/>
          <w:u w:val="single"/>
          <w:lang w:val="en-US" w:eastAsia="zh-CN"/>
        </w:rPr>
        <w:t>1</w:t>
      </w:r>
      <w:r>
        <w:rPr>
          <w:rFonts w:hint="eastAsia" w:ascii="仿宋" w:hAnsi="仿宋" w:eastAsia="仿宋" w:cs="仿宋"/>
          <w:color w:val="auto"/>
          <w:spacing w:val="-2"/>
          <w:sz w:val="24"/>
          <w:szCs w:val="24"/>
          <w:u w:val="single"/>
          <w:lang w:eastAsia="zh-CN"/>
        </w:rPr>
        <w:t>）</w:t>
      </w:r>
      <w:r>
        <w:rPr>
          <w:rFonts w:hint="eastAsia" w:ascii="仿宋" w:hAnsi="仿宋" w:eastAsia="仿宋" w:cs="仿宋"/>
          <w:color w:val="auto"/>
          <w:spacing w:val="-2"/>
          <w:sz w:val="24"/>
          <w:szCs w:val="24"/>
          <w:u w:val="single"/>
        </w:rPr>
        <w:t>承包人未按双方确认的施工计划组织施工；</w:t>
      </w:r>
      <w:r>
        <w:rPr>
          <w:rFonts w:hint="eastAsia" w:ascii="仿宋" w:hAnsi="仿宋" w:eastAsia="仿宋" w:cs="仿宋"/>
          <w:color w:val="auto"/>
          <w:spacing w:val="-2"/>
          <w:sz w:val="24"/>
          <w:szCs w:val="24"/>
          <w:u w:val="single"/>
          <w:lang w:eastAsia="zh-CN"/>
        </w:rPr>
        <w:t>（</w:t>
      </w:r>
      <w:r>
        <w:rPr>
          <w:rFonts w:hint="eastAsia" w:ascii="仿宋" w:hAnsi="仿宋" w:eastAsia="仿宋" w:cs="仿宋"/>
          <w:color w:val="auto"/>
          <w:spacing w:val="-2"/>
          <w:sz w:val="24"/>
          <w:szCs w:val="24"/>
          <w:u w:val="single"/>
          <w:lang w:val="en-US" w:eastAsia="zh-CN"/>
        </w:rPr>
        <w:t>2</w:t>
      </w:r>
      <w:r>
        <w:rPr>
          <w:rFonts w:hint="eastAsia" w:ascii="仿宋" w:hAnsi="仿宋" w:eastAsia="仿宋" w:cs="仿宋"/>
          <w:color w:val="auto"/>
          <w:spacing w:val="-2"/>
          <w:sz w:val="24"/>
          <w:szCs w:val="24"/>
          <w:u w:val="single"/>
          <w:lang w:eastAsia="zh-CN"/>
        </w:rPr>
        <w:t>）</w:t>
      </w:r>
      <w:r>
        <w:rPr>
          <w:rFonts w:hint="eastAsia" w:ascii="仿宋" w:hAnsi="仿宋" w:eastAsia="仿宋" w:cs="仿宋"/>
          <w:color w:val="auto"/>
          <w:spacing w:val="-2"/>
          <w:sz w:val="24"/>
          <w:szCs w:val="24"/>
          <w:u w:val="single"/>
        </w:rPr>
        <w:t>承包人所施工的分部分项工程经两次验收均不合格；（3）承包人擅自更换本工程项目经理；（4）承包人未按照本合同约定及时移交工程和满足备案要求的完整竣工资料，逾期超过 30 天；（5）承包人欠付农民工工资、劳务费、材料款等，导致相关人员围堵发包人工地5天或办公经营场所3次或办公经营场所单次一天以上；（6）项目经理不胜任本职工作，发包人和工程师可提前 7 天以书面形式通知承包人更换合格的项目经理，如更换后的项目经理仍旧不能胜任本职工作，发包人有解除合同的权利；（7）承包人违反本合同约定义务，经发包人催告后在限期内未改正的 。</w:t>
      </w:r>
    </w:p>
    <w:p w14:paraId="1C23AE2F">
      <w:pPr>
        <w:keepNext w:val="0"/>
        <w:keepLines w:val="0"/>
        <w:pageBreakBefore w:val="0"/>
        <w:widowControl w:val="0"/>
        <w:tabs>
          <w:tab w:val="left" w:pos="125"/>
        </w:tabs>
        <w:kinsoku/>
        <w:wordWrap/>
        <w:overflowPunct/>
        <w:topLinePunct w:val="0"/>
        <w:autoSpaceDE/>
        <w:autoSpaceDN/>
        <w:bidi w:val="0"/>
        <w:adjustRightInd/>
        <w:snapToGrid/>
        <w:spacing w:line="360" w:lineRule="auto"/>
        <w:ind w:left="0" w:right="0" w:firstLine="472"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发包人继续使用承包人在施工现场的</w:t>
      </w:r>
      <w:r>
        <w:rPr>
          <w:rFonts w:hint="eastAsia" w:ascii="仿宋" w:hAnsi="仿宋" w:eastAsia="仿宋" w:cs="仿宋"/>
          <w:color w:val="auto"/>
          <w:sz w:val="24"/>
          <w:szCs w:val="24"/>
        </w:rPr>
        <w:t>材料、设备、临时工程、承包人文件和由承包人或</w:t>
      </w:r>
      <w:r>
        <w:rPr>
          <w:rFonts w:hint="eastAsia" w:ascii="仿宋" w:hAnsi="仿宋" w:eastAsia="仿宋" w:cs="仿宋"/>
          <w:color w:val="auto"/>
          <w:spacing w:val="-1"/>
          <w:sz w:val="24"/>
          <w:szCs w:val="24"/>
        </w:rPr>
        <w:t>以其名义编制的其他文件的费用承担方式：</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rPr>
        <w:t>。</w:t>
      </w:r>
    </w:p>
    <w:p w14:paraId="03A3E5FF">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5"/>
          <w:sz w:val="24"/>
          <w:szCs w:val="24"/>
        </w:rPr>
        <w:t>17.</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5"/>
          <w:sz w:val="24"/>
          <w:szCs w:val="24"/>
        </w:rPr>
        <w:t>不可抗力</w:t>
      </w:r>
    </w:p>
    <w:p w14:paraId="6FEF60F2">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17.1 不可抗力的确认</w:t>
      </w:r>
    </w:p>
    <w:p w14:paraId="7324DA78">
      <w:pPr>
        <w:keepNext w:val="0"/>
        <w:keepLines w:val="0"/>
        <w:pageBreakBefore w:val="0"/>
        <w:widowControl w:val="0"/>
        <w:kinsoku/>
        <w:wordWrap/>
        <w:overflowPunct/>
        <w:topLinePunct w:val="0"/>
        <w:autoSpaceDE/>
        <w:autoSpaceDN/>
        <w:bidi w:val="0"/>
        <w:adjustRightInd/>
        <w:snapToGrid/>
        <w:spacing w:line="360" w:lineRule="auto"/>
        <w:ind w:left="0" w:right="0" w:firstLine="51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9"/>
          <w:sz w:val="24"/>
          <w:szCs w:val="24"/>
        </w:rPr>
        <w:t>除通用合同条款约定的不可抗力事件之外，视为不可抗力</w:t>
      </w:r>
      <w:r>
        <w:rPr>
          <w:rFonts w:hint="eastAsia" w:ascii="仿宋" w:hAnsi="仿宋" w:eastAsia="仿宋" w:cs="仿宋"/>
          <w:color w:val="auto"/>
          <w:spacing w:val="8"/>
          <w:sz w:val="24"/>
          <w:szCs w:val="24"/>
        </w:rPr>
        <w:t>的其他情形：</w:t>
      </w:r>
      <w:r>
        <w:rPr>
          <w:rFonts w:hint="eastAsia" w:ascii="仿宋" w:hAnsi="仿宋" w:eastAsia="仿宋" w:cs="仿宋"/>
          <w:color w:val="auto"/>
          <w:spacing w:val="-101"/>
          <w:sz w:val="24"/>
          <w:szCs w:val="24"/>
          <w:u w:val="single" w:color="auto"/>
        </w:rPr>
        <w:t xml:space="preserve"> </w:t>
      </w:r>
      <w:r>
        <w:rPr>
          <w:rFonts w:hint="eastAsia" w:ascii="仿宋" w:hAnsi="仿宋" w:eastAsia="仿宋" w:cs="仿宋"/>
          <w:color w:val="auto"/>
          <w:spacing w:val="8"/>
          <w:sz w:val="24"/>
          <w:szCs w:val="24"/>
          <w:u w:val="single" w:color="auto"/>
        </w:rPr>
        <w:t>执行通用条</w:t>
      </w:r>
      <w:r>
        <w:rPr>
          <w:rFonts w:hint="eastAsia" w:ascii="仿宋" w:hAnsi="仿宋" w:eastAsia="仿宋" w:cs="仿宋"/>
          <w:color w:val="auto"/>
          <w:spacing w:val="-5"/>
          <w:sz w:val="24"/>
          <w:szCs w:val="24"/>
          <w:u w:val="single" w:color="auto"/>
        </w:rPr>
        <w:t>款</w:t>
      </w:r>
      <w:r>
        <w:rPr>
          <w:rFonts w:hint="eastAsia" w:ascii="仿宋" w:hAnsi="仿宋" w:eastAsia="仿宋" w:cs="仿宋"/>
          <w:color w:val="auto"/>
          <w:spacing w:val="-5"/>
          <w:sz w:val="24"/>
          <w:szCs w:val="24"/>
        </w:rPr>
        <w:t>。</w:t>
      </w:r>
    </w:p>
    <w:p w14:paraId="0EB860F2">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7"/>
          <w:sz w:val="24"/>
          <w:szCs w:val="24"/>
        </w:rPr>
        <w:t>18.</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7"/>
          <w:sz w:val="24"/>
          <w:szCs w:val="24"/>
        </w:rPr>
        <w:t>保险</w:t>
      </w:r>
    </w:p>
    <w:p w14:paraId="43F3847B">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18.1 工程保险</w:t>
      </w:r>
    </w:p>
    <w:p w14:paraId="03C53121">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关于工程保险的特别约定：</w:t>
      </w:r>
      <w:r>
        <w:rPr>
          <w:rFonts w:hint="eastAsia" w:ascii="仿宋" w:hAnsi="仿宋" w:eastAsia="仿宋" w:cs="仿宋"/>
          <w:color w:val="auto"/>
          <w:spacing w:val="-2"/>
          <w:sz w:val="24"/>
          <w:szCs w:val="24"/>
          <w:u w:val="single" w:color="auto"/>
        </w:rPr>
        <w:t xml:space="preserve"> 发包人投保</w:t>
      </w:r>
      <w:r>
        <w:rPr>
          <w:rFonts w:hint="eastAsia" w:ascii="仿宋" w:hAnsi="仿宋" w:eastAsia="仿宋" w:cs="仿宋"/>
          <w:color w:val="auto"/>
          <w:spacing w:val="-3"/>
          <w:sz w:val="24"/>
          <w:szCs w:val="24"/>
          <w:u w:val="single" w:color="auto"/>
        </w:rPr>
        <w:t>内容是建筑物及附属设备，承包人投保内容是</w:t>
      </w:r>
      <w:r>
        <w:rPr>
          <w:rFonts w:hint="eastAsia" w:ascii="仿宋" w:hAnsi="仿宋" w:eastAsia="仿宋" w:cs="仿宋"/>
          <w:color w:val="auto"/>
          <w:spacing w:val="-1"/>
          <w:sz w:val="24"/>
          <w:szCs w:val="24"/>
          <w:u w:val="single" w:color="auto"/>
        </w:rPr>
        <w:t xml:space="preserve">施工人员意外伤害险 </w:t>
      </w:r>
      <w:r>
        <w:rPr>
          <w:rFonts w:hint="eastAsia" w:ascii="仿宋" w:hAnsi="仿宋" w:eastAsia="仿宋" w:cs="仿宋"/>
          <w:color w:val="auto"/>
          <w:spacing w:val="-1"/>
          <w:sz w:val="24"/>
          <w:szCs w:val="24"/>
        </w:rPr>
        <w:t>。</w:t>
      </w:r>
    </w:p>
    <w:p w14:paraId="2E3C3BAB">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3"/>
          <w:sz w:val="24"/>
          <w:szCs w:val="24"/>
        </w:rPr>
        <w:t>18.3 其他保险</w:t>
      </w:r>
    </w:p>
    <w:p w14:paraId="6F42F9F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关于其他保险的约定：</w:t>
      </w:r>
      <w:r>
        <w:rPr>
          <w:rFonts w:hint="eastAsia" w:ascii="仿宋" w:hAnsi="仿宋" w:eastAsia="仿宋" w:cs="仿宋"/>
          <w:color w:val="auto"/>
          <w:spacing w:val="-4"/>
          <w:sz w:val="24"/>
          <w:szCs w:val="24"/>
          <w:u w:val="single" w:color="auto"/>
          <w:lang w:val="en-US" w:eastAsia="zh-CN"/>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w:t>
      </w:r>
    </w:p>
    <w:p w14:paraId="22461C0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承包人是否应为其施工设备等办理财产保险：</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    </w:t>
      </w:r>
      <w:r>
        <w:rPr>
          <w:rFonts w:hint="eastAsia" w:ascii="仿宋" w:hAnsi="仿宋" w:eastAsia="仿宋" w:cs="仿宋"/>
          <w:color w:val="auto"/>
          <w:spacing w:val="-1"/>
          <w:sz w:val="24"/>
          <w:szCs w:val="24"/>
        </w:rPr>
        <w:t>。</w:t>
      </w:r>
    </w:p>
    <w:p w14:paraId="7FEF8965">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20.</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4"/>
          <w:sz w:val="24"/>
          <w:szCs w:val="24"/>
        </w:rPr>
        <w:t>争议解决</w:t>
      </w:r>
    </w:p>
    <w:p w14:paraId="28DFEFE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20.3 争议评审</w:t>
      </w:r>
    </w:p>
    <w:p w14:paraId="09F5C03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合同当事人关于本项的约定：</w:t>
      </w:r>
      <w:r>
        <w:rPr>
          <w:rFonts w:hint="eastAsia" w:ascii="仿宋" w:hAnsi="仿宋" w:eastAsia="仿宋" w:cs="仿宋"/>
          <w:color w:val="auto"/>
          <w:sz w:val="24"/>
          <w:szCs w:val="24"/>
          <w:u w:val="single" w:color="auto"/>
        </w:rPr>
        <w:t>本项目争议按照合同通用条款中和解、调解、仲裁或诉讼的方式解决，不进行争议评审。</w:t>
      </w:r>
    </w:p>
    <w:p w14:paraId="1BA767E8">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20.4</w:t>
      </w:r>
      <w:r>
        <w:rPr>
          <w:rFonts w:hint="eastAsia" w:ascii="仿宋" w:hAnsi="仿宋" w:eastAsia="仿宋" w:cs="仿宋"/>
          <w:color w:val="auto"/>
          <w:spacing w:val="-49"/>
          <w:sz w:val="24"/>
          <w:szCs w:val="24"/>
        </w:rPr>
        <w:t xml:space="preserve"> </w:t>
      </w:r>
      <w:r>
        <w:rPr>
          <w:rFonts w:hint="eastAsia" w:ascii="仿宋" w:hAnsi="仿宋" w:eastAsia="仿宋" w:cs="仿宋"/>
          <w:color w:val="auto"/>
          <w:spacing w:val="-2"/>
          <w:sz w:val="24"/>
          <w:szCs w:val="24"/>
        </w:rPr>
        <w:t>仲裁或诉讼</w:t>
      </w:r>
    </w:p>
    <w:p w14:paraId="0FD96F2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因合同及合同有关事项发生的争议，按下列第</w:t>
      </w:r>
      <w:r>
        <w:rPr>
          <w:rFonts w:hint="eastAsia" w:ascii="仿宋" w:hAnsi="仿宋" w:eastAsia="仿宋" w:cs="仿宋"/>
          <w:color w:val="auto"/>
          <w:spacing w:val="-1"/>
          <w:sz w:val="24"/>
          <w:szCs w:val="24"/>
          <w:u w:val="single" w:color="auto"/>
        </w:rPr>
        <w:t xml:space="preserve">  2  </w:t>
      </w:r>
      <w:r>
        <w:rPr>
          <w:rFonts w:hint="eastAsia" w:ascii="仿宋" w:hAnsi="仿宋" w:eastAsia="仿宋" w:cs="仿宋"/>
          <w:color w:val="auto"/>
          <w:spacing w:val="-1"/>
          <w:sz w:val="24"/>
          <w:szCs w:val="24"/>
        </w:rPr>
        <w:t>种方式解决：</w:t>
      </w:r>
    </w:p>
    <w:p w14:paraId="3668198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（1）向</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90"/>
          <w:sz w:val="24"/>
          <w:szCs w:val="24"/>
        </w:rPr>
        <w:t xml:space="preserve"> </w:t>
      </w:r>
      <w:r>
        <w:rPr>
          <w:rFonts w:hint="eastAsia" w:ascii="仿宋" w:hAnsi="仿宋" w:eastAsia="仿宋" w:cs="仿宋"/>
          <w:color w:val="auto"/>
          <w:spacing w:val="-1"/>
          <w:sz w:val="24"/>
          <w:szCs w:val="24"/>
        </w:rPr>
        <w:t>仲裁委员会申请仲裁；</w:t>
      </w:r>
    </w:p>
    <w:p w14:paraId="323D4914">
      <w:pPr>
        <w:widowControl w:val="0"/>
        <w:spacing w:line="480" w:lineRule="auto"/>
        <w:ind w:firstLine="422"/>
        <w:jc w:val="both"/>
        <w:rPr>
          <w:rFonts w:hint="eastAsia" w:ascii="仿宋" w:hAnsi="仿宋" w:eastAsia="仿宋" w:cs="仿宋"/>
          <w:color w:val="auto"/>
          <w:spacing w:val="-1"/>
          <w:kern w:val="2"/>
          <w:sz w:val="24"/>
          <w:szCs w:val="24"/>
          <w:lang w:val="en-US" w:eastAsia="zh-CN" w:bidi="ar-SA"/>
        </w:rPr>
      </w:pPr>
      <w:r>
        <w:rPr>
          <w:rFonts w:hint="eastAsia" w:ascii="仿宋" w:hAnsi="仿宋" w:eastAsia="仿宋" w:cs="仿宋"/>
          <w:color w:val="auto"/>
          <w:spacing w:val="-1"/>
          <w:kern w:val="2"/>
          <w:sz w:val="24"/>
          <w:szCs w:val="24"/>
          <w:lang w:val="en-US" w:eastAsia="zh-CN" w:bidi="ar-SA"/>
        </w:rPr>
        <w:t>（2）向</w:t>
      </w:r>
      <w:r>
        <w:rPr>
          <w:rFonts w:hint="eastAsia" w:ascii="仿宋" w:hAnsi="仿宋" w:eastAsia="仿宋" w:cs="仿宋"/>
          <w:color w:val="auto"/>
          <w:spacing w:val="-1"/>
          <w:kern w:val="2"/>
          <w:sz w:val="24"/>
          <w:szCs w:val="24"/>
          <w:u w:val="single" w:color="auto"/>
          <w:lang w:val="en-US" w:eastAsia="zh-CN" w:bidi="ar-SA"/>
        </w:rPr>
        <w:t xml:space="preserve">  工程所在地 </w:t>
      </w:r>
      <w:r>
        <w:rPr>
          <w:rFonts w:hint="eastAsia" w:ascii="仿宋" w:hAnsi="仿宋" w:eastAsia="仿宋" w:cs="仿宋"/>
          <w:color w:val="auto"/>
          <w:spacing w:val="-98"/>
          <w:kern w:val="2"/>
          <w:sz w:val="24"/>
          <w:szCs w:val="24"/>
          <w:lang w:val="en-US" w:eastAsia="zh-CN" w:bidi="ar-SA"/>
        </w:rPr>
        <w:t xml:space="preserve"> </w:t>
      </w:r>
      <w:r>
        <w:rPr>
          <w:rFonts w:hint="eastAsia" w:ascii="仿宋" w:hAnsi="仿宋" w:eastAsia="仿宋" w:cs="仿宋"/>
          <w:color w:val="auto"/>
          <w:spacing w:val="-1"/>
          <w:kern w:val="2"/>
          <w:sz w:val="24"/>
          <w:szCs w:val="24"/>
          <w:lang w:val="en-US" w:eastAsia="zh-CN" w:bidi="ar-SA"/>
        </w:rPr>
        <w:t>人民法院起诉。</w:t>
      </w:r>
    </w:p>
    <w:p w14:paraId="24600F8C">
      <w:pPr>
        <w:keepNext w:val="0"/>
        <w:keepLines w:val="0"/>
        <w:pageBreakBefore w:val="0"/>
        <w:widowControl w:val="0"/>
        <w:kinsoku/>
        <w:wordWrap/>
        <w:overflowPunct/>
        <w:topLinePunct w:val="0"/>
        <w:autoSpaceDE/>
        <w:autoSpaceDN/>
        <w:bidi w:val="0"/>
        <w:adjustRightInd/>
        <w:snapToGrid/>
        <w:spacing w:line="480" w:lineRule="auto"/>
        <w:ind w:firstLine="422"/>
        <w:jc w:val="both"/>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br w:type="page"/>
      </w:r>
      <w:r>
        <w:rPr>
          <w:rFonts w:hint="eastAsia" w:ascii="仿宋" w:hAnsi="仿宋" w:eastAsia="仿宋" w:cs="仿宋"/>
          <w:b/>
          <w:color w:val="auto"/>
          <w:kern w:val="2"/>
          <w:sz w:val="24"/>
          <w:szCs w:val="24"/>
          <w:highlight w:val="none"/>
          <w:lang w:val="en-US" w:eastAsia="zh-CN" w:bidi="ar-SA"/>
        </w:rPr>
        <w:t>附件</w:t>
      </w:r>
    </w:p>
    <w:p w14:paraId="2B591BC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附件1：承包人承揽工程项目一览表</w:t>
      </w:r>
    </w:p>
    <w:p w14:paraId="70D8EF1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附件2：发包人供应材料设备一览表</w:t>
      </w:r>
    </w:p>
    <w:p w14:paraId="568745D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附件3：工程质量保修书</w:t>
      </w:r>
    </w:p>
    <w:p w14:paraId="1908774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附件4：主要建设工程文件目录</w:t>
      </w:r>
    </w:p>
    <w:p w14:paraId="24960AE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附件5：承包人用于本工程施工的机械设备表</w:t>
      </w:r>
    </w:p>
    <w:p w14:paraId="3A3EB188">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附件</w:t>
      </w:r>
      <w:r>
        <w:rPr>
          <w:rFonts w:hint="eastAsia" w:ascii="仿宋" w:hAnsi="仿宋" w:eastAsia="仿宋" w:cs="仿宋"/>
          <w:color w:val="auto"/>
          <w:spacing w:val="-1"/>
          <w:sz w:val="24"/>
          <w:szCs w:val="24"/>
          <w:lang w:val="en-US" w:eastAsia="zh-CN"/>
        </w:rPr>
        <w:t>6</w:t>
      </w:r>
      <w:r>
        <w:rPr>
          <w:rFonts w:hint="eastAsia" w:ascii="仿宋" w:hAnsi="仿宋" w:eastAsia="仿宋" w:cs="仿宋"/>
          <w:color w:val="auto"/>
          <w:spacing w:val="-1"/>
          <w:sz w:val="24"/>
          <w:szCs w:val="24"/>
        </w:rPr>
        <w:t>：承包人主要施工管理人员表</w:t>
      </w:r>
    </w:p>
    <w:p w14:paraId="4CFA8FB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sectPr>
          <w:pgSz w:w="11906" w:h="16838"/>
          <w:pgMar w:top="1418" w:right="1555" w:bottom="1418" w:left="1531" w:header="851" w:footer="992" w:gutter="0"/>
          <w:pgNumType w:start="1"/>
          <w:cols w:space="720" w:num="1"/>
          <w:titlePg/>
          <w:docGrid w:type="lines" w:linePitch="312" w:charSpace="0"/>
        </w:sectPr>
      </w:pPr>
      <w:r>
        <w:rPr>
          <w:rFonts w:hint="eastAsia" w:ascii="仿宋" w:hAnsi="仿宋" w:eastAsia="仿宋" w:cs="仿宋"/>
          <w:color w:val="auto"/>
          <w:spacing w:val="-1"/>
          <w:sz w:val="24"/>
          <w:szCs w:val="24"/>
        </w:rPr>
        <w:t>附件</w:t>
      </w:r>
      <w:r>
        <w:rPr>
          <w:rFonts w:hint="eastAsia" w:ascii="仿宋" w:hAnsi="仿宋" w:eastAsia="仿宋" w:cs="仿宋"/>
          <w:color w:val="auto"/>
          <w:spacing w:val="-1"/>
          <w:sz w:val="24"/>
          <w:szCs w:val="24"/>
          <w:lang w:val="en-US" w:eastAsia="zh-CN"/>
        </w:rPr>
        <w:t>7</w:t>
      </w:r>
      <w:r>
        <w:rPr>
          <w:rFonts w:hint="eastAsia" w:ascii="仿宋" w:hAnsi="仿宋" w:eastAsia="仿宋" w:cs="仿宋"/>
          <w:color w:val="auto"/>
          <w:spacing w:val="-1"/>
          <w:sz w:val="24"/>
          <w:szCs w:val="24"/>
        </w:rPr>
        <w:t>：暂估价一览表</w:t>
      </w:r>
    </w:p>
    <w:p w14:paraId="067CED78">
      <w:pPr>
        <w:spacing w:line="440" w:lineRule="exact"/>
        <w:rPr>
          <w:rFonts w:hint="eastAsia" w:ascii="仿宋_GB2312" w:hAnsi="Times New Roman" w:eastAsia="仿宋_GB2312" w:cs="Times New Roman"/>
          <w:color w:val="000000"/>
          <w:sz w:val="30"/>
          <w:szCs w:val="30"/>
        </w:rPr>
      </w:pPr>
      <w:r>
        <w:rPr>
          <w:rFonts w:hint="eastAsia" w:ascii="仿宋" w:hAnsi="仿宋" w:eastAsia="仿宋" w:cs="仿宋"/>
          <w:color w:val="000000"/>
          <w:sz w:val="28"/>
          <w:szCs w:val="28"/>
        </w:rPr>
        <w:t>附件1：</w:t>
      </w:r>
    </w:p>
    <w:p w14:paraId="6F9EFF05">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承包人承揽工程项目一览表</w:t>
      </w:r>
    </w:p>
    <w:tbl>
      <w:tblPr>
        <w:tblStyle w:val="2"/>
        <w:tblW w:w="9588"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51"/>
        <w:gridCol w:w="995"/>
        <w:gridCol w:w="1518"/>
        <w:gridCol w:w="780"/>
        <w:gridCol w:w="829"/>
        <w:gridCol w:w="842"/>
        <w:gridCol w:w="1024"/>
        <w:gridCol w:w="1037"/>
        <w:gridCol w:w="756"/>
        <w:gridCol w:w="756"/>
      </w:tblGrid>
      <w:tr w14:paraId="431DD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6" w:hRule="atLeast"/>
        </w:trPr>
        <w:tc>
          <w:tcPr>
            <w:tcW w:w="1051" w:type="dxa"/>
            <w:tcBorders>
              <w:top w:val="single" w:color="auto" w:sz="12" w:space="0"/>
              <w:bottom w:val="double" w:color="auto" w:sz="6" w:space="0"/>
            </w:tcBorders>
            <w:noWrap w:val="0"/>
            <w:vAlign w:val="center"/>
          </w:tcPr>
          <w:p w14:paraId="0B1286C9">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单位工程名称</w:t>
            </w:r>
          </w:p>
        </w:tc>
        <w:tc>
          <w:tcPr>
            <w:tcW w:w="995" w:type="dxa"/>
            <w:tcBorders>
              <w:top w:val="single" w:color="auto" w:sz="12" w:space="0"/>
              <w:bottom w:val="double" w:color="auto" w:sz="6" w:space="0"/>
            </w:tcBorders>
            <w:noWrap w:val="0"/>
            <w:vAlign w:val="center"/>
          </w:tcPr>
          <w:p w14:paraId="76FEA4BD">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建设规模</w:t>
            </w:r>
          </w:p>
        </w:tc>
        <w:tc>
          <w:tcPr>
            <w:tcW w:w="1518" w:type="dxa"/>
            <w:tcBorders>
              <w:top w:val="single" w:color="auto" w:sz="12" w:space="0"/>
              <w:bottom w:val="double" w:color="auto" w:sz="6" w:space="0"/>
            </w:tcBorders>
            <w:noWrap w:val="0"/>
            <w:vAlign w:val="center"/>
          </w:tcPr>
          <w:p w14:paraId="418200C6">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建筑面积</w:t>
            </w:r>
          </w:p>
          <w:p w14:paraId="23F1C7C1">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hint="eastAsia" w:ascii="Times New Roman" w:hAnsi="Times New Roman" w:eastAsia="仿宋_GB2312" w:cs="Times New Roman"/>
                <w:color w:val="000000"/>
                <w:kern w:val="2"/>
                <w:sz w:val="24"/>
                <w:szCs w:val="28"/>
                <w:lang w:val="en-US" w:eastAsia="zh-CN" w:bidi="ar-SA"/>
              </w:rPr>
              <w:t>（</w:t>
            </w:r>
            <w:r>
              <w:rPr>
                <w:rFonts w:ascii="Times New Roman" w:hAnsi="Times New Roman" w:eastAsia="仿宋_GB2312" w:cs="Times New Roman"/>
                <w:color w:val="000000"/>
                <w:kern w:val="2"/>
                <w:sz w:val="24"/>
                <w:szCs w:val="28"/>
                <w:lang w:val="en-US" w:eastAsia="zh-CN" w:bidi="ar-SA"/>
              </w:rPr>
              <w:t>平方米</w:t>
            </w:r>
            <w:r>
              <w:rPr>
                <w:rFonts w:hint="eastAsia" w:ascii="Times New Roman" w:hAnsi="Times New Roman" w:eastAsia="仿宋_GB2312" w:cs="Times New Roman"/>
                <w:color w:val="000000"/>
                <w:kern w:val="2"/>
                <w:sz w:val="24"/>
                <w:szCs w:val="28"/>
                <w:lang w:val="en-US" w:eastAsia="zh-CN" w:bidi="ar-SA"/>
              </w:rPr>
              <w:t>）</w:t>
            </w:r>
          </w:p>
        </w:tc>
        <w:tc>
          <w:tcPr>
            <w:tcW w:w="780" w:type="dxa"/>
            <w:tcBorders>
              <w:top w:val="single" w:color="auto" w:sz="12" w:space="0"/>
              <w:bottom w:val="double" w:color="auto" w:sz="6" w:space="0"/>
            </w:tcBorders>
            <w:noWrap w:val="0"/>
            <w:vAlign w:val="center"/>
          </w:tcPr>
          <w:p w14:paraId="5EB78B0D">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结构</w:t>
            </w:r>
            <w:r>
              <w:rPr>
                <w:rFonts w:hint="eastAsia" w:ascii="Times New Roman" w:hAnsi="Times New Roman" w:eastAsia="仿宋_GB2312" w:cs="Times New Roman"/>
                <w:color w:val="000000"/>
                <w:kern w:val="2"/>
                <w:sz w:val="24"/>
                <w:szCs w:val="28"/>
                <w:lang w:val="en-US" w:eastAsia="zh-CN" w:bidi="ar-SA"/>
              </w:rPr>
              <w:t>形式</w:t>
            </w:r>
          </w:p>
        </w:tc>
        <w:tc>
          <w:tcPr>
            <w:tcW w:w="829" w:type="dxa"/>
            <w:tcBorders>
              <w:top w:val="single" w:color="auto" w:sz="12" w:space="0"/>
              <w:bottom w:val="double" w:color="auto" w:sz="6" w:space="0"/>
            </w:tcBorders>
            <w:noWrap w:val="0"/>
            <w:vAlign w:val="center"/>
          </w:tcPr>
          <w:p w14:paraId="41A701DF">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层数</w:t>
            </w:r>
          </w:p>
        </w:tc>
        <w:tc>
          <w:tcPr>
            <w:tcW w:w="842" w:type="dxa"/>
            <w:tcBorders>
              <w:top w:val="single" w:color="auto" w:sz="12" w:space="0"/>
              <w:bottom w:val="double" w:color="auto" w:sz="6" w:space="0"/>
            </w:tcBorders>
            <w:noWrap w:val="0"/>
            <w:vAlign w:val="center"/>
          </w:tcPr>
          <w:p w14:paraId="2F3745C9">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生产能力</w:t>
            </w:r>
          </w:p>
        </w:tc>
        <w:tc>
          <w:tcPr>
            <w:tcW w:w="1024" w:type="dxa"/>
            <w:tcBorders>
              <w:top w:val="single" w:color="auto" w:sz="12" w:space="0"/>
              <w:bottom w:val="double" w:color="auto" w:sz="6" w:space="0"/>
            </w:tcBorders>
            <w:noWrap w:val="0"/>
            <w:vAlign w:val="center"/>
          </w:tcPr>
          <w:p w14:paraId="29C82EB9">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设备安装内容</w:t>
            </w:r>
          </w:p>
        </w:tc>
        <w:tc>
          <w:tcPr>
            <w:tcW w:w="1037" w:type="dxa"/>
            <w:tcBorders>
              <w:top w:val="single" w:color="auto" w:sz="12" w:space="0"/>
              <w:bottom w:val="double" w:color="auto" w:sz="6" w:space="0"/>
            </w:tcBorders>
            <w:noWrap w:val="0"/>
            <w:vAlign w:val="center"/>
          </w:tcPr>
          <w:p w14:paraId="3CCB8677">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合同价格（元）</w:t>
            </w:r>
          </w:p>
        </w:tc>
        <w:tc>
          <w:tcPr>
            <w:tcW w:w="756" w:type="dxa"/>
            <w:tcBorders>
              <w:top w:val="single" w:color="auto" w:sz="12" w:space="0"/>
              <w:bottom w:val="double" w:color="auto" w:sz="6" w:space="0"/>
            </w:tcBorders>
            <w:noWrap w:val="0"/>
            <w:vAlign w:val="center"/>
          </w:tcPr>
          <w:p w14:paraId="1628AB9A">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开工日期</w:t>
            </w:r>
          </w:p>
        </w:tc>
        <w:tc>
          <w:tcPr>
            <w:tcW w:w="756" w:type="dxa"/>
            <w:tcBorders>
              <w:top w:val="single" w:color="auto" w:sz="12" w:space="0"/>
              <w:bottom w:val="double" w:color="auto" w:sz="6" w:space="0"/>
            </w:tcBorders>
            <w:noWrap w:val="0"/>
            <w:vAlign w:val="center"/>
          </w:tcPr>
          <w:p w14:paraId="7BF3EB42">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竣工日期</w:t>
            </w:r>
          </w:p>
        </w:tc>
      </w:tr>
      <w:tr w14:paraId="62953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7" w:hRule="atLeast"/>
        </w:trPr>
        <w:tc>
          <w:tcPr>
            <w:tcW w:w="1051" w:type="dxa"/>
            <w:tcBorders>
              <w:top w:val="double" w:color="auto" w:sz="6" w:space="0"/>
              <w:bottom w:val="single" w:color="auto" w:sz="6" w:space="0"/>
            </w:tcBorders>
            <w:noWrap w:val="0"/>
            <w:vAlign w:val="center"/>
          </w:tcPr>
          <w:p w14:paraId="7ED66DE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double" w:color="auto" w:sz="6" w:space="0"/>
              <w:bottom w:val="single" w:color="auto" w:sz="6" w:space="0"/>
            </w:tcBorders>
            <w:noWrap w:val="0"/>
            <w:vAlign w:val="center"/>
          </w:tcPr>
          <w:p w14:paraId="6603B56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double" w:color="auto" w:sz="6" w:space="0"/>
              <w:bottom w:val="single" w:color="auto" w:sz="6" w:space="0"/>
            </w:tcBorders>
            <w:noWrap w:val="0"/>
            <w:vAlign w:val="center"/>
          </w:tcPr>
          <w:p w14:paraId="2BDF9D9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double" w:color="auto" w:sz="6" w:space="0"/>
              <w:bottom w:val="single" w:color="auto" w:sz="6" w:space="0"/>
            </w:tcBorders>
            <w:noWrap w:val="0"/>
            <w:vAlign w:val="center"/>
          </w:tcPr>
          <w:p w14:paraId="6B246AB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double" w:color="auto" w:sz="6" w:space="0"/>
              <w:bottom w:val="single" w:color="auto" w:sz="6" w:space="0"/>
            </w:tcBorders>
            <w:noWrap w:val="0"/>
            <w:vAlign w:val="center"/>
          </w:tcPr>
          <w:p w14:paraId="4203A96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double" w:color="auto" w:sz="6" w:space="0"/>
              <w:bottom w:val="single" w:color="auto" w:sz="6" w:space="0"/>
            </w:tcBorders>
            <w:noWrap w:val="0"/>
            <w:vAlign w:val="center"/>
          </w:tcPr>
          <w:p w14:paraId="122D2C3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double" w:color="auto" w:sz="6" w:space="0"/>
              <w:bottom w:val="single" w:color="auto" w:sz="6" w:space="0"/>
            </w:tcBorders>
            <w:noWrap w:val="0"/>
            <w:vAlign w:val="center"/>
          </w:tcPr>
          <w:p w14:paraId="5924C33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double" w:color="auto" w:sz="6" w:space="0"/>
              <w:bottom w:val="single" w:color="auto" w:sz="6" w:space="0"/>
            </w:tcBorders>
            <w:noWrap w:val="0"/>
            <w:vAlign w:val="center"/>
          </w:tcPr>
          <w:p w14:paraId="0F5C123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double" w:color="auto" w:sz="6" w:space="0"/>
              <w:bottom w:val="single" w:color="auto" w:sz="6" w:space="0"/>
            </w:tcBorders>
            <w:noWrap w:val="0"/>
            <w:vAlign w:val="center"/>
          </w:tcPr>
          <w:p w14:paraId="60CC765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double" w:color="auto" w:sz="6" w:space="0"/>
              <w:bottom w:val="single" w:color="auto" w:sz="6" w:space="0"/>
            </w:tcBorders>
            <w:noWrap w:val="0"/>
            <w:vAlign w:val="center"/>
          </w:tcPr>
          <w:p w14:paraId="608B13D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7237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2" w:hRule="atLeast"/>
        </w:trPr>
        <w:tc>
          <w:tcPr>
            <w:tcW w:w="1051" w:type="dxa"/>
            <w:tcBorders>
              <w:top w:val="nil"/>
            </w:tcBorders>
            <w:noWrap w:val="0"/>
            <w:vAlign w:val="center"/>
          </w:tcPr>
          <w:p w14:paraId="7680A13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6BC1E55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575F4DB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05928AB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014B7C5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649BC06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5152C15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05E405E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1C003F8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537E3E3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E22B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2" w:hRule="atLeast"/>
        </w:trPr>
        <w:tc>
          <w:tcPr>
            <w:tcW w:w="1051" w:type="dxa"/>
            <w:tcBorders>
              <w:top w:val="nil"/>
            </w:tcBorders>
            <w:noWrap w:val="0"/>
            <w:vAlign w:val="center"/>
          </w:tcPr>
          <w:p w14:paraId="0222F28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215CEF1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511C41D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75F20BC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045489B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5EFCF85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313AAB2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1BF6909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03F07D0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6BAD9A5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00C0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1051" w:type="dxa"/>
            <w:noWrap w:val="0"/>
            <w:vAlign w:val="center"/>
          </w:tcPr>
          <w:p w14:paraId="0D1E4D0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noWrap w:val="0"/>
            <w:vAlign w:val="center"/>
          </w:tcPr>
          <w:p w14:paraId="667515C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noWrap w:val="0"/>
            <w:vAlign w:val="center"/>
          </w:tcPr>
          <w:p w14:paraId="556B5B3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noWrap w:val="0"/>
            <w:vAlign w:val="center"/>
          </w:tcPr>
          <w:p w14:paraId="4A31C1C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noWrap w:val="0"/>
            <w:vAlign w:val="center"/>
          </w:tcPr>
          <w:p w14:paraId="3E5609B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noWrap w:val="0"/>
            <w:vAlign w:val="center"/>
          </w:tcPr>
          <w:p w14:paraId="746B74F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noWrap w:val="0"/>
            <w:vAlign w:val="center"/>
          </w:tcPr>
          <w:p w14:paraId="5755121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noWrap w:val="0"/>
            <w:vAlign w:val="center"/>
          </w:tcPr>
          <w:p w14:paraId="11990E0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5AD85DD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5209F85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7B904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2" w:hRule="atLeast"/>
        </w:trPr>
        <w:tc>
          <w:tcPr>
            <w:tcW w:w="1051" w:type="dxa"/>
            <w:tcBorders>
              <w:top w:val="nil"/>
            </w:tcBorders>
            <w:noWrap w:val="0"/>
            <w:vAlign w:val="center"/>
          </w:tcPr>
          <w:p w14:paraId="5675B75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0743D3B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6B2145B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6C982E4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3AF767A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3C25005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2CD40DE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11A42BC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71EBD77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0B0FAE8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3DCB3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1051" w:type="dxa"/>
            <w:noWrap w:val="0"/>
            <w:vAlign w:val="center"/>
          </w:tcPr>
          <w:p w14:paraId="68A9DAD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noWrap w:val="0"/>
            <w:vAlign w:val="center"/>
          </w:tcPr>
          <w:p w14:paraId="2EDD2A0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noWrap w:val="0"/>
            <w:vAlign w:val="center"/>
          </w:tcPr>
          <w:p w14:paraId="74E97FD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noWrap w:val="0"/>
            <w:vAlign w:val="center"/>
          </w:tcPr>
          <w:p w14:paraId="241E2B9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noWrap w:val="0"/>
            <w:vAlign w:val="center"/>
          </w:tcPr>
          <w:p w14:paraId="45B7963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noWrap w:val="0"/>
            <w:vAlign w:val="center"/>
          </w:tcPr>
          <w:p w14:paraId="0948DB7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noWrap w:val="0"/>
            <w:vAlign w:val="center"/>
          </w:tcPr>
          <w:p w14:paraId="099F139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noWrap w:val="0"/>
            <w:vAlign w:val="center"/>
          </w:tcPr>
          <w:p w14:paraId="3574CF6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66ACC3B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11999E8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1EBF4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2" w:hRule="atLeast"/>
        </w:trPr>
        <w:tc>
          <w:tcPr>
            <w:tcW w:w="1051" w:type="dxa"/>
            <w:tcBorders>
              <w:top w:val="nil"/>
            </w:tcBorders>
            <w:noWrap w:val="0"/>
            <w:vAlign w:val="center"/>
          </w:tcPr>
          <w:p w14:paraId="0C41D04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790936C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4777D0A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5349D63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130B0FE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7F03B5F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55261D0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3C70686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6A5883E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6BC389D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4A05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1051" w:type="dxa"/>
            <w:tcBorders>
              <w:top w:val="nil"/>
            </w:tcBorders>
            <w:noWrap w:val="0"/>
            <w:vAlign w:val="center"/>
          </w:tcPr>
          <w:p w14:paraId="3F5B789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33753FF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7151FC8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661C3E2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1E307B2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3DB602B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5C5D98C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4F3AE46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1B568BE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764FE54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0C7C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1051" w:type="dxa"/>
            <w:noWrap w:val="0"/>
            <w:vAlign w:val="center"/>
          </w:tcPr>
          <w:p w14:paraId="45A6C1E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noWrap w:val="0"/>
            <w:vAlign w:val="center"/>
          </w:tcPr>
          <w:p w14:paraId="3C1A8B6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noWrap w:val="0"/>
            <w:vAlign w:val="center"/>
          </w:tcPr>
          <w:p w14:paraId="4602DAC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noWrap w:val="0"/>
            <w:vAlign w:val="center"/>
          </w:tcPr>
          <w:p w14:paraId="0D301A9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noWrap w:val="0"/>
            <w:vAlign w:val="center"/>
          </w:tcPr>
          <w:p w14:paraId="6137B52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noWrap w:val="0"/>
            <w:vAlign w:val="center"/>
          </w:tcPr>
          <w:p w14:paraId="29E730D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noWrap w:val="0"/>
            <w:vAlign w:val="center"/>
          </w:tcPr>
          <w:p w14:paraId="7ECCA16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noWrap w:val="0"/>
            <w:vAlign w:val="center"/>
          </w:tcPr>
          <w:p w14:paraId="01B8A85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4DDB3A9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1DEBE17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D21D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trPr>
        <w:tc>
          <w:tcPr>
            <w:tcW w:w="1051" w:type="dxa"/>
            <w:tcBorders>
              <w:top w:val="nil"/>
            </w:tcBorders>
            <w:noWrap w:val="0"/>
            <w:vAlign w:val="center"/>
          </w:tcPr>
          <w:p w14:paraId="3346ECA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tcBorders>
              <w:top w:val="nil"/>
            </w:tcBorders>
            <w:noWrap w:val="0"/>
            <w:vAlign w:val="center"/>
          </w:tcPr>
          <w:p w14:paraId="33A8039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tcBorders>
              <w:top w:val="nil"/>
            </w:tcBorders>
            <w:noWrap w:val="0"/>
            <w:vAlign w:val="center"/>
          </w:tcPr>
          <w:p w14:paraId="54594CD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tcBorders>
              <w:top w:val="nil"/>
            </w:tcBorders>
            <w:noWrap w:val="0"/>
            <w:vAlign w:val="center"/>
          </w:tcPr>
          <w:p w14:paraId="4C33318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tcBorders>
              <w:top w:val="nil"/>
            </w:tcBorders>
            <w:noWrap w:val="0"/>
            <w:vAlign w:val="center"/>
          </w:tcPr>
          <w:p w14:paraId="3BC6836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tcBorders>
              <w:top w:val="nil"/>
            </w:tcBorders>
            <w:noWrap w:val="0"/>
            <w:vAlign w:val="center"/>
          </w:tcPr>
          <w:p w14:paraId="3566435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tcBorders>
              <w:top w:val="nil"/>
            </w:tcBorders>
            <w:noWrap w:val="0"/>
            <w:vAlign w:val="center"/>
          </w:tcPr>
          <w:p w14:paraId="4CADF3E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tcBorders>
              <w:top w:val="nil"/>
            </w:tcBorders>
            <w:noWrap w:val="0"/>
            <w:vAlign w:val="center"/>
          </w:tcPr>
          <w:p w14:paraId="3DEB942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765E14C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tcBorders>
              <w:top w:val="nil"/>
            </w:tcBorders>
            <w:noWrap w:val="0"/>
            <w:vAlign w:val="center"/>
          </w:tcPr>
          <w:p w14:paraId="7E59A82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A0DE9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7" w:hRule="atLeast"/>
        </w:trPr>
        <w:tc>
          <w:tcPr>
            <w:tcW w:w="1051" w:type="dxa"/>
            <w:noWrap w:val="0"/>
            <w:vAlign w:val="center"/>
          </w:tcPr>
          <w:p w14:paraId="70B4A3C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95" w:type="dxa"/>
            <w:noWrap w:val="0"/>
            <w:vAlign w:val="center"/>
          </w:tcPr>
          <w:p w14:paraId="3661454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518" w:type="dxa"/>
            <w:noWrap w:val="0"/>
            <w:vAlign w:val="center"/>
          </w:tcPr>
          <w:p w14:paraId="1FC6775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80" w:type="dxa"/>
            <w:noWrap w:val="0"/>
            <w:vAlign w:val="center"/>
          </w:tcPr>
          <w:p w14:paraId="0734197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29" w:type="dxa"/>
            <w:noWrap w:val="0"/>
            <w:vAlign w:val="center"/>
          </w:tcPr>
          <w:p w14:paraId="008C1AF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2" w:type="dxa"/>
            <w:noWrap w:val="0"/>
            <w:vAlign w:val="center"/>
          </w:tcPr>
          <w:p w14:paraId="2C21326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24" w:type="dxa"/>
            <w:noWrap w:val="0"/>
            <w:vAlign w:val="center"/>
          </w:tcPr>
          <w:p w14:paraId="345AD6C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37" w:type="dxa"/>
            <w:noWrap w:val="0"/>
            <w:vAlign w:val="center"/>
          </w:tcPr>
          <w:p w14:paraId="1C7F19F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0356C6B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6" w:type="dxa"/>
            <w:noWrap w:val="0"/>
            <w:vAlign w:val="center"/>
          </w:tcPr>
          <w:p w14:paraId="6610467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bl>
    <w:p w14:paraId="77C56DB9">
      <w:pPr>
        <w:spacing w:line="440" w:lineRule="exact"/>
        <w:rPr>
          <w:rFonts w:ascii="Times New Roman" w:hAnsi="Times New Roman" w:eastAsia="仿宋_GB2312"/>
          <w:b/>
          <w:color w:val="000000"/>
          <w:sz w:val="30"/>
          <w:szCs w:val="30"/>
        </w:rPr>
        <w:sectPr>
          <w:pgSz w:w="11906" w:h="16838"/>
          <w:pgMar w:top="1418" w:right="1531" w:bottom="1418" w:left="1554" w:header="851" w:footer="992" w:gutter="0"/>
          <w:cols w:space="720" w:num="1"/>
          <w:titlePg/>
          <w:docGrid w:type="linesAndChars" w:linePitch="312" w:charSpace="0"/>
        </w:sectPr>
      </w:pPr>
    </w:p>
    <w:p w14:paraId="06BA7555">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4" w:name="_Toc296944564"/>
      <w:bookmarkStart w:id="5" w:name="_Toc296503225"/>
      <w:bookmarkStart w:id="6" w:name="_Toc267261692"/>
      <w:bookmarkStart w:id="7" w:name="_Toc296891265"/>
      <w:bookmarkStart w:id="8" w:name="_Toc296346726"/>
      <w:bookmarkStart w:id="9" w:name="_Toc296891053"/>
      <w:bookmarkStart w:id="10" w:name="_Toc296347224"/>
      <w:r>
        <w:rPr>
          <w:rFonts w:hint="eastAsia" w:ascii="仿宋" w:hAnsi="仿宋" w:eastAsia="仿宋" w:cs="仿宋"/>
          <w:color w:val="000000"/>
          <w:sz w:val="28"/>
          <w:szCs w:val="28"/>
        </w:rPr>
        <w:t>件2：</w:t>
      </w:r>
    </w:p>
    <w:bookmarkEnd w:id="4"/>
    <w:bookmarkEnd w:id="5"/>
    <w:bookmarkEnd w:id="6"/>
    <w:bookmarkEnd w:id="7"/>
    <w:bookmarkEnd w:id="8"/>
    <w:bookmarkEnd w:id="9"/>
    <w:bookmarkEnd w:id="10"/>
    <w:p w14:paraId="36850816">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发包人供应材料设备一览表</w:t>
      </w:r>
    </w:p>
    <w:tbl>
      <w:tblPr>
        <w:tblStyle w:val="2"/>
        <w:tblW w:w="102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64"/>
        <w:gridCol w:w="2080"/>
        <w:gridCol w:w="1110"/>
        <w:gridCol w:w="817"/>
        <w:gridCol w:w="1049"/>
        <w:gridCol w:w="1256"/>
        <w:gridCol w:w="939"/>
        <w:gridCol w:w="768"/>
        <w:gridCol w:w="840"/>
        <w:gridCol w:w="754"/>
      </w:tblGrid>
      <w:tr w14:paraId="42CFE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64" w:type="dxa"/>
            <w:tcBorders>
              <w:top w:val="single" w:color="auto" w:sz="12" w:space="0"/>
              <w:bottom w:val="double" w:color="auto" w:sz="6" w:space="0"/>
            </w:tcBorders>
            <w:noWrap w:val="0"/>
            <w:vAlign w:val="center"/>
          </w:tcPr>
          <w:p w14:paraId="7C3C594E">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序号</w:t>
            </w:r>
          </w:p>
        </w:tc>
        <w:tc>
          <w:tcPr>
            <w:tcW w:w="2080" w:type="dxa"/>
            <w:tcBorders>
              <w:top w:val="single" w:color="auto" w:sz="12" w:space="0"/>
              <w:bottom w:val="double" w:color="auto" w:sz="6" w:space="0"/>
            </w:tcBorders>
            <w:noWrap w:val="0"/>
            <w:vAlign w:val="center"/>
          </w:tcPr>
          <w:p w14:paraId="1C8BB159">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hint="eastAsia" w:ascii="Times New Roman" w:hAnsi="Times New Roman" w:eastAsia="仿宋_GB2312" w:cs="Times New Roman"/>
                <w:color w:val="000000"/>
                <w:kern w:val="2"/>
                <w:sz w:val="24"/>
                <w:szCs w:val="28"/>
                <w:lang w:val="en-US" w:eastAsia="zh-CN" w:bidi="ar-SA"/>
              </w:rPr>
              <w:t xml:space="preserve"> </w:t>
            </w:r>
            <w:r>
              <w:rPr>
                <w:rFonts w:ascii="Times New Roman" w:hAnsi="Times New Roman" w:eastAsia="仿宋_GB2312" w:cs="Times New Roman"/>
                <w:color w:val="000000"/>
                <w:kern w:val="2"/>
                <w:sz w:val="24"/>
                <w:szCs w:val="28"/>
                <w:lang w:val="en-US" w:eastAsia="zh-CN" w:bidi="ar-SA"/>
              </w:rPr>
              <w:t>材料</w:t>
            </w:r>
            <w:r>
              <w:rPr>
                <w:rFonts w:hint="eastAsia" w:ascii="Times New Roman" w:hAnsi="Times New Roman" w:eastAsia="仿宋_GB2312" w:cs="Times New Roman"/>
                <w:color w:val="000000"/>
                <w:kern w:val="2"/>
                <w:sz w:val="24"/>
                <w:szCs w:val="28"/>
                <w:lang w:val="en-US" w:eastAsia="zh-CN" w:bidi="ar-SA"/>
              </w:rPr>
              <w:t>、</w:t>
            </w:r>
            <w:r>
              <w:rPr>
                <w:rFonts w:ascii="Times New Roman" w:hAnsi="Times New Roman" w:eastAsia="仿宋_GB2312" w:cs="Times New Roman"/>
                <w:color w:val="000000"/>
                <w:kern w:val="2"/>
                <w:sz w:val="24"/>
                <w:szCs w:val="28"/>
                <w:lang w:val="en-US" w:eastAsia="zh-CN" w:bidi="ar-SA"/>
              </w:rPr>
              <w:t>设备品种</w:t>
            </w:r>
          </w:p>
        </w:tc>
        <w:tc>
          <w:tcPr>
            <w:tcW w:w="1110" w:type="dxa"/>
            <w:tcBorders>
              <w:top w:val="single" w:color="auto" w:sz="12" w:space="0"/>
              <w:bottom w:val="double" w:color="auto" w:sz="6" w:space="0"/>
            </w:tcBorders>
            <w:noWrap w:val="0"/>
            <w:vAlign w:val="center"/>
          </w:tcPr>
          <w:p w14:paraId="09E66082">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规格型号</w:t>
            </w:r>
          </w:p>
        </w:tc>
        <w:tc>
          <w:tcPr>
            <w:tcW w:w="817" w:type="dxa"/>
            <w:tcBorders>
              <w:top w:val="single" w:color="auto" w:sz="12" w:space="0"/>
              <w:bottom w:val="double" w:color="auto" w:sz="6" w:space="0"/>
            </w:tcBorders>
            <w:noWrap w:val="0"/>
            <w:vAlign w:val="center"/>
          </w:tcPr>
          <w:p w14:paraId="6CDEF146">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单位</w:t>
            </w:r>
          </w:p>
        </w:tc>
        <w:tc>
          <w:tcPr>
            <w:tcW w:w="1049" w:type="dxa"/>
            <w:tcBorders>
              <w:top w:val="single" w:color="auto" w:sz="12" w:space="0"/>
              <w:bottom w:val="double" w:color="auto" w:sz="6" w:space="0"/>
            </w:tcBorders>
            <w:noWrap w:val="0"/>
            <w:vAlign w:val="center"/>
          </w:tcPr>
          <w:p w14:paraId="3DA9353F">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数量</w:t>
            </w:r>
          </w:p>
        </w:tc>
        <w:tc>
          <w:tcPr>
            <w:tcW w:w="1256" w:type="dxa"/>
            <w:tcBorders>
              <w:top w:val="single" w:color="auto" w:sz="12" w:space="0"/>
              <w:bottom w:val="double" w:color="auto" w:sz="6" w:space="0"/>
            </w:tcBorders>
            <w:noWrap w:val="0"/>
            <w:vAlign w:val="center"/>
          </w:tcPr>
          <w:p w14:paraId="760D7A1B">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单价</w:t>
            </w:r>
          </w:p>
          <w:p w14:paraId="3772117F">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hint="eastAsia" w:ascii="Times New Roman" w:hAnsi="Times New Roman" w:eastAsia="仿宋_GB2312" w:cs="Times New Roman"/>
                <w:color w:val="000000"/>
                <w:kern w:val="2"/>
                <w:sz w:val="24"/>
                <w:szCs w:val="28"/>
                <w:lang w:val="en-US" w:eastAsia="zh-CN" w:bidi="ar-SA"/>
              </w:rPr>
              <w:t>（元）</w:t>
            </w:r>
          </w:p>
        </w:tc>
        <w:tc>
          <w:tcPr>
            <w:tcW w:w="939" w:type="dxa"/>
            <w:tcBorders>
              <w:top w:val="single" w:color="auto" w:sz="12" w:space="0"/>
              <w:bottom w:val="double" w:color="auto" w:sz="6" w:space="0"/>
            </w:tcBorders>
            <w:noWrap w:val="0"/>
            <w:vAlign w:val="center"/>
          </w:tcPr>
          <w:p w14:paraId="276AFFEB">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质量等级</w:t>
            </w:r>
          </w:p>
        </w:tc>
        <w:tc>
          <w:tcPr>
            <w:tcW w:w="768" w:type="dxa"/>
            <w:tcBorders>
              <w:top w:val="single" w:color="auto" w:sz="12" w:space="0"/>
              <w:bottom w:val="double" w:color="auto" w:sz="6" w:space="0"/>
            </w:tcBorders>
            <w:noWrap w:val="0"/>
            <w:vAlign w:val="center"/>
          </w:tcPr>
          <w:p w14:paraId="2AD40C43">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供应时间</w:t>
            </w:r>
          </w:p>
        </w:tc>
        <w:tc>
          <w:tcPr>
            <w:tcW w:w="840" w:type="dxa"/>
            <w:tcBorders>
              <w:top w:val="single" w:color="auto" w:sz="12" w:space="0"/>
              <w:bottom w:val="double" w:color="auto" w:sz="6" w:space="0"/>
            </w:tcBorders>
            <w:noWrap w:val="0"/>
            <w:vAlign w:val="center"/>
          </w:tcPr>
          <w:p w14:paraId="185EBB35">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送达地点</w:t>
            </w:r>
          </w:p>
        </w:tc>
        <w:tc>
          <w:tcPr>
            <w:tcW w:w="754" w:type="dxa"/>
            <w:tcBorders>
              <w:top w:val="single" w:color="auto" w:sz="12" w:space="0"/>
              <w:bottom w:val="double" w:color="auto" w:sz="6" w:space="0"/>
            </w:tcBorders>
            <w:noWrap w:val="0"/>
            <w:vAlign w:val="center"/>
          </w:tcPr>
          <w:p w14:paraId="7B8965AA">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备注</w:t>
            </w:r>
          </w:p>
        </w:tc>
      </w:tr>
      <w:tr w14:paraId="4C273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tcBorders>
              <w:top w:val="double" w:color="auto" w:sz="6" w:space="0"/>
              <w:bottom w:val="single" w:color="auto" w:sz="6" w:space="0"/>
            </w:tcBorders>
            <w:noWrap w:val="0"/>
            <w:vAlign w:val="center"/>
          </w:tcPr>
          <w:p w14:paraId="673EEF3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tcBorders>
              <w:top w:val="double" w:color="auto" w:sz="6" w:space="0"/>
              <w:bottom w:val="single" w:color="auto" w:sz="6" w:space="0"/>
            </w:tcBorders>
            <w:noWrap w:val="0"/>
            <w:vAlign w:val="center"/>
          </w:tcPr>
          <w:p w14:paraId="6716763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tcBorders>
              <w:top w:val="double" w:color="auto" w:sz="6" w:space="0"/>
              <w:bottom w:val="single" w:color="auto" w:sz="6" w:space="0"/>
            </w:tcBorders>
            <w:noWrap w:val="0"/>
            <w:vAlign w:val="center"/>
          </w:tcPr>
          <w:p w14:paraId="0E675D3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tcBorders>
              <w:top w:val="double" w:color="auto" w:sz="6" w:space="0"/>
              <w:bottom w:val="single" w:color="auto" w:sz="6" w:space="0"/>
            </w:tcBorders>
            <w:noWrap w:val="0"/>
            <w:vAlign w:val="center"/>
          </w:tcPr>
          <w:p w14:paraId="2E97D47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tcBorders>
              <w:top w:val="double" w:color="auto" w:sz="6" w:space="0"/>
              <w:bottom w:val="single" w:color="auto" w:sz="6" w:space="0"/>
            </w:tcBorders>
            <w:noWrap w:val="0"/>
            <w:vAlign w:val="center"/>
          </w:tcPr>
          <w:p w14:paraId="165A093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tcBorders>
              <w:top w:val="double" w:color="auto" w:sz="6" w:space="0"/>
              <w:bottom w:val="single" w:color="auto" w:sz="6" w:space="0"/>
            </w:tcBorders>
            <w:noWrap w:val="0"/>
            <w:vAlign w:val="center"/>
          </w:tcPr>
          <w:p w14:paraId="1F5B3EF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tcBorders>
              <w:top w:val="double" w:color="auto" w:sz="6" w:space="0"/>
              <w:bottom w:val="single" w:color="auto" w:sz="6" w:space="0"/>
            </w:tcBorders>
            <w:noWrap w:val="0"/>
            <w:vAlign w:val="center"/>
          </w:tcPr>
          <w:p w14:paraId="201DC15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tcBorders>
              <w:top w:val="double" w:color="auto" w:sz="6" w:space="0"/>
              <w:bottom w:val="single" w:color="auto" w:sz="6" w:space="0"/>
            </w:tcBorders>
            <w:noWrap w:val="0"/>
            <w:vAlign w:val="center"/>
          </w:tcPr>
          <w:p w14:paraId="3BE2C9E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tcBorders>
              <w:top w:val="double" w:color="auto" w:sz="6" w:space="0"/>
              <w:bottom w:val="single" w:color="auto" w:sz="6" w:space="0"/>
            </w:tcBorders>
            <w:noWrap w:val="0"/>
            <w:vAlign w:val="center"/>
          </w:tcPr>
          <w:p w14:paraId="7F059C2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tcBorders>
              <w:top w:val="double" w:color="auto" w:sz="6" w:space="0"/>
              <w:bottom w:val="single" w:color="auto" w:sz="6" w:space="0"/>
            </w:tcBorders>
            <w:noWrap w:val="0"/>
            <w:vAlign w:val="center"/>
          </w:tcPr>
          <w:p w14:paraId="514BD29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C974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tcBorders>
              <w:top w:val="nil"/>
            </w:tcBorders>
            <w:noWrap w:val="0"/>
            <w:vAlign w:val="center"/>
          </w:tcPr>
          <w:p w14:paraId="29BB4B1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tcBorders>
              <w:top w:val="nil"/>
            </w:tcBorders>
            <w:noWrap w:val="0"/>
            <w:vAlign w:val="center"/>
          </w:tcPr>
          <w:p w14:paraId="5E154A8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tcBorders>
              <w:top w:val="nil"/>
            </w:tcBorders>
            <w:noWrap w:val="0"/>
            <w:vAlign w:val="center"/>
          </w:tcPr>
          <w:p w14:paraId="6E4B5FC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tcBorders>
              <w:top w:val="nil"/>
            </w:tcBorders>
            <w:noWrap w:val="0"/>
            <w:vAlign w:val="center"/>
          </w:tcPr>
          <w:p w14:paraId="085C7F2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tcBorders>
              <w:top w:val="nil"/>
            </w:tcBorders>
            <w:noWrap w:val="0"/>
            <w:vAlign w:val="center"/>
          </w:tcPr>
          <w:p w14:paraId="6E2CF2A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tcBorders>
              <w:top w:val="nil"/>
            </w:tcBorders>
            <w:noWrap w:val="0"/>
            <w:vAlign w:val="center"/>
          </w:tcPr>
          <w:p w14:paraId="5DC2D1D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tcBorders>
              <w:top w:val="nil"/>
            </w:tcBorders>
            <w:noWrap w:val="0"/>
            <w:vAlign w:val="center"/>
          </w:tcPr>
          <w:p w14:paraId="6633EE1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tcBorders>
              <w:top w:val="nil"/>
            </w:tcBorders>
            <w:noWrap w:val="0"/>
            <w:vAlign w:val="center"/>
          </w:tcPr>
          <w:p w14:paraId="144ACD5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tcBorders>
              <w:top w:val="nil"/>
            </w:tcBorders>
            <w:noWrap w:val="0"/>
            <w:vAlign w:val="center"/>
          </w:tcPr>
          <w:p w14:paraId="1CB4E67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tcBorders>
              <w:top w:val="nil"/>
            </w:tcBorders>
            <w:noWrap w:val="0"/>
            <w:vAlign w:val="center"/>
          </w:tcPr>
          <w:p w14:paraId="198CC6D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481DD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5FC786E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5BFEF12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7F3648F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6D18F03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102886D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1CBB71F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266107E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05B7923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428C0FD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7A796E5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F807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4B3628B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4077ED5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4549CEA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5333FD2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708DB69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3EA9238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29D5B3C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6712F88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6B66DA4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612D4B3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1CEB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56052A3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12D60CA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60B1535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4213BAC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6C95944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715AA81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5F04B90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480F7DF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1C0DCAE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48D3EFE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3FC4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5D17653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0B9D4F2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5CA3B8A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6C35E43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0C0F84C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7512801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415B3B1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46787D5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7ABCA16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66C3C44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0FB3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3641FA9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51A9F5B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1FD45D1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1D98026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045F4CD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41A4224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3402802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3598370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12EDEC9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3C08601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28CD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0CA5CE4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338DA99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69218BE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635FD75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299892E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4B7B3AE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4938879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34DB9F2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112C71E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2EF4365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B505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47DA77B8">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1F6C2E84">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0DC30337">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6AF807AA">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248D6F99">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66ED7A80">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27460332">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7B7C2F49">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05E9E23C">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15590FBA">
            <w:pPr>
              <w:spacing w:line="324" w:lineRule="auto"/>
              <w:jc w:val="center"/>
              <w:rPr>
                <w:rFonts w:ascii="Times New Roman" w:hAnsi="Times New Roman" w:eastAsia="仿宋_GB2312" w:cs="Times New Roman"/>
                <w:color w:val="000000"/>
                <w:sz w:val="30"/>
                <w:szCs w:val="30"/>
              </w:rPr>
            </w:pPr>
          </w:p>
        </w:tc>
      </w:tr>
      <w:tr w14:paraId="48073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598E311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2080" w:type="dxa"/>
            <w:noWrap w:val="0"/>
            <w:vAlign w:val="center"/>
          </w:tcPr>
          <w:p w14:paraId="3ADDDAB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110" w:type="dxa"/>
            <w:noWrap w:val="0"/>
            <w:vAlign w:val="center"/>
          </w:tcPr>
          <w:p w14:paraId="11DCB5C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17" w:type="dxa"/>
            <w:noWrap w:val="0"/>
            <w:vAlign w:val="center"/>
          </w:tcPr>
          <w:p w14:paraId="08F0176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49" w:type="dxa"/>
            <w:noWrap w:val="0"/>
            <w:vAlign w:val="center"/>
          </w:tcPr>
          <w:p w14:paraId="12CDD31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56" w:type="dxa"/>
            <w:noWrap w:val="0"/>
            <w:vAlign w:val="center"/>
          </w:tcPr>
          <w:p w14:paraId="1BADC5A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39" w:type="dxa"/>
            <w:noWrap w:val="0"/>
            <w:vAlign w:val="center"/>
          </w:tcPr>
          <w:p w14:paraId="2AB20EF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68" w:type="dxa"/>
            <w:noWrap w:val="0"/>
            <w:vAlign w:val="center"/>
          </w:tcPr>
          <w:p w14:paraId="2FAB5DF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40" w:type="dxa"/>
            <w:noWrap w:val="0"/>
            <w:vAlign w:val="center"/>
          </w:tcPr>
          <w:p w14:paraId="37EFEBD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4" w:type="dxa"/>
            <w:noWrap w:val="0"/>
            <w:vAlign w:val="center"/>
          </w:tcPr>
          <w:p w14:paraId="7A1F6E3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22ACF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0A7D9A56">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005E5E32">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4D2C7522">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00505E26">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21293CA3">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7ED97F91">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451B8808">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77AA3359">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2942B117">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38D52F9A">
            <w:pPr>
              <w:spacing w:line="324" w:lineRule="auto"/>
              <w:jc w:val="center"/>
              <w:rPr>
                <w:rFonts w:ascii="Times New Roman" w:hAnsi="Times New Roman" w:eastAsia="仿宋_GB2312" w:cs="Times New Roman"/>
                <w:color w:val="000000"/>
                <w:sz w:val="30"/>
                <w:szCs w:val="30"/>
              </w:rPr>
            </w:pPr>
          </w:p>
        </w:tc>
      </w:tr>
      <w:tr w14:paraId="5E3FF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2F2B7996">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0B284D98">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70480385">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43FABC69">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6A723547">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4BD3F8F9">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08037781">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3EDEFC1A">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721EA73A">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61B0A457">
            <w:pPr>
              <w:spacing w:line="324" w:lineRule="auto"/>
              <w:jc w:val="center"/>
              <w:rPr>
                <w:rFonts w:ascii="Times New Roman" w:hAnsi="Times New Roman" w:eastAsia="仿宋_GB2312" w:cs="Times New Roman"/>
                <w:color w:val="000000"/>
                <w:sz w:val="30"/>
                <w:szCs w:val="30"/>
              </w:rPr>
            </w:pPr>
          </w:p>
        </w:tc>
      </w:tr>
      <w:tr w14:paraId="68478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55EDCB6C">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0E84F7DC">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46BA7A91">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79247080">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3156502F">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4EBB99AC">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519181B9">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5A85D6AC">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5D983AE3">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3DCEC344">
            <w:pPr>
              <w:spacing w:line="324" w:lineRule="auto"/>
              <w:jc w:val="center"/>
              <w:rPr>
                <w:rFonts w:ascii="Times New Roman" w:hAnsi="Times New Roman" w:eastAsia="仿宋_GB2312" w:cs="Times New Roman"/>
                <w:color w:val="000000"/>
                <w:sz w:val="30"/>
                <w:szCs w:val="30"/>
              </w:rPr>
            </w:pPr>
          </w:p>
        </w:tc>
      </w:tr>
      <w:tr w14:paraId="11DBA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2C52E9E5">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20532B52">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72430380">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46C6E534">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0859275E">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6755D21D">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745B093F">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2376CC3B">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4405CDA2">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38945A5F">
            <w:pPr>
              <w:spacing w:line="324" w:lineRule="auto"/>
              <w:jc w:val="center"/>
              <w:rPr>
                <w:rFonts w:ascii="Times New Roman" w:hAnsi="Times New Roman" w:eastAsia="仿宋_GB2312" w:cs="Times New Roman"/>
                <w:color w:val="000000"/>
                <w:sz w:val="30"/>
                <w:szCs w:val="30"/>
              </w:rPr>
            </w:pPr>
          </w:p>
        </w:tc>
      </w:tr>
      <w:tr w14:paraId="6A84A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7155CA5E">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2096A2D7">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405D4339">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7A5CCDDF">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7DA1FECD">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5AC49B31">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64C1DC4F">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78665C08">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634414C9">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689CCD01">
            <w:pPr>
              <w:spacing w:line="324" w:lineRule="auto"/>
              <w:jc w:val="center"/>
              <w:rPr>
                <w:rFonts w:ascii="Times New Roman" w:hAnsi="Times New Roman" w:eastAsia="仿宋_GB2312" w:cs="Times New Roman"/>
                <w:color w:val="000000"/>
                <w:sz w:val="30"/>
                <w:szCs w:val="30"/>
              </w:rPr>
            </w:pPr>
          </w:p>
        </w:tc>
      </w:tr>
      <w:tr w14:paraId="297F8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41E5890F">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34FA9369">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533A6D70">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0B46EED0">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4D4B6682">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1178C2A6">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52231148">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0C577E74">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460E301C">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709FE16F">
            <w:pPr>
              <w:spacing w:line="324" w:lineRule="auto"/>
              <w:jc w:val="center"/>
              <w:rPr>
                <w:rFonts w:ascii="Times New Roman" w:hAnsi="Times New Roman" w:eastAsia="仿宋_GB2312" w:cs="Times New Roman"/>
                <w:color w:val="000000"/>
                <w:sz w:val="30"/>
                <w:szCs w:val="30"/>
              </w:rPr>
            </w:pPr>
          </w:p>
        </w:tc>
      </w:tr>
      <w:tr w14:paraId="0E847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2649890C">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4D3C0D48">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689DBCB9">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052B213C">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5192C328">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1C35A813">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62BCE750">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7FB6135E">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6569B82D">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7DBF892D">
            <w:pPr>
              <w:spacing w:line="324" w:lineRule="auto"/>
              <w:jc w:val="center"/>
              <w:rPr>
                <w:rFonts w:ascii="Times New Roman" w:hAnsi="Times New Roman" w:eastAsia="仿宋_GB2312" w:cs="Times New Roman"/>
                <w:color w:val="000000"/>
                <w:sz w:val="30"/>
                <w:szCs w:val="30"/>
              </w:rPr>
            </w:pPr>
          </w:p>
        </w:tc>
      </w:tr>
      <w:tr w14:paraId="092C0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64" w:type="dxa"/>
            <w:noWrap w:val="0"/>
            <w:vAlign w:val="center"/>
          </w:tcPr>
          <w:p w14:paraId="027D2F3B">
            <w:pPr>
              <w:spacing w:line="324" w:lineRule="auto"/>
              <w:jc w:val="center"/>
              <w:rPr>
                <w:rFonts w:ascii="Times New Roman" w:hAnsi="Times New Roman" w:eastAsia="仿宋_GB2312" w:cs="Times New Roman"/>
                <w:color w:val="000000"/>
                <w:sz w:val="30"/>
                <w:szCs w:val="30"/>
              </w:rPr>
            </w:pPr>
          </w:p>
        </w:tc>
        <w:tc>
          <w:tcPr>
            <w:tcW w:w="2080" w:type="dxa"/>
            <w:noWrap w:val="0"/>
            <w:vAlign w:val="center"/>
          </w:tcPr>
          <w:p w14:paraId="243837CF">
            <w:pPr>
              <w:spacing w:line="324" w:lineRule="auto"/>
              <w:jc w:val="center"/>
              <w:rPr>
                <w:rFonts w:ascii="Times New Roman" w:hAnsi="Times New Roman" w:eastAsia="仿宋_GB2312" w:cs="Times New Roman"/>
                <w:color w:val="000000"/>
                <w:sz w:val="30"/>
                <w:szCs w:val="30"/>
              </w:rPr>
            </w:pPr>
          </w:p>
        </w:tc>
        <w:tc>
          <w:tcPr>
            <w:tcW w:w="1110" w:type="dxa"/>
            <w:noWrap w:val="0"/>
            <w:vAlign w:val="center"/>
          </w:tcPr>
          <w:p w14:paraId="3F0A8899">
            <w:pPr>
              <w:spacing w:line="324" w:lineRule="auto"/>
              <w:jc w:val="center"/>
              <w:rPr>
                <w:rFonts w:ascii="Times New Roman" w:hAnsi="Times New Roman" w:eastAsia="仿宋_GB2312" w:cs="Times New Roman"/>
                <w:color w:val="000000"/>
                <w:sz w:val="30"/>
                <w:szCs w:val="30"/>
              </w:rPr>
            </w:pPr>
          </w:p>
        </w:tc>
        <w:tc>
          <w:tcPr>
            <w:tcW w:w="817" w:type="dxa"/>
            <w:noWrap w:val="0"/>
            <w:vAlign w:val="center"/>
          </w:tcPr>
          <w:p w14:paraId="3F201391">
            <w:pPr>
              <w:spacing w:line="324" w:lineRule="auto"/>
              <w:jc w:val="center"/>
              <w:rPr>
                <w:rFonts w:ascii="Times New Roman" w:hAnsi="Times New Roman" w:eastAsia="仿宋_GB2312" w:cs="Times New Roman"/>
                <w:color w:val="000000"/>
                <w:sz w:val="30"/>
                <w:szCs w:val="30"/>
              </w:rPr>
            </w:pPr>
          </w:p>
        </w:tc>
        <w:tc>
          <w:tcPr>
            <w:tcW w:w="1049" w:type="dxa"/>
            <w:noWrap w:val="0"/>
            <w:vAlign w:val="center"/>
          </w:tcPr>
          <w:p w14:paraId="18C8E4E3">
            <w:pPr>
              <w:spacing w:line="324" w:lineRule="auto"/>
              <w:jc w:val="center"/>
              <w:rPr>
                <w:rFonts w:ascii="Times New Roman" w:hAnsi="Times New Roman" w:eastAsia="仿宋_GB2312" w:cs="Times New Roman"/>
                <w:color w:val="000000"/>
                <w:sz w:val="30"/>
                <w:szCs w:val="30"/>
              </w:rPr>
            </w:pPr>
          </w:p>
        </w:tc>
        <w:tc>
          <w:tcPr>
            <w:tcW w:w="1256" w:type="dxa"/>
            <w:noWrap w:val="0"/>
            <w:vAlign w:val="center"/>
          </w:tcPr>
          <w:p w14:paraId="1B0AC4C3">
            <w:pPr>
              <w:spacing w:line="324" w:lineRule="auto"/>
              <w:jc w:val="center"/>
              <w:rPr>
                <w:rFonts w:ascii="Times New Roman" w:hAnsi="Times New Roman" w:eastAsia="仿宋_GB2312" w:cs="Times New Roman"/>
                <w:color w:val="000000"/>
                <w:sz w:val="30"/>
                <w:szCs w:val="30"/>
              </w:rPr>
            </w:pPr>
          </w:p>
        </w:tc>
        <w:tc>
          <w:tcPr>
            <w:tcW w:w="939" w:type="dxa"/>
            <w:noWrap w:val="0"/>
            <w:vAlign w:val="center"/>
          </w:tcPr>
          <w:p w14:paraId="315C1282">
            <w:pPr>
              <w:spacing w:line="324" w:lineRule="auto"/>
              <w:jc w:val="center"/>
              <w:rPr>
                <w:rFonts w:ascii="Times New Roman" w:hAnsi="Times New Roman" w:eastAsia="仿宋_GB2312" w:cs="Times New Roman"/>
                <w:color w:val="000000"/>
                <w:sz w:val="30"/>
                <w:szCs w:val="30"/>
              </w:rPr>
            </w:pPr>
          </w:p>
        </w:tc>
        <w:tc>
          <w:tcPr>
            <w:tcW w:w="768" w:type="dxa"/>
            <w:noWrap w:val="0"/>
            <w:vAlign w:val="center"/>
          </w:tcPr>
          <w:p w14:paraId="09D394B4">
            <w:pPr>
              <w:spacing w:line="324" w:lineRule="auto"/>
              <w:jc w:val="center"/>
              <w:rPr>
                <w:rFonts w:ascii="Times New Roman" w:hAnsi="Times New Roman" w:eastAsia="仿宋_GB2312" w:cs="Times New Roman"/>
                <w:color w:val="000000"/>
                <w:sz w:val="30"/>
                <w:szCs w:val="30"/>
              </w:rPr>
            </w:pPr>
          </w:p>
        </w:tc>
        <w:tc>
          <w:tcPr>
            <w:tcW w:w="840" w:type="dxa"/>
            <w:noWrap w:val="0"/>
            <w:vAlign w:val="center"/>
          </w:tcPr>
          <w:p w14:paraId="3C62BB23">
            <w:pPr>
              <w:spacing w:line="324" w:lineRule="auto"/>
              <w:jc w:val="center"/>
              <w:rPr>
                <w:rFonts w:ascii="Times New Roman" w:hAnsi="Times New Roman" w:eastAsia="仿宋_GB2312" w:cs="Times New Roman"/>
                <w:color w:val="000000"/>
                <w:sz w:val="30"/>
                <w:szCs w:val="30"/>
              </w:rPr>
            </w:pPr>
          </w:p>
        </w:tc>
        <w:tc>
          <w:tcPr>
            <w:tcW w:w="754" w:type="dxa"/>
            <w:noWrap w:val="0"/>
            <w:vAlign w:val="center"/>
          </w:tcPr>
          <w:p w14:paraId="1012AC2A">
            <w:pPr>
              <w:spacing w:line="324" w:lineRule="auto"/>
              <w:jc w:val="center"/>
              <w:rPr>
                <w:rFonts w:ascii="Times New Roman" w:hAnsi="Times New Roman" w:eastAsia="仿宋_GB2312" w:cs="Times New Roman"/>
                <w:color w:val="000000"/>
                <w:sz w:val="30"/>
                <w:szCs w:val="30"/>
              </w:rPr>
            </w:pPr>
          </w:p>
        </w:tc>
      </w:tr>
    </w:tbl>
    <w:p w14:paraId="2CBD5E0E">
      <w:pPr>
        <w:spacing w:line="324" w:lineRule="auto"/>
        <w:rPr>
          <w:rFonts w:hint="eastAsia" w:ascii="仿宋" w:hAnsi="仿宋" w:eastAsia="仿宋" w:cs="仿宋"/>
          <w:color w:val="auto"/>
          <w:spacing w:val="-14"/>
          <w:sz w:val="24"/>
          <w:szCs w:val="24"/>
        </w:rPr>
      </w:pPr>
      <w:r>
        <w:rPr>
          <w:rFonts w:hint="eastAsia" w:ascii="仿宋" w:hAnsi="仿宋" w:eastAsia="仿宋" w:cs="仿宋"/>
          <w:color w:val="auto"/>
          <w:spacing w:val="-14"/>
          <w:sz w:val="24"/>
          <w:szCs w:val="24"/>
        </w:rPr>
        <w:br w:type="page"/>
      </w:r>
    </w:p>
    <w:p w14:paraId="4DECD51E">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附件 </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w:t>
      </w:r>
    </w:p>
    <w:p w14:paraId="2B744DA0">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工程质量保修书</w:t>
      </w:r>
    </w:p>
    <w:p w14:paraId="5F18150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outlineLvl w:val="9"/>
        <w:rPr>
          <w:rFonts w:hint="eastAsia" w:ascii="仿宋" w:hAnsi="仿宋" w:eastAsia="仿宋" w:cs="仿宋"/>
          <w:color w:val="auto"/>
          <w:kern w:val="2"/>
          <w:sz w:val="24"/>
          <w:szCs w:val="24"/>
          <w:lang w:val="en-US" w:eastAsia="zh-CN" w:bidi="ar-SA"/>
        </w:rPr>
      </w:pPr>
    </w:p>
    <w:p w14:paraId="011CC6B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发包人（全称</w:t>
      </w:r>
      <w:r>
        <w:rPr>
          <w:rFonts w:hint="eastAsia" w:ascii="仿宋" w:hAnsi="仿宋" w:eastAsia="仿宋" w:cs="仿宋"/>
          <w:color w:val="auto"/>
          <w:spacing w:val="-1"/>
          <w:sz w:val="24"/>
          <w:szCs w:val="24"/>
        </w:rPr>
        <w:t>）：</w:t>
      </w:r>
      <w:r>
        <w:rPr>
          <w:rFonts w:hint="eastAsia" w:ascii="仿宋" w:hAnsi="仿宋" w:eastAsia="仿宋" w:cs="仿宋"/>
          <w:color w:val="auto"/>
          <w:sz w:val="24"/>
          <w:szCs w:val="24"/>
          <w:u w:val="single" w:color="auto"/>
        </w:rPr>
        <w:t xml:space="preserve">                                </w:t>
      </w:r>
    </w:p>
    <w:p w14:paraId="43C2D68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承包人（全称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color="auto"/>
        </w:rPr>
        <w:t xml:space="preserve">                                </w:t>
      </w:r>
    </w:p>
    <w:p w14:paraId="5B9D6F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outlineLvl w:val="9"/>
        <w:rPr>
          <w:rFonts w:hint="eastAsia" w:ascii="仿宋" w:hAnsi="仿宋" w:eastAsia="仿宋" w:cs="仿宋"/>
          <w:color w:val="auto"/>
          <w:kern w:val="2"/>
          <w:sz w:val="24"/>
          <w:szCs w:val="24"/>
          <w:lang w:val="en-US" w:eastAsia="zh-CN" w:bidi="ar-SA"/>
        </w:rPr>
      </w:pPr>
    </w:p>
    <w:p w14:paraId="75E3E74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发包人和承包人根据《中华人民共和国建筑法》和《建设工程质量管理条例》，经协商</w:t>
      </w:r>
      <w:r>
        <w:rPr>
          <w:rFonts w:hint="eastAsia" w:ascii="仿宋" w:hAnsi="仿宋" w:eastAsia="仿宋" w:cs="仿宋"/>
          <w:color w:val="auto"/>
          <w:sz w:val="24"/>
          <w:szCs w:val="24"/>
        </w:rPr>
        <w:t>一致就</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rPr>
        <w:t>（工</w:t>
      </w:r>
      <w:r>
        <w:rPr>
          <w:rFonts w:hint="eastAsia" w:ascii="仿宋" w:hAnsi="仿宋" w:eastAsia="仿宋" w:cs="仿宋"/>
          <w:color w:val="auto"/>
          <w:spacing w:val="-1"/>
          <w:sz w:val="24"/>
          <w:szCs w:val="24"/>
        </w:rPr>
        <w:t>程全称）签订工程质量保修书。</w:t>
      </w:r>
    </w:p>
    <w:p w14:paraId="784CAFE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一、工程质量保修范围和内容</w:t>
      </w:r>
    </w:p>
    <w:p w14:paraId="65C39B6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承包人在质量保修期内，按照有关法律规定和合同约定，承担工</w:t>
      </w:r>
      <w:r>
        <w:rPr>
          <w:rFonts w:hint="eastAsia" w:ascii="仿宋" w:hAnsi="仿宋" w:eastAsia="仿宋" w:cs="仿宋"/>
          <w:color w:val="auto"/>
          <w:spacing w:val="-1"/>
          <w:sz w:val="24"/>
          <w:szCs w:val="24"/>
        </w:rPr>
        <w:t>程质量保修责任。</w:t>
      </w:r>
    </w:p>
    <w:p w14:paraId="2257FD34">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u w:val="none" w:color="auto"/>
        </w:rPr>
      </w:pPr>
      <w:r>
        <w:rPr>
          <w:rFonts w:hint="eastAsia" w:ascii="仿宋" w:hAnsi="仿宋" w:eastAsia="仿宋" w:cs="仿宋"/>
          <w:color w:val="auto"/>
          <w:spacing w:val="-4"/>
          <w:sz w:val="24"/>
          <w:szCs w:val="24"/>
        </w:rPr>
        <w:t>质量保修范围包括地基基础工程、主体结构工</w:t>
      </w:r>
      <w:r>
        <w:rPr>
          <w:rFonts w:hint="eastAsia" w:ascii="仿宋" w:hAnsi="仿宋" w:eastAsia="仿宋" w:cs="仿宋"/>
          <w:color w:val="auto"/>
          <w:spacing w:val="-5"/>
          <w:sz w:val="24"/>
          <w:szCs w:val="24"/>
        </w:rPr>
        <w:t>程，屋面防水工程、有防水要求的卫生间、</w:t>
      </w:r>
      <w:r>
        <w:rPr>
          <w:rFonts w:hint="eastAsia" w:ascii="仿宋" w:hAnsi="仿宋" w:eastAsia="仿宋" w:cs="仿宋"/>
          <w:color w:val="auto"/>
          <w:sz w:val="24"/>
          <w:szCs w:val="24"/>
        </w:rPr>
        <w:t>房间和外墙面的防渗漏，供热与供冷系统，电气管线、给排水管道、设备安装和装修工程，</w:t>
      </w:r>
      <w:r>
        <w:rPr>
          <w:rFonts w:hint="eastAsia" w:ascii="仿宋" w:hAnsi="仿宋" w:eastAsia="仿宋" w:cs="仿宋"/>
          <w:color w:val="auto"/>
          <w:spacing w:val="-1"/>
          <w:sz w:val="24"/>
          <w:szCs w:val="24"/>
        </w:rPr>
        <w:t>以及双方约定的其他项目。具体保修的内容，双方约定如下：</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u w:val="none" w:color="auto"/>
          <w:lang w:eastAsia="zh-CN"/>
        </w:rPr>
        <w:t>。</w:t>
      </w:r>
    </w:p>
    <w:p w14:paraId="4F93D114">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二、质量保修期</w:t>
      </w:r>
    </w:p>
    <w:p w14:paraId="0D7BAED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根据《建设工程质量管理条例》及有关规定，工</w:t>
      </w:r>
      <w:r>
        <w:rPr>
          <w:rFonts w:hint="eastAsia" w:ascii="仿宋" w:hAnsi="仿宋" w:eastAsia="仿宋" w:cs="仿宋"/>
          <w:color w:val="auto"/>
          <w:spacing w:val="-1"/>
          <w:sz w:val="24"/>
          <w:szCs w:val="24"/>
        </w:rPr>
        <w:t>程的质量保修期如下：</w:t>
      </w:r>
    </w:p>
    <w:p w14:paraId="78B8B6B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1．地基基础工程和主体结构工程为设计文件规定的工程合理使用年限；</w:t>
      </w:r>
    </w:p>
    <w:p w14:paraId="08B1D13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2．屋面防水工程、有防水要求的卫生间、房间和外墙面的防渗为</w:t>
      </w:r>
      <w:r>
        <w:rPr>
          <w:rFonts w:hint="eastAsia" w:ascii="仿宋" w:hAnsi="仿宋" w:eastAsia="仿宋" w:cs="仿宋"/>
          <w:color w:val="auto"/>
          <w:spacing w:val="-1"/>
          <w:sz w:val="24"/>
          <w:szCs w:val="24"/>
          <w:u w:val="single" w:color="auto"/>
        </w:rPr>
        <w:t xml:space="preserve">  5</w:t>
      </w:r>
      <w:r>
        <w:rPr>
          <w:rFonts w:hint="eastAsia" w:ascii="仿宋" w:hAnsi="仿宋" w:eastAsia="仿宋" w:cs="仿宋"/>
          <w:color w:val="auto"/>
          <w:spacing w:val="-1"/>
          <w:sz w:val="24"/>
          <w:szCs w:val="24"/>
          <w:u w:val="single" w:color="auto"/>
          <w:lang w:val="en-US" w:eastAsia="zh-CN"/>
        </w:rPr>
        <w:t xml:space="preserve">  </w:t>
      </w:r>
      <w:r>
        <w:rPr>
          <w:rFonts w:hint="eastAsia" w:ascii="仿宋" w:hAnsi="仿宋" w:eastAsia="仿宋" w:cs="仿宋"/>
          <w:color w:val="auto"/>
          <w:spacing w:val="-1"/>
          <w:sz w:val="24"/>
          <w:szCs w:val="24"/>
        </w:rPr>
        <w:t>年；</w:t>
      </w:r>
    </w:p>
    <w:p w14:paraId="6A66EC3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3．装修工程为</w:t>
      </w:r>
      <w:r>
        <w:rPr>
          <w:rFonts w:hint="eastAsia" w:ascii="仿宋" w:hAnsi="仿宋" w:eastAsia="仿宋" w:cs="仿宋"/>
          <w:color w:val="auto"/>
          <w:spacing w:val="-2"/>
          <w:sz w:val="24"/>
          <w:szCs w:val="24"/>
          <w:u w:val="single" w:color="auto"/>
        </w:rPr>
        <w:t xml:space="preserve">  2  </w:t>
      </w:r>
      <w:r>
        <w:rPr>
          <w:rFonts w:hint="eastAsia" w:ascii="仿宋" w:hAnsi="仿宋" w:eastAsia="仿宋" w:cs="仿宋"/>
          <w:color w:val="auto"/>
          <w:spacing w:val="-2"/>
          <w:sz w:val="24"/>
          <w:szCs w:val="24"/>
        </w:rPr>
        <w:t>年；</w:t>
      </w:r>
    </w:p>
    <w:p w14:paraId="74CD172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4．电气管线、给排水管道、设备安装工程为</w:t>
      </w:r>
      <w:r>
        <w:rPr>
          <w:rFonts w:hint="eastAsia" w:ascii="仿宋" w:hAnsi="仿宋" w:eastAsia="仿宋" w:cs="仿宋"/>
          <w:color w:val="auto"/>
          <w:spacing w:val="-1"/>
          <w:sz w:val="24"/>
          <w:szCs w:val="24"/>
          <w:u w:val="single" w:color="auto"/>
        </w:rPr>
        <w:t xml:space="preserve">  2  </w:t>
      </w:r>
      <w:r>
        <w:rPr>
          <w:rFonts w:hint="eastAsia" w:ascii="仿宋" w:hAnsi="仿宋" w:eastAsia="仿宋" w:cs="仿宋"/>
          <w:color w:val="auto"/>
          <w:spacing w:val="-86"/>
          <w:sz w:val="24"/>
          <w:szCs w:val="24"/>
        </w:rPr>
        <w:t xml:space="preserve"> </w:t>
      </w:r>
      <w:r>
        <w:rPr>
          <w:rFonts w:hint="eastAsia" w:ascii="仿宋" w:hAnsi="仿宋" w:eastAsia="仿宋" w:cs="仿宋"/>
          <w:color w:val="auto"/>
          <w:spacing w:val="-1"/>
          <w:sz w:val="24"/>
          <w:szCs w:val="24"/>
        </w:rPr>
        <w:t>年；</w:t>
      </w:r>
    </w:p>
    <w:p w14:paraId="15CD9AB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5．供热与供冷系统为</w:t>
      </w:r>
      <w:r>
        <w:rPr>
          <w:rFonts w:hint="eastAsia" w:ascii="仿宋" w:hAnsi="仿宋" w:eastAsia="仿宋" w:cs="仿宋"/>
          <w:color w:val="auto"/>
          <w:spacing w:val="-1"/>
          <w:sz w:val="24"/>
          <w:szCs w:val="24"/>
          <w:u w:val="single" w:color="auto"/>
        </w:rPr>
        <w:t xml:space="preserve">   2  </w:t>
      </w:r>
      <w:r>
        <w:rPr>
          <w:rFonts w:hint="eastAsia" w:ascii="仿宋" w:hAnsi="仿宋" w:eastAsia="仿宋" w:cs="仿宋"/>
          <w:color w:val="auto"/>
          <w:spacing w:val="-94"/>
          <w:sz w:val="24"/>
          <w:szCs w:val="24"/>
        </w:rPr>
        <w:t xml:space="preserve"> </w:t>
      </w:r>
      <w:r>
        <w:rPr>
          <w:rFonts w:hint="eastAsia" w:ascii="仿宋" w:hAnsi="仿宋" w:eastAsia="仿宋" w:cs="仿宋"/>
          <w:color w:val="auto"/>
          <w:spacing w:val="-1"/>
          <w:sz w:val="24"/>
          <w:szCs w:val="24"/>
        </w:rPr>
        <w:t>个采暖期、供冷期；</w:t>
      </w:r>
    </w:p>
    <w:p w14:paraId="03A182D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6．住宅小区内的给排水设施、道路等配套工程为</w:t>
      </w:r>
      <w:r>
        <w:rPr>
          <w:rFonts w:hint="eastAsia" w:ascii="仿宋" w:hAnsi="仿宋" w:eastAsia="仿宋" w:cs="仿宋"/>
          <w:color w:val="auto"/>
          <w:spacing w:val="-1"/>
          <w:sz w:val="24"/>
          <w:szCs w:val="24"/>
          <w:u w:val="single" w:color="auto"/>
        </w:rPr>
        <w:t xml:space="preserve">  2 </w:t>
      </w:r>
      <w:r>
        <w:rPr>
          <w:rFonts w:hint="eastAsia" w:ascii="仿宋" w:hAnsi="仿宋" w:eastAsia="仿宋" w:cs="仿宋"/>
          <w:color w:val="auto"/>
          <w:spacing w:val="-1"/>
          <w:sz w:val="24"/>
          <w:szCs w:val="24"/>
        </w:rPr>
        <w:t>年；</w:t>
      </w:r>
    </w:p>
    <w:p w14:paraId="3C0FA6ED">
      <w:pPr>
        <w:keepNext w:val="0"/>
        <w:keepLines w:val="0"/>
        <w:pageBreakBefore w:val="0"/>
        <w:widowControl w:val="0"/>
        <w:tabs>
          <w:tab w:val="left" w:pos="6280"/>
        </w:tabs>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7．其他项目保修期限约定如下：</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5"/>
          <w:sz w:val="24"/>
          <w:szCs w:val="24"/>
        </w:rPr>
        <w:t xml:space="preserve"> </w:t>
      </w:r>
      <w:r>
        <w:rPr>
          <w:rFonts w:hint="eastAsia" w:ascii="仿宋" w:hAnsi="仿宋" w:eastAsia="仿宋" w:cs="仿宋"/>
          <w:color w:val="auto"/>
          <w:spacing w:val="13"/>
          <w:sz w:val="24"/>
          <w:szCs w:val="24"/>
        </w:rPr>
        <w:t>。</w:t>
      </w:r>
    </w:p>
    <w:p w14:paraId="121C1A02">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质量保修期自工程竣工验收合格之日起计算。</w:t>
      </w:r>
    </w:p>
    <w:p w14:paraId="4B3E1FC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三、缺陷责任期</w:t>
      </w:r>
    </w:p>
    <w:p w14:paraId="6C0B734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工程缺陷责任期为</w:t>
      </w:r>
      <w:r>
        <w:rPr>
          <w:rFonts w:hint="eastAsia" w:ascii="仿宋" w:hAnsi="仿宋" w:eastAsia="仿宋" w:cs="仿宋"/>
          <w:color w:val="auto"/>
          <w:spacing w:val="-1"/>
          <w:sz w:val="24"/>
          <w:szCs w:val="24"/>
          <w:u w:val="single" w:color="auto"/>
        </w:rPr>
        <w:t xml:space="preserve"> 24 </w:t>
      </w:r>
      <w:r>
        <w:rPr>
          <w:rFonts w:hint="eastAsia" w:ascii="仿宋" w:hAnsi="仿宋" w:eastAsia="仿宋" w:cs="仿宋"/>
          <w:color w:val="auto"/>
          <w:spacing w:val="-1"/>
          <w:sz w:val="24"/>
          <w:szCs w:val="24"/>
        </w:rPr>
        <w:t>个月，缺陷责任期自工程通过竣工验收之日起计算。单位工程先</w:t>
      </w:r>
      <w:r>
        <w:rPr>
          <w:rFonts w:hint="eastAsia" w:ascii="仿宋" w:hAnsi="仿宋" w:eastAsia="仿宋" w:cs="仿宋"/>
          <w:color w:val="auto"/>
          <w:sz w:val="24"/>
          <w:szCs w:val="24"/>
        </w:rPr>
        <w:t>于全部工程进行验收，单位工程缺陷责任期自单</w:t>
      </w:r>
      <w:r>
        <w:rPr>
          <w:rFonts w:hint="eastAsia" w:ascii="仿宋" w:hAnsi="仿宋" w:eastAsia="仿宋" w:cs="仿宋"/>
          <w:color w:val="auto"/>
          <w:spacing w:val="-1"/>
          <w:sz w:val="24"/>
          <w:szCs w:val="24"/>
        </w:rPr>
        <w:t>位工程验收合格之日起算。</w:t>
      </w:r>
    </w:p>
    <w:p w14:paraId="31A424AE">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rPr>
        <w:t>四、质量保修责任</w:t>
      </w:r>
    </w:p>
    <w:p w14:paraId="24DE0D2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
          <w:sz w:val="24"/>
          <w:szCs w:val="24"/>
        </w:rPr>
        <w:t>1．属于保修范围、内容的项目，承包人应当在接到保修</w:t>
      </w:r>
      <w:r>
        <w:rPr>
          <w:rFonts w:hint="eastAsia" w:ascii="仿宋" w:hAnsi="仿宋" w:eastAsia="仿宋" w:cs="仿宋"/>
          <w:color w:val="auto"/>
          <w:spacing w:val="-2"/>
          <w:sz w:val="24"/>
          <w:szCs w:val="24"/>
        </w:rPr>
        <w:t>通知之日起</w:t>
      </w:r>
      <w:r>
        <w:rPr>
          <w:rFonts w:hint="eastAsia" w:ascii="仿宋" w:hAnsi="仿宋" w:eastAsia="仿宋" w:cs="仿宋"/>
          <w:color w:val="auto"/>
          <w:spacing w:val="-43"/>
          <w:sz w:val="24"/>
          <w:szCs w:val="24"/>
        </w:rPr>
        <w:t xml:space="preserve"> </w:t>
      </w:r>
      <w:r>
        <w:rPr>
          <w:rFonts w:hint="eastAsia" w:ascii="仿宋" w:hAnsi="仿宋" w:eastAsia="仿宋" w:cs="仿宋"/>
          <w:color w:val="auto"/>
          <w:spacing w:val="-2"/>
          <w:sz w:val="24"/>
          <w:szCs w:val="24"/>
        </w:rPr>
        <w:t>7</w:t>
      </w:r>
      <w:r>
        <w:rPr>
          <w:rFonts w:hint="eastAsia" w:ascii="仿宋" w:hAnsi="仿宋" w:eastAsia="仿宋" w:cs="仿宋"/>
          <w:color w:val="auto"/>
          <w:spacing w:val="-42"/>
          <w:sz w:val="24"/>
          <w:szCs w:val="24"/>
        </w:rPr>
        <w:t xml:space="preserve"> </w:t>
      </w:r>
      <w:r>
        <w:rPr>
          <w:rFonts w:hint="eastAsia" w:ascii="仿宋" w:hAnsi="仿宋" w:eastAsia="仿宋" w:cs="仿宋"/>
          <w:color w:val="auto"/>
          <w:spacing w:val="-2"/>
          <w:sz w:val="24"/>
          <w:szCs w:val="24"/>
        </w:rPr>
        <w:t>天内派人保修</w:t>
      </w:r>
      <w:r>
        <w:rPr>
          <w:rFonts w:hint="eastAsia" w:ascii="仿宋" w:hAnsi="仿宋" w:eastAsia="仿宋" w:cs="仿宋"/>
          <w:color w:val="auto"/>
          <w:spacing w:val="-2"/>
          <w:sz w:val="24"/>
          <w:szCs w:val="24"/>
          <w:lang w:eastAsia="zh-CN"/>
        </w:rPr>
        <w:t>。</w:t>
      </w:r>
      <w:r>
        <w:rPr>
          <w:rFonts w:hint="eastAsia" w:ascii="仿宋" w:hAnsi="仿宋" w:eastAsia="仿宋" w:cs="仿宋"/>
          <w:color w:val="auto"/>
          <w:spacing w:val="-1"/>
          <w:sz w:val="24"/>
          <w:szCs w:val="24"/>
        </w:rPr>
        <w:t>承包人不在约定期限内派人保修的，发包人可以委托他人修理。</w:t>
      </w:r>
    </w:p>
    <w:p w14:paraId="7207C56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jc w:val="both"/>
        <w:textAlignment w:val="auto"/>
        <w:outlineLvl w:val="9"/>
        <w:rPr>
          <w:rFonts w:hint="eastAsia" w:ascii="仿宋" w:hAnsi="仿宋" w:eastAsia="仿宋" w:cs="仿宋"/>
          <w:color w:val="auto"/>
          <w:spacing w:val="-2"/>
          <w:sz w:val="24"/>
          <w:szCs w:val="24"/>
        </w:rPr>
      </w:pPr>
      <w:r>
        <w:rPr>
          <w:rFonts w:hint="eastAsia" w:ascii="仿宋" w:hAnsi="仿宋" w:eastAsia="仿宋" w:cs="仿宋"/>
          <w:color w:val="auto"/>
          <w:spacing w:val="-1"/>
          <w:sz w:val="24"/>
          <w:szCs w:val="24"/>
        </w:rPr>
        <w:t>2．发生紧急事故需抢修的，承包人在接到事故通知后，应当立即到达事</w:t>
      </w:r>
      <w:r>
        <w:rPr>
          <w:rFonts w:hint="eastAsia" w:ascii="仿宋" w:hAnsi="仿宋" w:eastAsia="仿宋" w:cs="仿宋"/>
          <w:color w:val="auto"/>
          <w:spacing w:val="-2"/>
          <w:sz w:val="24"/>
          <w:szCs w:val="24"/>
        </w:rPr>
        <w:t>故现场抢修。</w:t>
      </w:r>
    </w:p>
    <w:p w14:paraId="0A1EA79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47C46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4．质量保修完成后，由发包人组织验收。</w:t>
      </w:r>
    </w:p>
    <w:p w14:paraId="471F450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五、保修费用</w:t>
      </w:r>
    </w:p>
    <w:p w14:paraId="3FD80DB1">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保修费用由造成质量缺陷的责任方承担。</w:t>
      </w:r>
    </w:p>
    <w:p w14:paraId="2E985BB4">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rPr>
        <w:t>六、双方约定的其他工程质量保修事项：</w:t>
      </w:r>
      <w:r>
        <w:rPr>
          <w:rFonts w:hint="eastAsia" w:ascii="仿宋" w:hAnsi="仿宋" w:eastAsia="仿宋" w:cs="仿宋"/>
          <w:color w:val="auto"/>
          <w:spacing w:val="-1"/>
          <w:sz w:val="24"/>
          <w:szCs w:val="24"/>
          <w:u w:val="single"/>
        </w:rPr>
        <w:t xml:space="preserve">                </w:t>
      </w:r>
      <w:r>
        <w:rPr>
          <w:rFonts w:hint="eastAsia" w:ascii="仿宋" w:hAnsi="仿宋" w:eastAsia="仿宋" w:cs="仿宋"/>
          <w:color w:val="auto"/>
          <w:spacing w:val="-1"/>
          <w:sz w:val="24"/>
          <w:szCs w:val="24"/>
          <w:u w:val="none"/>
          <w:lang w:eastAsia="zh-CN"/>
        </w:rPr>
        <w:t>。</w:t>
      </w:r>
    </w:p>
    <w:p w14:paraId="2A437DD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r>
        <w:rPr>
          <w:rFonts w:hint="eastAsia" w:ascii="仿宋" w:hAnsi="仿宋" w:eastAsia="仿宋" w:cs="仿宋"/>
          <w:color w:val="auto"/>
          <w:spacing w:val="-1"/>
          <w:sz w:val="24"/>
          <w:szCs w:val="24"/>
        </w:rPr>
        <w:t>工程质量保修书由发包人、承包人在工程竣工验收前共同签署，作为施工合同附件，其有效期限至保修期满。</w:t>
      </w:r>
    </w:p>
    <w:p w14:paraId="6A34DD3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outlineLvl w:val="9"/>
        <w:rPr>
          <w:rFonts w:hint="eastAsia" w:ascii="仿宋" w:hAnsi="仿宋" w:eastAsia="仿宋" w:cs="仿宋"/>
          <w:color w:val="auto"/>
          <w:spacing w:val="-1"/>
          <w:sz w:val="24"/>
          <w:szCs w:val="24"/>
        </w:rPr>
      </w:pPr>
    </w:p>
    <w:p w14:paraId="2F90594D">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both"/>
        <w:textAlignment w:val="auto"/>
        <w:outlineLvl w:val="9"/>
        <w:rPr>
          <w:rFonts w:hint="eastAsia" w:ascii="仿宋" w:hAnsi="仿宋" w:eastAsia="仿宋" w:cs="仿宋"/>
          <w:color w:val="auto"/>
          <w:spacing w:val="-2"/>
          <w:sz w:val="24"/>
          <w:szCs w:val="24"/>
        </w:rPr>
      </w:pPr>
    </w:p>
    <w:p w14:paraId="59EC7AE9">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发包人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公章</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
          <w:sz w:val="24"/>
          <w:szCs w:val="24"/>
          <w:u w:val="single" w:color="auto"/>
        </w:rPr>
        <w:t xml:space="preserve">  </w:t>
      </w:r>
      <w:r>
        <w:rPr>
          <w:rFonts w:hint="eastAsia" w:ascii="仿宋" w:hAnsi="仿宋" w:eastAsia="仿宋" w:cs="仿宋"/>
          <w:color w:val="auto"/>
          <w:spacing w:val="-1"/>
          <w:sz w:val="24"/>
          <w:szCs w:val="24"/>
        </w:rPr>
        <w:t xml:space="preserve">   </w:t>
      </w:r>
      <w:r>
        <w:rPr>
          <w:rFonts w:hint="eastAsia" w:ascii="仿宋" w:hAnsi="仿宋" w:eastAsia="仿宋" w:cs="仿宋"/>
          <w:color w:val="auto"/>
          <w:spacing w:val="-1"/>
          <w:sz w:val="24"/>
          <w:szCs w:val="24"/>
          <w:lang w:val="en-US" w:eastAsia="zh-CN"/>
        </w:rPr>
        <w:t xml:space="preserve">      </w:t>
      </w:r>
      <w:r>
        <w:rPr>
          <w:rFonts w:hint="eastAsia" w:ascii="仿宋" w:hAnsi="仿宋" w:eastAsia="仿宋" w:cs="仿宋"/>
          <w:color w:val="auto"/>
          <w:spacing w:val="-1"/>
          <w:sz w:val="24"/>
          <w:szCs w:val="24"/>
        </w:rPr>
        <w:t>承包人</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公章</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w:t>
      </w:r>
      <w:r>
        <w:rPr>
          <w:rFonts w:hint="eastAsia" w:ascii="仿宋" w:hAnsi="仿宋" w:eastAsia="仿宋" w:cs="仿宋"/>
          <w:color w:val="auto"/>
          <w:sz w:val="24"/>
          <w:szCs w:val="24"/>
          <w:u w:val="single" w:color="auto"/>
        </w:rPr>
        <w:t xml:space="preserve">              </w:t>
      </w:r>
    </w:p>
    <w:p w14:paraId="5473CE31">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5"/>
          <w:sz w:val="24"/>
          <w:szCs w:val="24"/>
        </w:rPr>
        <w:t>地</w:t>
      </w:r>
      <w:r>
        <w:rPr>
          <w:rFonts w:hint="eastAsia" w:ascii="仿宋" w:hAnsi="仿宋" w:eastAsia="仿宋" w:cs="仿宋"/>
          <w:color w:val="auto"/>
          <w:spacing w:val="5"/>
          <w:sz w:val="24"/>
          <w:szCs w:val="24"/>
        </w:rPr>
        <w:t xml:space="preserve">  </w:t>
      </w:r>
      <w:r>
        <w:rPr>
          <w:rFonts w:hint="eastAsia" w:ascii="仿宋" w:hAnsi="仿宋" w:eastAsia="仿宋" w:cs="仿宋"/>
          <w:color w:val="auto"/>
          <w:spacing w:val="-15"/>
          <w:sz w:val="24"/>
          <w:szCs w:val="24"/>
        </w:rPr>
        <w:t>址</w:t>
      </w:r>
      <w:r>
        <w:rPr>
          <w:rFonts w:hint="eastAsia" w:ascii="仿宋" w:hAnsi="仿宋" w:eastAsia="仿宋" w:cs="仿宋"/>
          <w:color w:val="auto"/>
          <w:spacing w:val="-83"/>
          <w:sz w:val="24"/>
          <w:szCs w:val="24"/>
        </w:rPr>
        <w:t xml:space="preserve"> </w:t>
      </w:r>
      <w:r>
        <w:rPr>
          <w:rFonts w:hint="eastAsia" w:ascii="仿宋" w:hAnsi="仿宋" w:eastAsia="仿宋" w:cs="仿宋"/>
          <w:color w:val="auto"/>
          <w:spacing w:val="-15"/>
          <w:sz w:val="24"/>
          <w:szCs w:val="24"/>
        </w:rPr>
        <w:t>：</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3"/>
          <w:sz w:val="24"/>
          <w:szCs w:val="24"/>
          <w:lang w:val="en-US" w:eastAsia="zh-CN"/>
        </w:rPr>
        <w:t xml:space="preserve">      </w:t>
      </w:r>
      <w:r>
        <w:rPr>
          <w:rFonts w:hint="eastAsia" w:ascii="仿宋" w:hAnsi="仿宋" w:eastAsia="仿宋" w:cs="仿宋"/>
          <w:color w:val="auto"/>
          <w:spacing w:val="-15"/>
          <w:sz w:val="24"/>
          <w:szCs w:val="24"/>
        </w:rPr>
        <w:t>地</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15"/>
          <w:sz w:val="24"/>
          <w:szCs w:val="24"/>
        </w:rPr>
        <w:t>址</w:t>
      </w:r>
      <w:r>
        <w:rPr>
          <w:rFonts w:hint="eastAsia" w:ascii="仿宋" w:hAnsi="仿宋" w:eastAsia="仿宋" w:cs="仿宋"/>
          <w:color w:val="auto"/>
          <w:spacing w:val="-82"/>
          <w:sz w:val="24"/>
          <w:szCs w:val="24"/>
        </w:rPr>
        <w:t xml:space="preserve"> </w:t>
      </w:r>
      <w:r>
        <w:rPr>
          <w:rFonts w:hint="eastAsia" w:ascii="仿宋" w:hAnsi="仿宋" w:eastAsia="仿宋" w:cs="仿宋"/>
          <w:color w:val="auto"/>
          <w:spacing w:val="-15"/>
          <w:sz w:val="24"/>
          <w:szCs w:val="24"/>
        </w:rPr>
        <w:t>：</w:t>
      </w:r>
      <w:r>
        <w:rPr>
          <w:rFonts w:hint="eastAsia" w:ascii="仿宋" w:hAnsi="仿宋" w:eastAsia="仿宋" w:cs="仿宋"/>
          <w:color w:val="auto"/>
          <w:sz w:val="24"/>
          <w:szCs w:val="24"/>
          <w:u w:val="single" w:color="auto"/>
        </w:rPr>
        <w:t xml:space="preserve">                    </w:t>
      </w:r>
    </w:p>
    <w:p w14:paraId="3CCE7B5E">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签字</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pacing w:val="-1"/>
          <w:sz w:val="24"/>
          <w:szCs w:val="24"/>
        </w:rPr>
        <w:t xml:space="preserve"> </w:t>
      </w:r>
      <w:r>
        <w:rPr>
          <w:rFonts w:hint="eastAsia" w:ascii="仿宋" w:hAnsi="仿宋" w:eastAsia="仿宋" w:cs="仿宋"/>
          <w:color w:val="auto"/>
          <w:spacing w:val="-1"/>
          <w:sz w:val="24"/>
          <w:szCs w:val="24"/>
          <w:lang w:val="en-US" w:eastAsia="zh-CN"/>
        </w:rPr>
        <w:t xml:space="preserve">      </w:t>
      </w:r>
      <w:r>
        <w:rPr>
          <w:rFonts w:hint="eastAsia" w:ascii="仿宋" w:hAnsi="仿宋" w:eastAsia="仿宋" w:cs="仿宋"/>
          <w:color w:val="auto"/>
          <w:spacing w:val="-1"/>
          <w:sz w:val="24"/>
          <w:szCs w:val="24"/>
        </w:rPr>
        <w:t>法定代表人</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签字</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w:t>
      </w:r>
      <w:r>
        <w:rPr>
          <w:rFonts w:hint="eastAsia" w:ascii="仿宋" w:hAnsi="仿宋" w:eastAsia="仿宋" w:cs="仿宋"/>
          <w:color w:val="auto"/>
          <w:sz w:val="24"/>
          <w:szCs w:val="24"/>
          <w:u w:val="single" w:color="auto"/>
        </w:rPr>
        <w:t xml:space="preserve">           </w:t>
      </w:r>
    </w:p>
    <w:p w14:paraId="5C30AA78">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签字</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委</w:t>
      </w:r>
      <w:r>
        <w:rPr>
          <w:rFonts w:hint="eastAsia" w:ascii="仿宋" w:hAnsi="仿宋" w:eastAsia="仿宋" w:cs="仿宋"/>
          <w:color w:val="auto"/>
          <w:spacing w:val="-1"/>
          <w:sz w:val="24"/>
          <w:szCs w:val="24"/>
        </w:rPr>
        <w:t>托代理人</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签字</w:t>
      </w:r>
      <w:r>
        <w:rPr>
          <w:rFonts w:hint="eastAsia" w:ascii="仿宋" w:hAnsi="仿宋" w:eastAsia="仿宋" w:cs="仿宋"/>
          <w:color w:val="auto"/>
          <w:spacing w:val="-1"/>
          <w:sz w:val="24"/>
          <w:szCs w:val="24"/>
          <w:lang w:eastAsia="zh-CN"/>
        </w:rPr>
        <w:t>）</w:t>
      </w:r>
      <w:r>
        <w:rPr>
          <w:rFonts w:hint="eastAsia" w:ascii="仿宋" w:hAnsi="仿宋" w:eastAsia="仿宋" w:cs="仿宋"/>
          <w:color w:val="auto"/>
          <w:spacing w:val="-1"/>
          <w:sz w:val="24"/>
          <w:szCs w:val="24"/>
        </w:rPr>
        <w:t>：</w:t>
      </w:r>
      <w:r>
        <w:rPr>
          <w:rFonts w:hint="eastAsia" w:ascii="仿宋" w:hAnsi="仿宋" w:eastAsia="仿宋" w:cs="仿宋"/>
          <w:color w:val="auto"/>
          <w:sz w:val="24"/>
          <w:szCs w:val="24"/>
          <w:u w:val="single" w:color="auto"/>
        </w:rPr>
        <w:t xml:space="preserve">           </w:t>
      </w:r>
    </w:p>
    <w:p w14:paraId="02AC855B">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3"/>
          <w:sz w:val="24"/>
          <w:szCs w:val="24"/>
        </w:rPr>
        <w:t>电</w:t>
      </w:r>
      <w:r>
        <w:rPr>
          <w:rFonts w:hint="eastAsia" w:ascii="仿宋" w:hAnsi="仿宋" w:eastAsia="仿宋" w:cs="仿宋"/>
          <w:color w:val="auto"/>
          <w:spacing w:val="3"/>
          <w:sz w:val="24"/>
          <w:szCs w:val="24"/>
        </w:rPr>
        <w:t xml:space="preserve">  </w:t>
      </w:r>
      <w:r>
        <w:rPr>
          <w:rFonts w:hint="eastAsia" w:ascii="仿宋" w:hAnsi="仿宋" w:eastAsia="仿宋" w:cs="仿宋"/>
          <w:color w:val="auto"/>
          <w:spacing w:val="-13"/>
          <w:sz w:val="24"/>
          <w:szCs w:val="24"/>
        </w:rPr>
        <w:t>话</w:t>
      </w:r>
      <w:r>
        <w:rPr>
          <w:rFonts w:hint="eastAsia" w:ascii="仿宋" w:hAnsi="仿宋" w:eastAsia="仿宋" w:cs="仿宋"/>
          <w:color w:val="auto"/>
          <w:spacing w:val="-82"/>
          <w:sz w:val="24"/>
          <w:szCs w:val="24"/>
        </w:rPr>
        <w:t xml:space="preserve"> </w:t>
      </w:r>
      <w:r>
        <w:rPr>
          <w:rFonts w:hint="eastAsia" w:ascii="仿宋" w:hAnsi="仿宋" w:eastAsia="仿宋" w:cs="仿宋"/>
          <w:color w:val="auto"/>
          <w:spacing w:val="-13"/>
          <w:sz w:val="24"/>
          <w:szCs w:val="24"/>
        </w:rPr>
        <w:t>：</w:t>
      </w:r>
      <w:r>
        <w:rPr>
          <w:rFonts w:hint="eastAsia" w:ascii="仿宋" w:hAnsi="仿宋" w:eastAsia="仿宋" w:cs="仿宋"/>
          <w:color w:val="auto"/>
          <w:spacing w:val="-13"/>
          <w:sz w:val="24"/>
          <w:szCs w:val="24"/>
          <w:u w:val="single" w:color="auto"/>
        </w:rPr>
        <w:t xml:space="preserve">                 </w:t>
      </w:r>
      <w:r>
        <w:rPr>
          <w:rFonts w:hint="eastAsia" w:ascii="仿宋" w:hAnsi="仿宋" w:eastAsia="仿宋" w:cs="仿宋"/>
          <w:color w:val="auto"/>
          <w:spacing w:val="-14"/>
          <w:sz w:val="24"/>
          <w:szCs w:val="24"/>
          <w:u w:val="single" w:color="auto"/>
        </w:rPr>
        <w:t xml:space="preserve">    </w:t>
      </w:r>
      <w:r>
        <w:rPr>
          <w:rFonts w:hint="eastAsia" w:ascii="仿宋" w:hAnsi="仿宋" w:eastAsia="仿宋" w:cs="仿宋"/>
          <w:color w:val="auto"/>
          <w:spacing w:val="11"/>
          <w:sz w:val="24"/>
          <w:szCs w:val="24"/>
        </w:rPr>
        <w:t xml:space="preserve">   </w:t>
      </w:r>
      <w:r>
        <w:rPr>
          <w:rFonts w:hint="eastAsia" w:ascii="仿宋" w:hAnsi="仿宋" w:eastAsia="仿宋" w:cs="仿宋"/>
          <w:color w:val="auto"/>
          <w:spacing w:val="11"/>
          <w:sz w:val="24"/>
          <w:szCs w:val="24"/>
          <w:lang w:val="en-US" w:eastAsia="zh-CN"/>
        </w:rPr>
        <w:t xml:space="preserve">        </w:t>
      </w:r>
      <w:r>
        <w:rPr>
          <w:rFonts w:hint="eastAsia" w:ascii="仿宋" w:hAnsi="仿宋" w:eastAsia="仿宋" w:cs="仿宋"/>
          <w:color w:val="auto"/>
          <w:spacing w:val="-14"/>
          <w:sz w:val="24"/>
          <w:szCs w:val="24"/>
        </w:rPr>
        <w:t>电</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14"/>
          <w:sz w:val="24"/>
          <w:szCs w:val="24"/>
        </w:rPr>
        <w:t>话</w:t>
      </w:r>
      <w:r>
        <w:rPr>
          <w:rFonts w:hint="eastAsia" w:ascii="仿宋" w:hAnsi="仿宋" w:eastAsia="仿宋" w:cs="仿宋"/>
          <w:color w:val="auto"/>
          <w:spacing w:val="-83"/>
          <w:sz w:val="24"/>
          <w:szCs w:val="24"/>
        </w:rPr>
        <w:t xml:space="preserve"> </w:t>
      </w:r>
      <w:r>
        <w:rPr>
          <w:rFonts w:hint="eastAsia" w:ascii="仿宋" w:hAnsi="仿宋" w:eastAsia="仿宋" w:cs="仿宋"/>
          <w:color w:val="auto"/>
          <w:spacing w:val="-14"/>
          <w:sz w:val="24"/>
          <w:szCs w:val="24"/>
        </w:rPr>
        <w:t>：</w:t>
      </w:r>
      <w:r>
        <w:rPr>
          <w:rFonts w:hint="eastAsia" w:ascii="仿宋" w:hAnsi="仿宋" w:eastAsia="仿宋" w:cs="仿宋"/>
          <w:color w:val="auto"/>
          <w:sz w:val="24"/>
          <w:szCs w:val="24"/>
          <w:u w:val="single" w:color="auto"/>
        </w:rPr>
        <w:t xml:space="preserve">                     </w:t>
      </w:r>
    </w:p>
    <w:p w14:paraId="7308D2CB">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5"/>
          <w:sz w:val="24"/>
          <w:szCs w:val="24"/>
        </w:rPr>
        <w:t>传</w:t>
      </w:r>
      <w:r>
        <w:rPr>
          <w:rFonts w:hint="eastAsia" w:ascii="仿宋" w:hAnsi="仿宋" w:eastAsia="仿宋" w:cs="仿宋"/>
          <w:color w:val="auto"/>
          <w:spacing w:val="5"/>
          <w:sz w:val="24"/>
          <w:szCs w:val="24"/>
        </w:rPr>
        <w:t xml:space="preserve">  </w:t>
      </w:r>
      <w:r>
        <w:rPr>
          <w:rFonts w:hint="eastAsia" w:ascii="仿宋" w:hAnsi="仿宋" w:eastAsia="仿宋" w:cs="仿宋"/>
          <w:color w:val="auto"/>
          <w:spacing w:val="-15"/>
          <w:sz w:val="24"/>
          <w:szCs w:val="24"/>
        </w:rPr>
        <w:t>真</w:t>
      </w:r>
      <w:r>
        <w:rPr>
          <w:rFonts w:hint="eastAsia" w:ascii="仿宋" w:hAnsi="仿宋" w:eastAsia="仿宋" w:cs="仿宋"/>
          <w:color w:val="auto"/>
          <w:spacing w:val="-81"/>
          <w:sz w:val="24"/>
          <w:szCs w:val="24"/>
        </w:rPr>
        <w:t xml:space="preserve"> </w:t>
      </w:r>
      <w:r>
        <w:rPr>
          <w:rFonts w:hint="eastAsia" w:ascii="仿宋" w:hAnsi="仿宋" w:eastAsia="仿宋" w:cs="仿宋"/>
          <w:color w:val="auto"/>
          <w:spacing w:val="-15"/>
          <w:sz w:val="24"/>
          <w:szCs w:val="24"/>
        </w:rPr>
        <w:t>：</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2"/>
          <w:sz w:val="24"/>
          <w:szCs w:val="24"/>
        </w:rPr>
        <w:t xml:space="preserve">   </w:t>
      </w:r>
      <w:r>
        <w:rPr>
          <w:rFonts w:hint="eastAsia" w:ascii="仿宋" w:hAnsi="仿宋" w:eastAsia="仿宋" w:cs="仿宋"/>
          <w:color w:val="auto"/>
          <w:spacing w:val="2"/>
          <w:sz w:val="24"/>
          <w:szCs w:val="24"/>
          <w:lang w:val="en-US" w:eastAsia="zh-CN"/>
        </w:rPr>
        <w:t xml:space="preserve">      </w:t>
      </w:r>
      <w:r>
        <w:rPr>
          <w:rFonts w:hint="eastAsia" w:ascii="仿宋" w:hAnsi="仿宋" w:eastAsia="仿宋" w:cs="仿宋"/>
          <w:color w:val="auto"/>
          <w:spacing w:val="-15"/>
          <w:sz w:val="24"/>
          <w:szCs w:val="24"/>
        </w:rPr>
        <w:t>传</w:t>
      </w:r>
      <w:r>
        <w:rPr>
          <w:rFonts w:hint="eastAsia" w:ascii="仿宋" w:hAnsi="仿宋" w:eastAsia="仿宋" w:cs="仿宋"/>
          <w:color w:val="auto"/>
          <w:spacing w:val="6"/>
          <w:sz w:val="24"/>
          <w:szCs w:val="24"/>
        </w:rPr>
        <w:t xml:space="preserve">  </w:t>
      </w:r>
      <w:r>
        <w:rPr>
          <w:rFonts w:hint="eastAsia" w:ascii="仿宋" w:hAnsi="仿宋" w:eastAsia="仿宋" w:cs="仿宋"/>
          <w:color w:val="auto"/>
          <w:spacing w:val="-15"/>
          <w:sz w:val="24"/>
          <w:szCs w:val="24"/>
        </w:rPr>
        <w:t>真</w:t>
      </w:r>
      <w:r>
        <w:rPr>
          <w:rFonts w:hint="eastAsia" w:ascii="仿宋" w:hAnsi="仿宋" w:eastAsia="仿宋" w:cs="仿宋"/>
          <w:color w:val="auto"/>
          <w:spacing w:val="-83"/>
          <w:sz w:val="24"/>
          <w:szCs w:val="24"/>
        </w:rPr>
        <w:t xml:space="preserve"> </w:t>
      </w:r>
      <w:r>
        <w:rPr>
          <w:rFonts w:hint="eastAsia" w:ascii="仿宋" w:hAnsi="仿宋" w:eastAsia="仿宋" w:cs="仿宋"/>
          <w:color w:val="auto"/>
          <w:spacing w:val="-15"/>
          <w:sz w:val="24"/>
          <w:szCs w:val="24"/>
        </w:rPr>
        <w:t>：</w:t>
      </w:r>
      <w:r>
        <w:rPr>
          <w:rFonts w:hint="eastAsia" w:ascii="仿宋" w:hAnsi="仿宋" w:eastAsia="仿宋" w:cs="仿宋"/>
          <w:color w:val="auto"/>
          <w:sz w:val="24"/>
          <w:szCs w:val="24"/>
          <w:u w:val="single" w:color="auto"/>
        </w:rPr>
        <w:t xml:space="preserve">                     </w:t>
      </w:r>
    </w:p>
    <w:p w14:paraId="2F1A815B">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2"/>
          <w:sz w:val="24"/>
          <w:szCs w:val="24"/>
        </w:rPr>
        <w:t>开户银行：</w:t>
      </w:r>
      <w:r>
        <w:rPr>
          <w:rFonts w:hint="eastAsia" w:ascii="仿宋" w:hAnsi="仿宋" w:eastAsia="仿宋" w:cs="仿宋"/>
          <w:color w:val="auto"/>
          <w:spacing w:val="-2"/>
          <w:sz w:val="24"/>
          <w:szCs w:val="24"/>
          <w:u w:val="single" w:color="auto"/>
        </w:rPr>
        <w:t xml:space="preserve">                 </w:t>
      </w:r>
      <w:r>
        <w:rPr>
          <w:rFonts w:hint="eastAsia" w:ascii="仿宋" w:hAnsi="仿宋" w:eastAsia="仿宋" w:cs="仿宋"/>
          <w:color w:val="auto"/>
          <w:spacing w:val="-2"/>
          <w:sz w:val="24"/>
          <w:szCs w:val="24"/>
        </w:rPr>
        <w:t xml:space="preserve">   </w:t>
      </w:r>
      <w:r>
        <w:rPr>
          <w:rFonts w:hint="eastAsia" w:ascii="仿宋" w:hAnsi="仿宋" w:eastAsia="仿宋" w:cs="仿宋"/>
          <w:color w:val="auto"/>
          <w:spacing w:val="-2"/>
          <w:sz w:val="24"/>
          <w:szCs w:val="24"/>
          <w:lang w:val="en-US" w:eastAsia="zh-CN"/>
        </w:rPr>
        <w:t xml:space="preserve">        </w:t>
      </w:r>
      <w:r>
        <w:rPr>
          <w:rFonts w:hint="eastAsia" w:ascii="仿宋" w:hAnsi="仿宋" w:eastAsia="仿宋" w:cs="仿宋"/>
          <w:color w:val="auto"/>
          <w:spacing w:val="-2"/>
          <w:sz w:val="24"/>
          <w:szCs w:val="24"/>
        </w:rPr>
        <w:t>开户银</w:t>
      </w:r>
      <w:r>
        <w:rPr>
          <w:rFonts w:hint="eastAsia" w:ascii="仿宋" w:hAnsi="仿宋" w:eastAsia="仿宋" w:cs="仿宋"/>
          <w:color w:val="auto"/>
          <w:spacing w:val="-3"/>
          <w:sz w:val="24"/>
          <w:szCs w:val="24"/>
        </w:rPr>
        <w:t>行：</w:t>
      </w:r>
      <w:r>
        <w:rPr>
          <w:rFonts w:hint="eastAsia" w:ascii="仿宋" w:hAnsi="仿宋" w:eastAsia="仿宋" w:cs="仿宋"/>
          <w:color w:val="auto"/>
          <w:spacing w:val="-3"/>
          <w:sz w:val="24"/>
          <w:szCs w:val="24"/>
          <w:u w:val="single" w:color="auto"/>
        </w:rPr>
        <w:t xml:space="preserve">                    </w:t>
      </w:r>
    </w:p>
    <w:p w14:paraId="59CEE281">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18"/>
          <w:sz w:val="24"/>
          <w:szCs w:val="24"/>
        </w:rPr>
        <w:t>账</w:t>
      </w:r>
      <w:r>
        <w:rPr>
          <w:rFonts w:hint="eastAsia" w:ascii="仿宋" w:hAnsi="仿宋" w:eastAsia="仿宋" w:cs="仿宋"/>
          <w:color w:val="auto"/>
          <w:spacing w:val="8"/>
          <w:sz w:val="24"/>
          <w:szCs w:val="24"/>
        </w:rPr>
        <w:t xml:space="preserve">  </w:t>
      </w:r>
      <w:r>
        <w:rPr>
          <w:rFonts w:hint="eastAsia" w:ascii="仿宋" w:hAnsi="仿宋" w:eastAsia="仿宋" w:cs="仿宋"/>
          <w:color w:val="auto"/>
          <w:spacing w:val="-18"/>
          <w:sz w:val="24"/>
          <w:szCs w:val="24"/>
        </w:rPr>
        <w:t>号</w:t>
      </w:r>
      <w:r>
        <w:rPr>
          <w:rFonts w:hint="eastAsia" w:ascii="仿宋" w:hAnsi="仿宋" w:eastAsia="仿宋" w:cs="仿宋"/>
          <w:color w:val="auto"/>
          <w:spacing w:val="-83"/>
          <w:sz w:val="24"/>
          <w:szCs w:val="24"/>
        </w:rPr>
        <w:t xml:space="preserve"> </w:t>
      </w:r>
      <w:r>
        <w:rPr>
          <w:rFonts w:hint="eastAsia" w:ascii="仿宋" w:hAnsi="仿宋" w:eastAsia="仿宋" w:cs="仿宋"/>
          <w:color w:val="auto"/>
          <w:spacing w:val="-18"/>
          <w:sz w:val="24"/>
          <w:szCs w:val="24"/>
        </w:rPr>
        <w:t>：</w:t>
      </w:r>
      <w:r>
        <w:rPr>
          <w:rFonts w:hint="eastAsia" w:ascii="仿宋" w:hAnsi="仿宋" w:eastAsia="仿宋" w:cs="仿宋"/>
          <w:color w:val="auto"/>
          <w:spacing w:val="6"/>
          <w:sz w:val="24"/>
          <w:szCs w:val="24"/>
          <w:u w:val="single" w:color="auto"/>
        </w:rPr>
        <w:t xml:space="preserve">                  </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4"/>
          <w:sz w:val="24"/>
          <w:szCs w:val="24"/>
          <w:lang w:val="en-US" w:eastAsia="zh-CN"/>
        </w:rPr>
        <w:t xml:space="preserve">      </w:t>
      </w:r>
      <w:r>
        <w:rPr>
          <w:rFonts w:hint="eastAsia" w:ascii="仿宋" w:hAnsi="仿宋" w:eastAsia="仿宋" w:cs="仿宋"/>
          <w:color w:val="auto"/>
          <w:spacing w:val="-18"/>
          <w:sz w:val="24"/>
          <w:szCs w:val="24"/>
        </w:rPr>
        <w:t>账</w:t>
      </w:r>
      <w:r>
        <w:rPr>
          <w:rFonts w:hint="eastAsia" w:ascii="仿宋" w:hAnsi="仿宋" w:eastAsia="仿宋" w:cs="仿宋"/>
          <w:color w:val="auto"/>
          <w:spacing w:val="7"/>
          <w:sz w:val="24"/>
          <w:szCs w:val="24"/>
        </w:rPr>
        <w:t xml:space="preserve">  </w:t>
      </w:r>
      <w:r>
        <w:rPr>
          <w:rFonts w:hint="eastAsia" w:ascii="仿宋" w:hAnsi="仿宋" w:eastAsia="仿宋" w:cs="仿宋"/>
          <w:color w:val="auto"/>
          <w:spacing w:val="-18"/>
          <w:sz w:val="24"/>
          <w:szCs w:val="24"/>
        </w:rPr>
        <w:t>号</w:t>
      </w:r>
      <w:r>
        <w:rPr>
          <w:rFonts w:hint="eastAsia" w:ascii="仿宋" w:hAnsi="仿宋" w:eastAsia="仿宋" w:cs="仿宋"/>
          <w:color w:val="auto"/>
          <w:spacing w:val="-82"/>
          <w:sz w:val="24"/>
          <w:szCs w:val="24"/>
        </w:rPr>
        <w:t xml:space="preserve"> </w:t>
      </w:r>
      <w:r>
        <w:rPr>
          <w:rFonts w:hint="eastAsia" w:ascii="仿宋" w:hAnsi="仿宋" w:eastAsia="仿宋" w:cs="仿宋"/>
          <w:color w:val="auto"/>
          <w:spacing w:val="-18"/>
          <w:sz w:val="24"/>
          <w:szCs w:val="24"/>
        </w:rPr>
        <w:t>：</w:t>
      </w:r>
      <w:r>
        <w:rPr>
          <w:rFonts w:hint="eastAsia" w:ascii="仿宋" w:hAnsi="仿宋" w:eastAsia="仿宋" w:cs="仿宋"/>
          <w:color w:val="auto"/>
          <w:sz w:val="24"/>
          <w:szCs w:val="24"/>
          <w:u w:val="single" w:color="auto"/>
        </w:rPr>
        <w:t xml:space="preserve">                     </w:t>
      </w:r>
    </w:p>
    <w:p w14:paraId="4BA38521">
      <w:pPr>
        <w:keepNext w:val="0"/>
        <w:keepLines w:val="0"/>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6"/>
          <w:sz w:val="24"/>
          <w:szCs w:val="24"/>
        </w:rPr>
        <w:t>邮政编码：</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10"/>
          <w:sz w:val="24"/>
          <w:szCs w:val="24"/>
          <w:lang w:val="en-US" w:eastAsia="zh-CN"/>
        </w:rPr>
        <w:t xml:space="preserve">      </w:t>
      </w:r>
      <w:r>
        <w:rPr>
          <w:rFonts w:hint="eastAsia" w:ascii="仿宋" w:hAnsi="仿宋" w:eastAsia="仿宋" w:cs="仿宋"/>
          <w:color w:val="auto"/>
          <w:spacing w:val="-6"/>
          <w:sz w:val="24"/>
          <w:szCs w:val="24"/>
        </w:rPr>
        <w:t>邮政编码：</w:t>
      </w:r>
      <w:r>
        <w:rPr>
          <w:rFonts w:hint="eastAsia" w:ascii="仿宋" w:hAnsi="仿宋" w:eastAsia="仿宋" w:cs="仿宋"/>
          <w:color w:val="auto"/>
          <w:sz w:val="24"/>
          <w:szCs w:val="24"/>
          <w:u w:val="single" w:color="auto"/>
        </w:rPr>
        <w:t xml:space="preserve">                    </w:t>
      </w:r>
    </w:p>
    <w:p w14:paraId="55EB9E37">
      <w:pPr>
        <w:spacing w:line="440" w:lineRule="exact"/>
        <w:rPr>
          <w:rFonts w:ascii="Times New Roman" w:hAnsi="Times New Roman" w:eastAsia="黑体" w:cs="Times New Roman"/>
          <w:color w:val="000000"/>
          <w:sz w:val="30"/>
          <w:szCs w:val="30"/>
        </w:rPr>
      </w:pPr>
      <w:r>
        <w:rPr>
          <w:rFonts w:hint="eastAsia" w:ascii="仿宋" w:hAnsi="仿宋" w:eastAsia="仿宋" w:cs="仿宋"/>
          <w:color w:val="auto"/>
          <w:sz w:val="24"/>
          <w:szCs w:val="24"/>
        </w:rPr>
        <w:br w:type="page"/>
      </w:r>
      <w:r>
        <w:rPr>
          <w:rFonts w:hint="eastAsia" w:ascii="仿宋" w:hAnsi="仿宋" w:eastAsia="仿宋" w:cs="仿宋"/>
          <w:color w:val="000000"/>
          <w:sz w:val="28"/>
          <w:szCs w:val="28"/>
        </w:rPr>
        <w:t>附件4：</w:t>
      </w:r>
    </w:p>
    <w:p w14:paraId="08CC195C">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主要建设工程文件目录</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BD84D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D3506D1">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文件名称</w:t>
            </w:r>
          </w:p>
        </w:tc>
        <w:tc>
          <w:tcPr>
            <w:tcW w:w="1276" w:type="dxa"/>
            <w:tcBorders>
              <w:top w:val="single" w:color="auto" w:sz="12" w:space="0"/>
              <w:bottom w:val="double" w:color="auto" w:sz="6" w:space="0"/>
            </w:tcBorders>
            <w:noWrap w:val="0"/>
            <w:vAlign w:val="center"/>
          </w:tcPr>
          <w:p w14:paraId="33BE097C">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套数</w:t>
            </w:r>
          </w:p>
        </w:tc>
        <w:tc>
          <w:tcPr>
            <w:tcW w:w="1450" w:type="dxa"/>
            <w:tcBorders>
              <w:top w:val="single" w:color="auto" w:sz="12" w:space="0"/>
              <w:bottom w:val="double" w:color="auto" w:sz="6" w:space="0"/>
            </w:tcBorders>
            <w:noWrap w:val="0"/>
            <w:vAlign w:val="center"/>
          </w:tcPr>
          <w:p w14:paraId="4B0EAA14">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费用</w:t>
            </w:r>
            <w:r>
              <w:rPr>
                <w:rFonts w:hint="eastAsia" w:ascii="Times New Roman" w:hAnsi="Times New Roman" w:eastAsia="仿宋_GB2312" w:cs="Times New Roman"/>
                <w:color w:val="000000"/>
                <w:kern w:val="2"/>
                <w:sz w:val="24"/>
                <w:szCs w:val="28"/>
                <w:lang w:val="en-US" w:eastAsia="zh-CN" w:bidi="ar-SA"/>
              </w:rPr>
              <w:t>（元）</w:t>
            </w:r>
          </w:p>
        </w:tc>
        <w:tc>
          <w:tcPr>
            <w:tcW w:w="1243" w:type="dxa"/>
            <w:tcBorders>
              <w:top w:val="single" w:color="auto" w:sz="12" w:space="0"/>
              <w:bottom w:val="double" w:color="auto" w:sz="6" w:space="0"/>
            </w:tcBorders>
            <w:noWrap w:val="0"/>
            <w:vAlign w:val="center"/>
          </w:tcPr>
          <w:p w14:paraId="5EDF4771">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质量</w:t>
            </w:r>
          </w:p>
        </w:tc>
        <w:tc>
          <w:tcPr>
            <w:tcW w:w="1450" w:type="dxa"/>
            <w:tcBorders>
              <w:top w:val="single" w:color="auto" w:sz="12" w:space="0"/>
              <w:bottom w:val="double" w:color="auto" w:sz="6" w:space="0"/>
            </w:tcBorders>
            <w:noWrap w:val="0"/>
            <w:vAlign w:val="top"/>
          </w:tcPr>
          <w:p w14:paraId="14474A47">
            <w:pPr>
              <w:spacing w:line="440" w:lineRule="exact"/>
              <w:jc w:val="center"/>
              <w:rPr>
                <w:rFonts w:ascii="Times New Roman" w:hAnsi="Times New Roman" w:eastAsia="仿宋_GB2312" w:cs="Times New Roman"/>
                <w:color w:val="000000"/>
                <w:sz w:val="24"/>
                <w:szCs w:val="28"/>
              </w:rPr>
            </w:pPr>
            <w:r>
              <w:rPr>
                <w:rFonts w:ascii="Times New Roman" w:hAnsi="Times New Roman" w:eastAsia="仿宋_GB2312" w:cs="Times New Roman"/>
                <w:color w:val="000000"/>
                <w:sz w:val="24"/>
                <w:szCs w:val="28"/>
              </w:rPr>
              <w:t>移交时间</w:t>
            </w:r>
          </w:p>
        </w:tc>
        <w:tc>
          <w:tcPr>
            <w:tcW w:w="1667" w:type="dxa"/>
            <w:tcBorders>
              <w:top w:val="single" w:color="auto" w:sz="12" w:space="0"/>
              <w:bottom w:val="double" w:color="auto" w:sz="6" w:space="0"/>
            </w:tcBorders>
            <w:noWrap w:val="0"/>
            <w:vAlign w:val="top"/>
          </w:tcPr>
          <w:p w14:paraId="35549001">
            <w:pPr>
              <w:spacing w:line="440" w:lineRule="exact"/>
              <w:jc w:val="center"/>
              <w:rPr>
                <w:rFonts w:ascii="Times New Roman" w:hAnsi="Times New Roman" w:eastAsia="仿宋_GB2312" w:cs="Times New Roman"/>
                <w:color w:val="000000"/>
                <w:sz w:val="24"/>
                <w:szCs w:val="28"/>
              </w:rPr>
            </w:pPr>
            <w:r>
              <w:rPr>
                <w:rFonts w:ascii="Times New Roman" w:hAnsi="Times New Roman" w:eastAsia="仿宋_GB2312" w:cs="Times New Roman"/>
                <w:color w:val="000000"/>
                <w:sz w:val="24"/>
                <w:szCs w:val="28"/>
              </w:rPr>
              <w:t>责任人</w:t>
            </w:r>
          </w:p>
        </w:tc>
      </w:tr>
      <w:tr w14:paraId="73C7E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E07E00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tcBorders>
              <w:top w:val="double" w:color="auto" w:sz="6" w:space="0"/>
              <w:bottom w:val="single" w:color="auto" w:sz="6" w:space="0"/>
            </w:tcBorders>
            <w:noWrap w:val="0"/>
            <w:vAlign w:val="center"/>
          </w:tcPr>
          <w:p w14:paraId="6748753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tcBorders>
              <w:top w:val="double" w:color="auto" w:sz="6" w:space="0"/>
              <w:bottom w:val="single" w:color="auto" w:sz="6" w:space="0"/>
            </w:tcBorders>
            <w:noWrap w:val="0"/>
            <w:vAlign w:val="center"/>
          </w:tcPr>
          <w:p w14:paraId="424050D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tcBorders>
              <w:top w:val="double" w:color="auto" w:sz="6" w:space="0"/>
              <w:bottom w:val="single" w:color="auto" w:sz="6" w:space="0"/>
            </w:tcBorders>
            <w:noWrap w:val="0"/>
            <w:vAlign w:val="center"/>
          </w:tcPr>
          <w:p w14:paraId="2F22CBC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tcBorders>
              <w:top w:val="double" w:color="auto" w:sz="6" w:space="0"/>
              <w:bottom w:val="single" w:color="auto" w:sz="6" w:space="0"/>
            </w:tcBorders>
            <w:noWrap w:val="0"/>
            <w:vAlign w:val="center"/>
          </w:tcPr>
          <w:p w14:paraId="306746C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tcBorders>
              <w:top w:val="double" w:color="auto" w:sz="6" w:space="0"/>
              <w:bottom w:val="single" w:color="auto" w:sz="6" w:space="0"/>
            </w:tcBorders>
            <w:noWrap w:val="0"/>
            <w:vAlign w:val="center"/>
          </w:tcPr>
          <w:p w14:paraId="2863966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4EEB3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8F0FD9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tcBorders>
              <w:top w:val="nil"/>
            </w:tcBorders>
            <w:noWrap w:val="0"/>
            <w:vAlign w:val="center"/>
          </w:tcPr>
          <w:p w14:paraId="40C5B70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tcBorders>
              <w:top w:val="nil"/>
            </w:tcBorders>
            <w:noWrap w:val="0"/>
            <w:vAlign w:val="center"/>
          </w:tcPr>
          <w:p w14:paraId="3F2B77A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tcBorders>
              <w:top w:val="nil"/>
            </w:tcBorders>
            <w:noWrap w:val="0"/>
            <w:vAlign w:val="center"/>
          </w:tcPr>
          <w:p w14:paraId="772DE84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tcBorders>
              <w:top w:val="nil"/>
            </w:tcBorders>
            <w:noWrap w:val="0"/>
            <w:vAlign w:val="center"/>
          </w:tcPr>
          <w:p w14:paraId="73DE4C2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tcBorders>
              <w:top w:val="nil"/>
            </w:tcBorders>
            <w:noWrap w:val="0"/>
            <w:vAlign w:val="center"/>
          </w:tcPr>
          <w:p w14:paraId="6CE2EBF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3DECB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67BA2E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20D098E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266422E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1148F30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7741227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6A8BADE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D729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A00D56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57C03E2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4D6F575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58C9FDB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05C9E9C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3AF3CAF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395A5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CC79C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27F9D23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510E017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2E6AD6A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34590E2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5198982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F279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7D58F8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206BB2B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1B4F032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592C52C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2DFE469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5667EC2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2988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A9261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2D20B92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233B78A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1BBAE25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0E11D1C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11A2DD2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2167F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D9C1E6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4B7BEBE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53F2527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287ACCF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32FDE2B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16F172B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75943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C0B637">
            <w:pPr>
              <w:spacing w:line="324" w:lineRule="auto"/>
              <w:rPr>
                <w:rFonts w:ascii="Times New Roman" w:hAnsi="Times New Roman" w:eastAsia="仿宋_GB2312" w:cs="Times New Roman"/>
                <w:color w:val="000000"/>
                <w:sz w:val="30"/>
                <w:szCs w:val="30"/>
              </w:rPr>
            </w:pPr>
          </w:p>
        </w:tc>
        <w:tc>
          <w:tcPr>
            <w:tcW w:w="1276" w:type="dxa"/>
            <w:noWrap w:val="0"/>
            <w:vAlign w:val="top"/>
          </w:tcPr>
          <w:p w14:paraId="0882ED40">
            <w:pPr>
              <w:spacing w:line="324" w:lineRule="auto"/>
              <w:rPr>
                <w:rFonts w:ascii="Times New Roman" w:hAnsi="Times New Roman" w:eastAsia="仿宋_GB2312" w:cs="Times New Roman"/>
                <w:color w:val="000000"/>
                <w:sz w:val="30"/>
                <w:szCs w:val="30"/>
              </w:rPr>
            </w:pPr>
          </w:p>
        </w:tc>
        <w:tc>
          <w:tcPr>
            <w:tcW w:w="1450" w:type="dxa"/>
            <w:noWrap w:val="0"/>
            <w:vAlign w:val="top"/>
          </w:tcPr>
          <w:p w14:paraId="5AD2A96D">
            <w:pPr>
              <w:spacing w:line="324" w:lineRule="auto"/>
              <w:rPr>
                <w:rFonts w:ascii="Times New Roman" w:hAnsi="Times New Roman" w:eastAsia="仿宋_GB2312" w:cs="Times New Roman"/>
                <w:color w:val="000000"/>
                <w:sz w:val="30"/>
                <w:szCs w:val="30"/>
              </w:rPr>
            </w:pPr>
          </w:p>
        </w:tc>
        <w:tc>
          <w:tcPr>
            <w:tcW w:w="1243" w:type="dxa"/>
            <w:noWrap w:val="0"/>
            <w:vAlign w:val="top"/>
          </w:tcPr>
          <w:p w14:paraId="50029BDC">
            <w:pPr>
              <w:spacing w:line="324" w:lineRule="auto"/>
              <w:rPr>
                <w:rFonts w:ascii="Times New Roman" w:hAnsi="Times New Roman" w:eastAsia="仿宋_GB2312" w:cs="Times New Roman"/>
                <w:color w:val="000000"/>
                <w:sz w:val="30"/>
                <w:szCs w:val="30"/>
              </w:rPr>
            </w:pPr>
          </w:p>
        </w:tc>
        <w:tc>
          <w:tcPr>
            <w:tcW w:w="1450" w:type="dxa"/>
            <w:noWrap w:val="0"/>
            <w:vAlign w:val="top"/>
          </w:tcPr>
          <w:p w14:paraId="44E9A1E9">
            <w:pPr>
              <w:spacing w:line="324" w:lineRule="auto"/>
              <w:rPr>
                <w:rFonts w:ascii="Times New Roman" w:hAnsi="Times New Roman" w:eastAsia="仿宋_GB2312" w:cs="Times New Roman"/>
                <w:color w:val="000000"/>
                <w:sz w:val="30"/>
                <w:szCs w:val="30"/>
              </w:rPr>
            </w:pPr>
          </w:p>
        </w:tc>
        <w:tc>
          <w:tcPr>
            <w:tcW w:w="1667" w:type="dxa"/>
            <w:noWrap w:val="0"/>
            <w:vAlign w:val="top"/>
          </w:tcPr>
          <w:p w14:paraId="4B0488F9">
            <w:pPr>
              <w:spacing w:line="324" w:lineRule="auto"/>
              <w:rPr>
                <w:rFonts w:ascii="Times New Roman" w:hAnsi="Times New Roman" w:eastAsia="仿宋_GB2312" w:cs="Times New Roman"/>
                <w:color w:val="000000"/>
                <w:sz w:val="30"/>
                <w:szCs w:val="30"/>
              </w:rPr>
            </w:pPr>
          </w:p>
        </w:tc>
      </w:tr>
      <w:tr w14:paraId="68983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9EEA5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76" w:type="dxa"/>
            <w:noWrap w:val="0"/>
            <w:vAlign w:val="center"/>
          </w:tcPr>
          <w:p w14:paraId="1D7185F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6D6F753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243" w:type="dxa"/>
            <w:noWrap w:val="0"/>
            <w:vAlign w:val="center"/>
          </w:tcPr>
          <w:p w14:paraId="76C2643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0" w:type="dxa"/>
            <w:noWrap w:val="0"/>
            <w:vAlign w:val="center"/>
          </w:tcPr>
          <w:p w14:paraId="1973D69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67" w:type="dxa"/>
            <w:noWrap w:val="0"/>
            <w:vAlign w:val="center"/>
          </w:tcPr>
          <w:p w14:paraId="29010D1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27EAD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DF85E98">
            <w:pPr>
              <w:spacing w:line="324" w:lineRule="auto"/>
              <w:rPr>
                <w:rFonts w:ascii="Times New Roman" w:hAnsi="Times New Roman" w:eastAsia="仿宋_GB2312" w:cs="Times New Roman"/>
                <w:color w:val="000000"/>
                <w:sz w:val="30"/>
                <w:szCs w:val="30"/>
              </w:rPr>
            </w:pPr>
          </w:p>
        </w:tc>
        <w:tc>
          <w:tcPr>
            <w:tcW w:w="1276" w:type="dxa"/>
            <w:noWrap w:val="0"/>
            <w:vAlign w:val="top"/>
          </w:tcPr>
          <w:p w14:paraId="3EB40203">
            <w:pPr>
              <w:spacing w:line="324" w:lineRule="auto"/>
              <w:rPr>
                <w:rFonts w:ascii="Times New Roman" w:hAnsi="Times New Roman" w:eastAsia="仿宋_GB2312" w:cs="Times New Roman"/>
                <w:color w:val="000000"/>
                <w:sz w:val="30"/>
                <w:szCs w:val="30"/>
              </w:rPr>
            </w:pPr>
          </w:p>
        </w:tc>
        <w:tc>
          <w:tcPr>
            <w:tcW w:w="1450" w:type="dxa"/>
            <w:noWrap w:val="0"/>
            <w:vAlign w:val="top"/>
          </w:tcPr>
          <w:p w14:paraId="58887C01">
            <w:pPr>
              <w:spacing w:line="324" w:lineRule="auto"/>
              <w:rPr>
                <w:rFonts w:ascii="Times New Roman" w:hAnsi="Times New Roman" w:eastAsia="仿宋_GB2312" w:cs="Times New Roman"/>
                <w:color w:val="000000"/>
                <w:sz w:val="30"/>
                <w:szCs w:val="30"/>
              </w:rPr>
            </w:pPr>
          </w:p>
        </w:tc>
        <w:tc>
          <w:tcPr>
            <w:tcW w:w="1243" w:type="dxa"/>
            <w:noWrap w:val="0"/>
            <w:vAlign w:val="top"/>
          </w:tcPr>
          <w:p w14:paraId="154B224B">
            <w:pPr>
              <w:spacing w:line="324" w:lineRule="auto"/>
              <w:rPr>
                <w:rFonts w:ascii="Times New Roman" w:hAnsi="Times New Roman" w:eastAsia="仿宋_GB2312" w:cs="Times New Roman"/>
                <w:color w:val="000000"/>
                <w:sz w:val="30"/>
                <w:szCs w:val="30"/>
              </w:rPr>
            </w:pPr>
          </w:p>
        </w:tc>
        <w:tc>
          <w:tcPr>
            <w:tcW w:w="1450" w:type="dxa"/>
            <w:noWrap w:val="0"/>
            <w:vAlign w:val="top"/>
          </w:tcPr>
          <w:p w14:paraId="1FA76565">
            <w:pPr>
              <w:spacing w:line="324" w:lineRule="auto"/>
              <w:rPr>
                <w:rFonts w:ascii="Times New Roman" w:hAnsi="Times New Roman" w:eastAsia="仿宋_GB2312" w:cs="Times New Roman"/>
                <w:color w:val="000000"/>
                <w:sz w:val="30"/>
                <w:szCs w:val="30"/>
              </w:rPr>
            </w:pPr>
          </w:p>
        </w:tc>
        <w:tc>
          <w:tcPr>
            <w:tcW w:w="1667" w:type="dxa"/>
            <w:noWrap w:val="0"/>
            <w:vAlign w:val="top"/>
          </w:tcPr>
          <w:p w14:paraId="7F5BAE6F">
            <w:pPr>
              <w:spacing w:line="324" w:lineRule="auto"/>
              <w:rPr>
                <w:rFonts w:ascii="Times New Roman" w:hAnsi="Times New Roman" w:eastAsia="仿宋_GB2312" w:cs="Times New Roman"/>
                <w:color w:val="000000"/>
                <w:sz w:val="30"/>
                <w:szCs w:val="30"/>
              </w:rPr>
            </w:pPr>
          </w:p>
        </w:tc>
      </w:tr>
      <w:tr w14:paraId="23430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1953" w:type="dxa"/>
            <w:noWrap w:val="0"/>
            <w:vAlign w:val="top"/>
          </w:tcPr>
          <w:p w14:paraId="4606F499">
            <w:pPr>
              <w:spacing w:line="324" w:lineRule="auto"/>
              <w:rPr>
                <w:rFonts w:ascii="Times New Roman" w:hAnsi="Times New Roman" w:eastAsia="仿宋_GB2312" w:cs="Times New Roman"/>
                <w:color w:val="000000"/>
                <w:sz w:val="30"/>
                <w:szCs w:val="30"/>
              </w:rPr>
            </w:pPr>
          </w:p>
        </w:tc>
        <w:tc>
          <w:tcPr>
            <w:tcW w:w="1276" w:type="dxa"/>
            <w:noWrap w:val="0"/>
            <w:vAlign w:val="top"/>
          </w:tcPr>
          <w:p w14:paraId="63F469CB">
            <w:pPr>
              <w:spacing w:line="324" w:lineRule="auto"/>
              <w:rPr>
                <w:rFonts w:ascii="Times New Roman" w:hAnsi="Times New Roman" w:eastAsia="仿宋_GB2312" w:cs="Times New Roman"/>
                <w:color w:val="000000"/>
                <w:sz w:val="30"/>
                <w:szCs w:val="30"/>
              </w:rPr>
            </w:pPr>
          </w:p>
        </w:tc>
        <w:tc>
          <w:tcPr>
            <w:tcW w:w="1450" w:type="dxa"/>
            <w:noWrap w:val="0"/>
            <w:vAlign w:val="top"/>
          </w:tcPr>
          <w:p w14:paraId="445A49CB">
            <w:pPr>
              <w:spacing w:line="324" w:lineRule="auto"/>
              <w:rPr>
                <w:rFonts w:ascii="Times New Roman" w:hAnsi="Times New Roman" w:eastAsia="仿宋_GB2312" w:cs="Times New Roman"/>
                <w:color w:val="000000"/>
                <w:sz w:val="30"/>
                <w:szCs w:val="30"/>
              </w:rPr>
            </w:pPr>
          </w:p>
        </w:tc>
        <w:tc>
          <w:tcPr>
            <w:tcW w:w="1243" w:type="dxa"/>
            <w:noWrap w:val="0"/>
            <w:vAlign w:val="top"/>
          </w:tcPr>
          <w:p w14:paraId="11D2BF1A">
            <w:pPr>
              <w:spacing w:line="324" w:lineRule="auto"/>
              <w:rPr>
                <w:rFonts w:ascii="Times New Roman" w:hAnsi="Times New Roman" w:eastAsia="仿宋_GB2312" w:cs="Times New Roman"/>
                <w:color w:val="000000"/>
                <w:sz w:val="30"/>
                <w:szCs w:val="30"/>
              </w:rPr>
            </w:pPr>
          </w:p>
        </w:tc>
        <w:tc>
          <w:tcPr>
            <w:tcW w:w="1450" w:type="dxa"/>
            <w:noWrap w:val="0"/>
            <w:vAlign w:val="top"/>
          </w:tcPr>
          <w:p w14:paraId="53790F7C">
            <w:pPr>
              <w:spacing w:line="324" w:lineRule="auto"/>
              <w:rPr>
                <w:rFonts w:ascii="Times New Roman" w:hAnsi="Times New Roman" w:eastAsia="仿宋_GB2312" w:cs="Times New Roman"/>
                <w:color w:val="000000"/>
                <w:sz w:val="30"/>
                <w:szCs w:val="30"/>
              </w:rPr>
            </w:pPr>
          </w:p>
        </w:tc>
        <w:tc>
          <w:tcPr>
            <w:tcW w:w="1667" w:type="dxa"/>
            <w:noWrap w:val="0"/>
            <w:vAlign w:val="top"/>
          </w:tcPr>
          <w:p w14:paraId="56C5C5DC">
            <w:pPr>
              <w:spacing w:line="324" w:lineRule="auto"/>
              <w:rPr>
                <w:rFonts w:ascii="Times New Roman" w:hAnsi="Times New Roman" w:eastAsia="仿宋_GB2312" w:cs="Times New Roman"/>
                <w:color w:val="000000"/>
                <w:sz w:val="30"/>
                <w:szCs w:val="30"/>
              </w:rPr>
            </w:pPr>
          </w:p>
        </w:tc>
      </w:tr>
      <w:tr w14:paraId="1B36B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4ECED9B">
            <w:pPr>
              <w:spacing w:line="324" w:lineRule="auto"/>
              <w:rPr>
                <w:rFonts w:ascii="Times New Roman" w:hAnsi="Times New Roman" w:eastAsia="仿宋_GB2312" w:cs="Times New Roman"/>
                <w:color w:val="000000"/>
                <w:sz w:val="30"/>
                <w:szCs w:val="30"/>
              </w:rPr>
            </w:pPr>
          </w:p>
        </w:tc>
        <w:tc>
          <w:tcPr>
            <w:tcW w:w="1276" w:type="dxa"/>
            <w:noWrap w:val="0"/>
            <w:vAlign w:val="top"/>
          </w:tcPr>
          <w:p w14:paraId="5CA251AC">
            <w:pPr>
              <w:spacing w:line="324" w:lineRule="auto"/>
              <w:rPr>
                <w:rFonts w:ascii="Times New Roman" w:hAnsi="Times New Roman" w:eastAsia="仿宋_GB2312" w:cs="Times New Roman"/>
                <w:color w:val="000000"/>
                <w:sz w:val="30"/>
                <w:szCs w:val="30"/>
              </w:rPr>
            </w:pPr>
          </w:p>
        </w:tc>
        <w:tc>
          <w:tcPr>
            <w:tcW w:w="1450" w:type="dxa"/>
            <w:noWrap w:val="0"/>
            <w:vAlign w:val="top"/>
          </w:tcPr>
          <w:p w14:paraId="5EBF0500">
            <w:pPr>
              <w:spacing w:line="324" w:lineRule="auto"/>
              <w:rPr>
                <w:rFonts w:ascii="Times New Roman" w:hAnsi="Times New Roman" w:eastAsia="仿宋_GB2312" w:cs="Times New Roman"/>
                <w:color w:val="000000"/>
                <w:sz w:val="30"/>
                <w:szCs w:val="30"/>
              </w:rPr>
            </w:pPr>
          </w:p>
        </w:tc>
        <w:tc>
          <w:tcPr>
            <w:tcW w:w="1243" w:type="dxa"/>
            <w:noWrap w:val="0"/>
            <w:vAlign w:val="top"/>
          </w:tcPr>
          <w:p w14:paraId="076FFB27">
            <w:pPr>
              <w:spacing w:line="324" w:lineRule="auto"/>
              <w:rPr>
                <w:rFonts w:ascii="Times New Roman" w:hAnsi="Times New Roman" w:eastAsia="仿宋_GB2312" w:cs="Times New Roman"/>
                <w:color w:val="000000"/>
                <w:sz w:val="30"/>
                <w:szCs w:val="30"/>
              </w:rPr>
            </w:pPr>
          </w:p>
        </w:tc>
        <w:tc>
          <w:tcPr>
            <w:tcW w:w="1450" w:type="dxa"/>
            <w:noWrap w:val="0"/>
            <w:vAlign w:val="top"/>
          </w:tcPr>
          <w:p w14:paraId="4D2E6042">
            <w:pPr>
              <w:spacing w:line="324" w:lineRule="auto"/>
              <w:rPr>
                <w:rFonts w:ascii="Times New Roman" w:hAnsi="Times New Roman" w:eastAsia="仿宋_GB2312" w:cs="Times New Roman"/>
                <w:color w:val="000000"/>
                <w:sz w:val="30"/>
                <w:szCs w:val="30"/>
              </w:rPr>
            </w:pPr>
          </w:p>
        </w:tc>
        <w:tc>
          <w:tcPr>
            <w:tcW w:w="1667" w:type="dxa"/>
            <w:noWrap w:val="0"/>
            <w:vAlign w:val="top"/>
          </w:tcPr>
          <w:p w14:paraId="22BA21BC">
            <w:pPr>
              <w:spacing w:line="324" w:lineRule="auto"/>
              <w:rPr>
                <w:rFonts w:ascii="Times New Roman" w:hAnsi="Times New Roman" w:eastAsia="仿宋_GB2312" w:cs="Times New Roman"/>
                <w:color w:val="000000"/>
                <w:sz w:val="30"/>
                <w:szCs w:val="30"/>
              </w:rPr>
            </w:pPr>
          </w:p>
        </w:tc>
      </w:tr>
      <w:tr w14:paraId="1C49BC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9570ADD">
            <w:pPr>
              <w:spacing w:line="324" w:lineRule="auto"/>
              <w:rPr>
                <w:rFonts w:ascii="Times New Roman" w:hAnsi="Times New Roman" w:eastAsia="仿宋_GB2312" w:cs="Times New Roman"/>
                <w:color w:val="000000"/>
                <w:sz w:val="30"/>
                <w:szCs w:val="30"/>
              </w:rPr>
            </w:pPr>
          </w:p>
        </w:tc>
        <w:tc>
          <w:tcPr>
            <w:tcW w:w="1276" w:type="dxa"/>
            <w:noWrap w:val="0"/>
            <w:vAlign w:val="top"/>
          </w:tcPr>
          <w:p w14:paraId="493997E9">
            <w:pPr>
              <w:spacing w:line="324" w:lineRule="auto"/>
              <w:rPr>
                <w:rFonts w:ascii="Times New Roman" w:hAnsi="Times New Roman" w:eastAsia="仿宋_GB2312" w:cs="Times New Roman"/>
                <w:color w:val="000000"/>
                <w:sz w:val="30"/>
                <w:szCs w:val="30"/>
              </w:rPr>
            </w:pPr>
          </w:p>
        </w:tc>
        <w:tc>
          <w:tcPr>
            <w:tcW w:w="1450" w:type="dxa"/>
            <w:noWrap w:val="0"/>
            <w:vAlign w:val="top"/>
          </w:tcPr>
          <w:p w14:paraId="5ECA5390">
            <w:pPr>
              <w:spacing w:line="324" w:lineRule="auto"/>
              <w:rPr>
                <w:rFonts w:ascii="Times New Roman" w:hAnsi="Times New Roman" w:eastAsia="仿宋_GB2312" w:cs="Times New Roman"/>
                <w:color w:val="000000"/>
                <w:sz w:val="30"/>
                <w:szCs w:val="30"/>
              </w:rPr>
            </w:pPr>
          </w:p>
        </w:tc>
        <w:tc>
          <w:tcPr>
            <w:tcW w:w="1243" w:type="dxa"/>
            <w:noWrap w:val="0"/>
            <w:vAlign w:val="top"/>
          </w:tcPr>
          <w:p w14:paraId="797F4877">
            <w:pPr>
              <w:spacing w:line="324" w:lineRule="auto"/>
              <w:rPr>
                <w:rFonts w:ascii="Times New Roman" w:hAnsi="Times New Roman" w:eastAsia="仿宋_GB2312" w:cs="Times New Roman"/>
                <w:color w:val="000000"/>
                <w:sz w:val="30"/>
                <w:szCs w:val="30"/>
              </w:rPr>
            </w:pPr>
          </w:p>
        </w:tc>
        <w:tc>
          <w:tcPr>
            <w:tcW w:w="1450" w:type="dxa"/>
            <w:noWrap w:val="0"/>
            <w:vAlign w:val="top"/>
          </w:tcPr>
          <w:p w14:paraId="6A3B2443">
            <w:pPr>
              <w:spacing w:line="324" w:lineRule="auto"/>
              <w:rPr>
                <w:rFonts w:ascii="Times New Roman" w:hAnsi="Times New Roman" w:eastAsia="仿宋_GB2312" w:cs="Times New Roman"/>
                <w:color w:val="000000"/>
                <w:sz w:val="30"/>
                <w:szCs w:val="30"/>
              </w:rPr>
            </w:pPr>
          </w:p>
        </w:tc>
        <w:tc>
          <w:tcPr>
            <w:tcW w:w="1667" w:type="dxa"/>
            <w:noWrap w:val="0"/>
            <w:vAlign w:val="top"/>
          </w:tcPr>
          <w:p w14:paraId="377E67C2">
            <w:pPr>
              <w:spacing w:line="324" w:lineRule="auto"/>
              <w:rPr>
                <w:rFonts w:ascii="Times New Roman" w:hAnsi="Times New Roman" w:eastAsia="仿宋_GB2312" w:cs="Times New Roman"/>
                <w:color w:val="000000"/>
                <w:sz w:val="30"/>
                <w:szCs w:val="30"/>
              </w:rPr>
            </w:pPr>
          </w:p>
        </w:tc>
      </w:tr>
      <w:tr w14:paraId="57255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8CD67D5">
            <w:pPr>
              <w:spacing w:line="324" w:lineRule="auto"/>
              <w:rPr>
                <w:rFonts w:ascii="Times New Roman" w:hAnsi="Times New Roman" w:eastAsia="仿宋_GB2312" w:cs="Times New Roman"/>
                <w:color w:val="000000"/>
                <w:sz w:val="30"/>
                <w:szCs w:val="30"/>
              </w:rPr>
            </w:pPr>
          </w:p>
        </w:tc>
        <w:tc>
          <w:tcPr>
            <w:tcW w:w="1276" w:type="dxa"/>
            <w:noWrap w:val="0"/>
            <w:vAlign w:val="top"/>
          </w:tcPr>
          <w:p w14:paraId="20F53CEE">
            <w:pPr>
              <w:spacing w:line="324" w:lineRule="auto"/>
              <w:rPr>
                <w:rFonts w:ascii="Times New Roman" w:hAnsi="Times New Roman" w:eastAsia="仿宋_GB2312" w:cs="Times New Roman"/>
                <w:color w:val="000000"/>
                <w:sz w:val="30"/>
                <w:szCs w:val="30"/>
              </w:rPr>
            </w:pPr>
          </w:p>
        </w:tc>
        <w:tc>
          <w:tcPr>
            <w:tcW w:w="1450" w:type="dxa"/>
            <w:noWrap w:val="0"/>
            <w:vAlign w:val="top"/>
          </w:tcPr>
          <w:p w14:paraId="14B1CB74">
            <w:pPr>
              <w:spacing w:line="324" w:lineRule="auto"/>
              <w:rPr>
                <w:rFonts w:ascii="Times New Roman" w:hAnsi="Times New Roman" w:eastAsia="仿宋_GB2312" w:cs="Times New Roman"/>
                <w:color w:val="000000"/>
                <w:sz w:val="30"/>
                <w:szCs w:val="30"/>
              </w:rPr>
            </w:pPr>
          </w:p>
        </w:tc>
        <w:tc>
          <w:tcPr>
            <w:tcW w:w="1243" w:type="dxa"/>
            <w:noWrap w:val="0"/>
            <w:vAlign w:val="top"/>
          </w:tcPr>
          <w:p w14:paraId="178273B7">
            <w:pPr>
              <w:spacing w:line="324" w:lineRule="auto"/>
              <w:rPr>
                <w:rFonts w:ascii="Times New Roman" w:hAnsi="Times New Roman" w:eastAsia="仿宋_GB2312" w:cs="Times New Roman"/>
                <w:color w:val="000000"/>
                <w:sz w:val="30"/>
                <w:szCs w:val="30"/>
              </w:rPr>
            </w:pPr>
          </w:p>
        </w:tc>
        <w:tc>
          <w:tcPr>
            <w:tcW w:w="1450" w:type="dxa"/>
            <w:noWrap w:val="0"/>
            <w:vAlign w:val="top"/>
          </w:tcPr>
          <w:p w14:paraId="6F782F95">
            <w:pPr>
              <w:spacing w:line="324" w:lineRule="auto"/>
              <w:rPr>
                <w:rFonts w:ascii="Times New Roman" w:hAnsi="Times New Roman" w:eastAsia="仿宋_GB2312" w:cs="Times New Roman"/>
                <w:color w:val="000000"/>
                <w:sz w:val="30"/>
                <w:szCs w:val="30"/>
              </w:rPr>
            </w:pPr>
          </w:p>
        </w:tc>
        <w:tc>
          <w:tcPr>
            <w:tcW w:w="1667" w:type="dxa"/>
            <w:noWrap w:val="0"/>
            <w:vAlign w:val="top"/>
          </w:tcPr>
          <w:p w14:paraId="658DE6CF">
            <w:pPr>
              <w:spacing w:line="324" w:lineRule="auto"/>
              <w:rPr>
                <w:rFonts w:ascii="Times New Roman" w:hAnsi="Times New Roman" w:eastAsia="仿宋_GB2312" w:cs="Times New Roman"/>
                <w:color w:val="000000"/>
                <w:sz w:val="30"/>
                <w:szCs w:val="30"/>
              </w:rPr>
            </w:pPr>
          </w:p>
        </w:tc>
      </w:tr>
      <w:tr w14:paraId="3843A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09666C9">
            <w:pPr>
              <w:spacing w:line="324" w:lineRule="auto"/>
              <w:rPr>
                <w:rFonts w:ascii="Times New Roman" w:hAnsi="Times New Roman" w:eastAsia="仿宋_GB2312" w:cs="Times New Roman"/>
                <w:color w:val="000000"/>
                <w:sz w:val="30"/>
                <w:szCs w:val="30"/>
              </w:rPr>
            </w:pPr>
          </w:p>
        </w:tc>
        <w:tc>
          <w:tcPr>
            <w:tcW w:w="1276" w:type="dxa"/>
            <w:noWrap w:val="0"/>
            <w:vAlign w:val="top"/>
          </w:tcPr>
          <w:p w14:paraId="23C6B22E">
            <w:pPr>
              <w:spacing w:line="324" w:lineRule="auto"/>
              <w:rPr>
                <w:rFonts w:ascii="Times New Roman" w:hAnsi="Times New Roman" w:eastAsia="仿宋_GB2312" w:cs="Times New Roman"/>
                <w:color w:val="000000"/>
                <w:sz w:val="30"/>
                <w:szCs w:val="30"/>
              </w:rPr>
            </w:pPr>
          </w:p>
        </w:tc>
        <w:tc>
          <w:tcPr>
            <w:tcW w:w="1450" w:type="dxa"/>
            <w:noWrap w:val="0"/>
            <w:vAlign w:val="top"/>
          </w:tcPr>
          <w:p w14:paraId="6EE69902">
            <w:pPr>
              <w:spacing w:line="324" w:lineRule="auto"/>
              <w:rPr>
                <w:rFonts w:ascii="Times New Roman" w:hAnsi="Times New Roman" w:eastAsia="仿宋_GB2312" w:cs="Times New Roman"/>
                <w:color w:val="000000"/>
                <w:sz w:val="30"/>
                <w:szCs w:val="30"/>
              </w:rPr>
            </w:pPr>
          </w:p>
        </w:tc>
        <w:tc>
          <w:tcPr>
            <w:tcW w:w="1243" w:type="dxa"/>
            <w:noWrap w:val="0"/>
            <w:vAlign w:val="top"/>
          </w:tcPr>
          <w:p w14:paraId="16323ED8">
            <w:pPr>
              <w:spacing w:line="324" w:lineRule="auto"/>
              <w:rPr>
                <w:rFonts w:ascii="Times New Roman" w:hAnsi="Times New Roman" w:eastAsia="仿宋_GB2312" w:cs="Times New Roman"/>
                <w:color w:val="000000"/>
                <w:sz w:val="30"/>
                <w:szCs w:val="30"/>
              </w:rPr>
            </w:pPr>
          </w:p>
        </w:tc>
        <w:tc>
          <w:tcPr>
            <w:tcW w:w="1450" w:type="dxa"/>
            <w:noWrap w:val="0"/>
            <w:vAlign w:val="top"/>
          </w:tcPr>
          <w:p w14:paraId="348FEDEC">
            <w:pPr>
              <w:spacing w:line="324" w:lineRule="auto"/>
              <w:rPr>
                <w:rFonts w:ascii="Times New Roman" w:hAnsi="Times New Roman" w:eastAsia="仿宋_GB2312" w:cs="Times New Roman"/>
                <w:color w:val="000000"/>
                <w:sz w:val="30"/>
                <w:szCs w:val="30"/>
              </w:rPr>
            </w:pPr>
          </w:p>
        </w:tc>
        <w:tc>
          <w:tcPr>
            <w:tcW w:w="1667" w:type="dxa"/>
            <w:noWrap w:val="0"/>
            <w:vAlign w:val="top"/>
          </w:tcPr>
          <w:p w14:paraId="75313A20">
            <w:pPr>
              <w:spacing w:line="324" w:lineRule="auto"/>
              <w:rPr>
                <w:rFonts w:ascii="Times New Roman" w:hAnsi="Times New Roman" w:eastAsia="仿宋_GB2312" w:cs="Times New Roman"/>
                <w:color w:val="000000"/>
                <w:sz w:val="30"/>
                <w:szCs w:val="30"/>
              </w:rPr>
            </w:pPr>
          </w:p>
        </w:tc>
      </w:tr>
      <w:tr w14:paraId="61E02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97D7D81">
            <w:pPr>
              <w:spacing w:line="324" w:lineRule="auto"/>
              <w:rPr>
                <w:rFonts w:ascii="Times New Roman" w:hAnsi="Times New Roman" w:eastAsia="仿宋_GB2312" w:cs="Times New Roman"/>
                <w:color w:val="000000"/>
                <w:sz w:val="30"/>
                <w:szCs w:val="30"/>
              </w:rPr>
            </w:pPr>
          </w:p>
        </w:tc>
        <w:tc>
          <w:tcPr>
            <w:tcW w:w="1276" w:type="dxa"/>
            <w:noWrap w:val="0"/>
            <w:vAlign w:val="top"/>
          </w:tcPr>
          <w:p w14:paraId="1E24723E">
            <w:pPr>
              <w:spacing w:line="324" w:lineRule="auto"/>
              <w:rPr>
                <w:rFonts w:ascii="Times New Roman" w:hAnsi="Times New Roman" w:eastAsia="仿宋_GB2312" w:cs="Times New Roman"/>
                <w:color w:val="000000"/>
                <w:sz w:val="30"/>
                <w:szCs w:val="30"/>
              </w:rPr>
            </w:pPr>
          </w:p>
        </w:tc>
        <w:tc>
          <w:tcPr>
            <w:tcW w:w="1450" w:type="dxa"/>
            <w:noWrap w:val="0"/>
            <w:vAlign w:val="top"/>
          </w:tcPr>
          <w:p w14:paraId="7EBAFA23">
            <w:pPr>
              <w:spacing w:line="324" w:lineRule="auto"/>
              <w:rPr>
                <w:rFonts w:ascii="Times New Roman" w:hAnsi="Times New Roman" w:eastAsia="仿宋_GB2312" w:cs="Times New Roman"/>
                <w:color w:val="000000"/>
                <w:sz w:val="30"/>
                <w:szCs w:val="30"/>
              </w:rPr>
            </w:pPr>
          </w:p>
        </w:tc>
        <w:tc>
          <w:tcPr>
            <w:tcW w:w="1243" w:type="dxa"/>
            <w:noWrap w:val="0"/>
            <w:vAlign w:val="top"/>
          </w:tcPr>
          <w:p w14:paraId="5847D4E8">
            <w:pPr>
              <w:spacing w:line="324" w:lineRule="auto"/>
              <w:rPr>
                <w:rFonts w:ascii="Times New Roman" w:hAnsi="Times New Roman" w:eastAsia="仿宋_GB2312" w:cs="Times New Roman"/>
                <w:color w:val="000000"/>
                <w:sz w:val="30"/>
                <w:szCs w:val="30"/>
              </w:rPr>
            </w:pPr>
          </w:p>
        </w:tc>
        <w:tc>
          <w:tcPr>
            <w:tcW w:w="1450" w:type="dxa"/>
            <w:noWrap w:val="0"/>
            <w:vAlign w:val="top"/>
          </w:tcPr>
          <w:p w14:paraId="36D03B72">
            <w:pPr>
              <w:spacing w:line="324" w:lineRule="auto"/>
              <w:rPr>
                <w:rFonts w:ascii="Times New Roman" w:hAnsi="Times New Roman" w:eastAsia="仿宋_GB2312" w:cs="Times New Roman"/>
                <w:color w:val="000000"/>
                <w:sz w:val="30"/>
                <w:szCs w:val="30"/>
              </w:rPr>
            </w:pPr>
          </w:p>
        </w:tc>
        <w:tc>
          <w:tcPr>
            <w:tcW w:w="1667" w:type="dxa"/>
            <w:noWrap w:val="0"/>
            <w:vAlign w:val="top"/>
          </w:tcPr>
          <w:p w14:paraId="177B1312">
            <w:pPr>
              <w:spacing w:line="324" w:lineRule="auto"/>
              <w:rPr>
                <w:rFonts w:ascii="Times New Roman" w:hAnsi="Times New Roman" w:eastAsia="仿宋_GB2312" w:cs="Times New Roman"/>
                <w:color w:val="000000"/>
                <w:sz w:val="30"/>
                <w:szCs w:val="30"/>
              </w:rPr>
            </w:pPr>
          </w:p>
        </w:tc>
      </w:tr>
      <w:tr w14:paraId="3ECBB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C0D11E0">
            <w:pPr>
              <w:spacing w:line="324" w:lineRule="auto"/>
              <w:rPr>
                <w:rFonts w:ascii="Times New Roman" w:hAnsi="Times New Roman" w:eastAsia="仿宋_GB2312" w:cs="Times New Roman"/>
                <w:color w:val="000000"/>
                <w:sz w:val="30"/>
                <w:szCs w:val="30"/>
              </w:rPr>
            </w:pPr>
          </w:p>
        </w:tc>
        <w:tc>
          <w:tcPr>
            <w:tcW w:w="1276" w:type="dxa"/>
            <w:noWrap w:val="0"/>
            <w:vAlign w:val="top"/>
          </w:tcPr>
          <w:p w14:paraId="35AA131E">
            <w:pPr>
              <w:spacing w:line="324" w:lineRule="auto"/>
              <w:rPr>
                <w:rFonts w:ascii="Times New Roman" w:hAnsi="Times New Roman" w:eastAsia="仿宋_GB2312" w:cs="Times New Roman"/>
                <w:color w:val="000000"/>
                <w:sz w:val="30"/>
                <w:szCs w:val="30"/>
              </w:rPr>
            </w:pPr>
          </w:p>
        </w:tc>
        <w:tc>
          <w:tcPr>
            <w:tcW w:w="1450" w:type="dxa"/>
            <w:noWrap w:val="0"/>
            <w:vAlign w:val="top"/>
          </w:tcPr>
          <w:p w14:paraId="4382EF50">
            <w:pPr>
              <w:spacing w:line="324" w:lineRule="auto"/>
              <w:rPr>
                <w:rFonts w:ascii="Times New Roman" w:hAnsi="Times New Roman" w:eastAsia="仿宋_GB2312" w:cs="Times New Roman"/>
                <w:color w:val="000000"/>
                <w:sz w:val="30"/>
                <w:szCs w:val="30"/>
              </w:rPr>
            </w:pPr>
          </w:p>
        </w:tc>
        <w:tc>
          <w:tcPr>
            <w:tcW w:w="1243" w:type="dxa"/>
            <w:noWrap w:val="0"/>
            <w:vAlign w:val="top"/>
          </w:tcPr>
          <w:p w14:paraId="112C8CBD">
            <w:pPr>
              <w:spacing w:line="324" w:lineRule="auto"/>
              <w:rPr>
                <w:rFonts w:ascii="Times New Roman" w:hAnsi="Times New Roman" w:eastAsia="仿宋_GB2312" w:cs="Times New Roman"/>
                <w:color w:val="000000"/>
                <w:sz w:val="30"/>
                <w:szCs w:val="30"/>
              </w:rPr>
            </w:pPr>
          </w:p>
        </w:tc>
        <w:tc>
          <w:tcPr>
            <w:tcW w:w="1450" w:type="dxa"/>
            <w:noWrap w:val="0"/>
            <w:vAlign w:val="top"/>
          </w:tcPr>
          <w:p w14:paraId="739D7D38">
            <w:pPr>
              <w:spacing w:line="324" w:lineRule="auto"/>
              <w:rPr>
                <w:rFonts w:ascii="Times New Roman" w:hAnsi="Times New Roman" w:eastAsia="仿宋_GB2312" w:cs="Times New Roman"/>
                <w:color w:val="000000"/>
                <w:sz w:val="30"/>
                <w:szCs w:val="30"/>
              </w:rPr>
            </w:pPr>
          </w:p>
        </w:tc>
        <w:tc>
          <w:tcPr>
            <w:tcW w:w="1667" w:type="dxa"/>
            <w:noWrap w:val="0"/>
            <w:vAlign w:val="top"/>
          </w:tcPr>
          <w:p w14:paraId="3FDCC519">
            <w:pPr>
              <w:spacing w:line="324" w:lineRule="auto"/>
              <w:rPr>
                <w:rFonts w:ascii="Times New Roman" w:hAnsi="Times New Roman" w:eastAsia="仿宋_GB2312" w:cs="Times New Roman"/>
                <w:color w:val="000000"/>
                <w:sz w:val="30"/>
                <w:szCs w:val="30"/>
              </w:rPr>
            </w:pPr>
          </w:p>
        </w:tc>
      </w:tr>
      <w:tr w14:paraId="15551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548E4F6">
            <w:pPr>
              <w:spacing w:line="324" w:lineRule="auto"/>
              <w:rPr>
                <w:rFonts w:ascii="Times New Roman" w:hAnsi="Times New Roman" w:eastAsia="仿宋_GB2312" w:cs="Times New Roman"/>
                <w:color w:val="000000"/>
                <w:sz w:val="30"/>
                <w:szCs w:val="30"/>
              </w:rPr>
            </w:pPr>
          </w:p>
        </w:tc>
        <w:tc>
          <w:tcPr>
            <w:tcW w:w="1276" w:type="dxa"/>
            <w:noWrap w:val="0"/>
            <w:vAlign w:val="top"/>
          </w:tcPr>
          <w:p w14:paraId="37233A15">
            <w:pPr>
              <w:spacing w:line="324" w:lineRule="auto"/>
              <w:rPr>
                <w:rFonts w:ascii="Times New Roman" w:hAnsi="Times New Roman" w:eastAsia="仿宋_GB2312" w:cs="Times New Roman"/>
                <w:color w:val="000000"/>
                <w:sz w:val="30"/>
                <w:szCs w:val="30"/>
              </w:rPr>
            </w:pPr>
          </w:p>
        </w:tc>
        <w:tc>
          <w:tcPr>
            <w:tcW w:w="1450" w:type="dxa"/>
            <w:noWrap w:val="0"/>
            <w:vAlign w:val="top"/>
          </w:tcPr>
          <w:p w14:paraId="77EE5829">
            <w:pPr>
              <w:spacing w:line="324" w:lineRule="auto"/>
              <w:rPr>
                <w:rFonts w:ascii="Times New Roman" w:hAnsi="Times New Roman" w:eastAsia="仿宋_GB2312" w:cs="Times New Roman"/>
                <w:color w:val="000000"/>
                <w:sz w:val="30"/>
                <w:szCs w:val="30"/>
              </w:rPr>
            </w:pPr>
          </w:p>
        </w:tc>
        <w:tc>
          <w:tcPr>
            <w:tcW w:w="1243" w:type="dxa"/>
            <w:noWrap w:val="0"/>
            <w:vAlign w:val="top"/>
          </w:tcPr>
          <w:p w14:paraId="1681C8DD">
            <w:pPr>
              <w:spacing w:line="324" w:lineRule="auto"/>
              <w:rPr>
                <w:rFonts w:ascii="Times New Roman" w:hAnsi="Times New Roman" w:eastAsia="仿宋_GB2312" w:cs="Times New Roman"/>
                <w:color w:val="000000"/>
                <w:sz w:val="30"/>
                <w:szCs w:val="30"/>
              </w:rPr>
            </w:pPr>
          </w:p>
        </w:tc>
        <w:tc>
          <w:tcPr>
            <w:tcW w:w="1450" w:type="dxa"/>
            <w:noWrap w:val="0"/>
            <w:vAlign w:val="top"/>
          </w:tcPr>
          <w:p w14:paraId="78691D0A">
            <w:pPr>
              <w:spacing w:line="324" w:lineRule="auto"/>
              <w:rPr>
                <w:rFonts w:ascii="Times New Roman" w:hAnsi="Times New Roman" w:eastAsia="仿宋_GB2312" w:cs="Times New Roman"/>
                <w:color w:val="000000"/>
                <w:sz w:val="30"/>
                <w:szCs w:val="30"/>
              </w:rPr>
            </w:pPr>
          </w:p>
        </w:tc>
        <w:tc>
          <w:tcPr>
            <w:tcW w:w="1667" w:type="dxa"/>
            <w:noWrap w:val="0"/>
            <w:vAlign w:val="top"/>
          </w:tcPr>
          <w:p w14:paraId="48A227A8">
            <w:pPr>
              <w:spacing w:line="324" w:lineRule="auto"/>
              <w:rPr>
                <w:rFonts w:ascii="Times New Roman" w:hAnsi="Times New Roman" w:eastAsia="仿宋_GB2312" w:cs="Times New Roman"/>
                <w:color w:val="000000"/>
                <w:sz w:val="30"/>
                <w:szCs w:val="30"/>
              </w:rPr>
            </w:pPr>
          </w:p>
        </w:tc>
      </w:tr>
    </w:tbl>
    <w:p w14:paraId="13981E79">
      <w:pPr>
        <w:spacing w:line="440" w:lineRule="exact"/>
        <w:rPr>
          <w:rFonts w:hint="eastAsia" w:ascii="Times New Roman" w:hAnsi="Times New Roman" w:eastAsia="仿宋_GB2312" w:cs="Times New Roman"/>
          <w:color w:val="000000"/>
          <w:sz w:val="30"/>
          <w:szCs w:val="30"/>
        </w:rPr>
      </w:pPr>
    </w:p>
    <w:p w14:paraId="4363463D">
      <w:pPr>
        <w:spacing w:line="440" w:lineRule="exact"/>
        <w:rPr>
          <w:rFonts w:ascii="Times New Roman" w:hAnsi="Times New Roman" w:eastAsia="黑体" w:cs="Times New Roman"/>
          <w:color w:val="000000"/>
          <w:sz w:val="30"/>
          <w:szCs w:val="30"/>
        </w:rPr>
      </w:pPr>
      <w:r>
        <w:rPr>
          <w:rFonts w:ascii="Times New Roman" w:hAnsi="Times New Roman" w:eastAsia="仿宋_GB2312" w:cs="Times New Roman"/>
          <w:color w:val="000000"/>
          <w:sz w:val="30"/>
          <w:szCs w:val="30"/>
        </w:rPr>
        <w:br w:type="page"/>
      </w:r>
      <w:r>
        <w:rPr>
          <w:rFonts w:hint="eastAsia" w:ascii="仿宋" w:hAnsi="仿宋" w:eastAsia="仿宋" w:cs="仿宋"/>
          <w:color w:val="000000"/>
          <w:sz w:val="28"/>
          <w:szCs w:val="28"/>
        </w:rPr>
        <w:t>附</w:t>
      </w:r>
      <w:bookmarkStart w:id="11" w:name="_Toc296346728"/>
      <w:bookmarkStart w:id="12" w:name="_Toc296891055"/>
      <w:bookmarkStart w:id="13" w:name="_Toc296891267"/>
      <w:bookmarkStart w:id="14" w:name="_Toc267261698"/>
      <w:bookmarkStart w:id="15" w:name="_Toc296347226"/>
      <w:bookmarkStart w:id="16" w:name="_Toc296944566"/>
      <w:bookmarkStart w:id="17" w:name="_Toc296503227"/>
      <w:r>
        <w:rPr>
          <w:rFonts w:hint="eastAsia" w:ascii="仿宋" w:hAnsi="仿宋" w:eastAsia="仿宋" w:cs="仿宋"/>
          <w:color w:val="000000"/>
          <w:sz w:val="28"/>
          <w:szCs w:val="28"/>
        </w:rPr>
        <w:t>件5：</w:t>
      </w:r>
    </w:p>
    <w:bookmarkEnd w:id="11"/>
    <w:bookmarkEnd w:id="12"/>
    <w:bookmarkEnd w:id="13"/>
    <w:bookmarkEnd w:id="14"/>
    <w:bookmarkEnd w:id="15"/>
    <w:bookmarkEnd w:id="16"/>
    <w:bookmarkEnd w:id="17"/>
    <w:p w14:paraId="0772BA2D">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承包人用于本工程施工的机械设备表</w:t>
      </w:r>
    </w:p>
    <w:tbl>
      <w:tblPr>
        <w:tblStyle w:val="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61"/>
        <w:gridCol w:w="1619"/>
        <w:gridCol w:w="850"/>
        <w:gridCol w:w="1058"/>
        <w:gridCol w:w="753"/>
        <w:gridCol w:w="1439"/>
        <w:gridCol w:w="1451"/>
        <w:gridCol w:w="757"/>
        <w:gridCol w:w="921"/>
      </w:tblGrid>
      <w:tr w14:paraId="123AC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61" w:type="dxa"/>
            <w:tcBorders>
              <w:top w:val="single" w:color="auto" w:sz="12" w:space="0"/>
              <w:bottom w:val="double" w:color="auto" w:sz="6" w:space="0"/>
            </w:tcBorders>
            <w:noWrap w:val="0"/>
            <w:vAlign w:val="center"/>
          </w:tcPr>
          <w:p w14:paraId="43CEDE04">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序号</w:t>
            </w:r>
          </w:p>
        </w:tc>
        <w:tc>
          <w:tcPr>
            <w:tcW w:w="1619" w:type="dxa"/>
            <w:tcBorders>
              <w:top w:val="single" w:color="auto" w:sz="12" w:space="0"/>
              <w:bottom w:val="double" w:color="auto" w:sz="6" w:space="0"/>
            </w:tcBorders>
            <w:noWrap w:val="0"/>
            <w:vAlign w:val="center"/>
          </w:tcPr>
          <w:p w14:paraId="0E56F0C2">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机械或设备名称</w:t>
            </w:r>
          </w:p>
        </w:tc>
        <w:tc>
          <w:tcPr>
            <w:tcW w:w="850" w:type="dxa"/>
            <w:tcBorders>
              <w:top w:val="single" w:color="auto" w:sz="12" w:space="0"/>
              <w:bottom w:val="double" w:color="auto" w:sz="6" w:space="0"/>
            </w:tcBorders>
            <w:noWrap w:val="0"/>
            <w:vAlign w:val="center"/>
          </w:tcPr>
          <w:p w14:paraId="56112812">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规格型号</w:t>
            </w:r>
          </w:p>
        </w:tc>
        <w:tc>
          <w:tcPr>
            <w:tcW w:w="1058" w:type="dxa"/>
            <w:tcBorders>
              <w:top w:val="single" w:color="auto" w:sz="12" w:space="0"/>
              <w:bottom w:val="double" w:color="auto" w:sz="6" w:space="0"/>
            </w:tcBorders>
            <w:noWrap w:val="0"/>
            <w:vAlign w:val="center"/>
          </w:tcPr>
          <w:p w14:paraId="675D224C">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数量</w:t>
            </w:r>
          </w:p>
        </w:tc>
        <w:tc>
          <w:tcPr>
            <w:tcW w:w="753" w:type="dxa"/>
            <w:tcBorders>
              <w:top w:val="single" w:color="auto" w:sz="12" w:space="0"/>
              <w:bottom w:val="double" w:color="auto" w:sz="6" w:space="0"/>
            </w:tcBorders>
            <w:noWrap w:val="0"/>
            <w:vAlign w:val="center"/>
          </w:tcPr>
          <w:p w14:paraId="2ADAC2BD">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产地</w:t>
            </w:r>
          </w:p>
        </w:tc>
        <w:tc>
          <w:tcPr>
            <w:tcW w:w="1439" w:type="dxa"/>
            <w:tcBorders>
              <w:top w:val="single" w:color="auto" w:sz="12" w:space="0"/>
              <w:bottom w:val="double" w:color="auto" w:sz="6" w:space="0"/>
            </w:tcBorders>
            <w:noWrap w:val="0"/>
            <w:vAlign w:val="center"/>
          </w:tcPr>
          <w:p w14:paraId="53EFE5CE">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制造年份</w:t>
            </w:r>
          </w:p>
        </w:tc>
        <w:tc>
          <w:tcPr>
            <w:tcW w:w="1451" w:type="dxa"/>
            <w:tcBorders>
              <w:top w:val="single" w:color="auto" w:sz="12" w:space="0"/>
              <w:bottom w:val="double" w:color="auto" w:sz="6" w:space="0"/>
            </w:tcBorders>
            <w:noWrap w:val="0"/>
            <w:vAlign w:val="center"/>
          </w:tcPr>
          <w:p w14:paraId="65F6E168">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额定功率</w:t>
            </w:r>
            <w:r>
              <w:rPr>
                <w:rFonts w:hint="eastAsia" w:ascii="Times New Roman" w:hAnsi="Times New Roman" w:eastAsia="仿宋_GB2312" w:cs="Times New Roman"/>
                <w:color w:val="000000"/>
                <w:kern w:val="2"/>
                <w:sz w:val="24"/>
                <w:szCs w:val="28"/>
                <w:lang w:val="en-US" w:eastAsia="zh-CN" w:bidi="ar-SA"/>
              </w:rPr>
              <w:t>（</w:t>
            </w:r>
            <w:r>
              <w:rPr>
                <w:rFonts w:ascii="Times New Roman" w:hAnsi="Times New Roman" w:eastAsia="仿宋_GB2312" w:cs="Times New Roman"/>
                <w:color w:val="000000"/>
                <w:kern w:val="2"/>
                <w:sz w:val="24"/>
                <w:szCs w:val="28"/>
                <w:lang w:val="en-US" w:eastAsia="zh-CN" w:bidi="ar-SA"/>
              </w:rPr>
              <w:t>kW</w:t>
            </w:r>
            <w:r>
              <w:rPr>
                <w:rFonts w:hint="eastAsia" w:ascii="Times New Roman" w:hAnsi="Times New Roman" w:eastAsia="仿宋_GB2312" w:cs="Times New Roman"/>
                <w:color w:val="000000"/>
                <w:kern w:val="2"/>
                <w:sz w:val="24"/>
                <w:szCs w:val="28"/>
                <w:lang w:val="en-US" w:eastAsia="zh-CN" w:bidi="ar-SA"/>
              </w:rPr>
              <w:t>）</w:t>
            </w:r>
          </w:p>
        </w:tc>
        <w:tc>
          <w:tcPr>
            <w:tcW w:w="757" w:type="dxa"/>
            <w:tcBorders>
              <w:top w:val="single" w:color="auto" w:sz="12" w:space="0"/>
              <w:bottom w:val="double" w:color="auto" w:sz="6" w:space="0"/>
            </w:tcBorders>
            <w:noWrap w:val="0"/>
            <w:vAlign w:val="center"/>
          </w:tcPr>
          <w:p w14:paraId="03740A92">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生产能力</w:t>
            </w:r>
          </w:p>
        </w:tc>
        <w:tc>
          <w:tcPr>
            <w:tcW w:w="921" w:type="dxa"/>
            <w:tcBorders>
              <w:top w:val="single" w:color="auto" w:sz="12" w:space="0"/>
              <w:bottom w:val="double" w:color="auto" w:sz="6" w:space="0"/>
            </w:tcBorders>
            <w:noWrap w:val="0"/>
            <w:vAlign w:val="center"/>
          </w:tcPr>
          <w:p w14:paraId="13FB3586">
            <w:pPr>
              <w:keepNext/>
              <w:widowControl w:val="0"/>
              <w:spacing w:after="0" w:line="440" w:lineRule="exact"/>
              <w:ind w:left="63" w:right="63"/>
              <w:jc w:val="center"/>
              <w:rPr>
                <w:rFonts w:ascii="Times New Roman" w:hAnsi="Times New Roman" w:eastAsia="仿宋_GB2312" w:cs="Times New Roman"/>
                <w:color w:val="000000"/>
                <w:kern w:val="2"/>
                <w:sz w:val="24"/>
                <w:szCs w:val="28"/>
                <w:lang w:val="en-US" w:eastAsia="zh-CN" w:bidi="ar-SA"/>
              </w:rPr>
            </w:pPr>
            <w:r>
              <w:rPr>
                <w:rFonts w:ascii="Times New Roman" w:hAnsi="Times New Roman" w:eastAsia="仿宋_GB2312" w:cs="Times New Roman"/>
                <w:color w:val="000000"/>
                <w:kern w:val="2"/>
                <w:sz w:val="24"/>
                <w:szCs w:val="28"/>
                <w:lang w:val="en-US" w:eastAsia="zh-CN" w:bidi="ar-SA"/>
              </w:rPr>
              <w:t>备注</w:t>
            </w:r>
          </w:p>
        </w:tc>
      </w:tr>
      <w:tr w14:paraId="1C777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tcBorders>
              <w:top w:val="double" w:color="auto" w:sz="6" w:space="0"/>
              <w:bottom w:val="single" w:color="auto" w:sz="6" w:space="0"/>
            </w:tcBorders>
            <w:noWrap w:val="0"/>
            <w:vAlign w:val="center"/>
          </w:tcPr>
          <w:p w14:paraId="7713149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tcBorders>
              <w:top w:val="double" w:color="auto" w:sz="6" w:space="0"/>
              <w:bottom w:val="single" w:color="auto" w:sz="6" w:space="0"/>
            </w:tcBorders>
            <w:noWrap w:val="0"/>
            <w:vAlign w:val="center"/>
          </w:tcPr>
          <w:p w14:paraId="30ADE7F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tcBorders>
              <w:top w:val="double" w:color="auto" w:sz="6" w:space="0"/>
              <w:bottom w:val="single" w:color="auto" w:sz="6" w:space="0"/>
            </w:tcBorders>
            <w:noWrap w:val="0"/>
            <w:vAlign w:val="center"/>
          </w:tcPr>
          <w:p w14:paraId="5D3CE45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tcBorders>
              <w:top w:val="double" w:color="auto" w:sz="6" w:space="0"/>
              <w:bottom w:val="single" w:color="auto" w:sz="6" w:space="0"/>
            </w:tcBorders>
            <w:noWrap w:val="0"/>
            <w:vAlign w:val="center"/>
          </w:tcPr>
          <w:p w14:paraId="5AAE8BA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tcBorders>
              <w:top w:val="double" w:color="auto" w:sz="6" w:space="0"/>
              <w:bottom w:val="single" w:color="auto" w:sz="6" w:space="0"/>
            </w:tcBorders>
            <w:noWrap w:val="0"/>
            <w:vAlign w:val="center"/>
          </w:tcPr>
          <w:p w14:paraId="547F731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tcBorders>
              <w:top w:val="double" w:color="auto" w:sz="6" w:space="0"/>
              <w:bottom w:val="single" w:color="auto" w:sz="6" w:space="0"/>
            </w:tcBorders>
            <w:noWrap w:val="0"/>
            <w:vAlign w:val="center"/>
          </w:tcPr>
          <w:p w14:paraId="6DF60AC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tcBorders>
              <w:top w:val="double" w:color="auto" w:sz="6" w:space="0"/>
              <w:bottom w:val="single" w:color="auto" w:sz="6" w:space="0"/>
            </w:tcBorders>
            <w:noWrap w:val="0"/>
            <w:vAlign w:val="center"/>
          </w:tcPr>
          <w:p w14:paraId="652D199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tcBorders>
              <w:top w:val="double" w:color="auto" w:sz="6" w:space="0"/>
              <w:bottom w:val="single" w:color="auto" w:sz="6" w:space="0"/>
            </w:tcBorders>
            <w:noWrap w:val="0"/>
            <w:vAlign w:val="center"/>
          </w:tcPr>
          <w:p w14:paraId="0DF324D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tcBorders>
              <w:top w:val="double" w:color="auto" w:sz="6" w:space="0"/>
              <w:bottom w:val="single" w:color="auto" w:sz="6" w:space="0"/>
            </w:tcBorders>
            <w:noWrap w:val="0"/>
            <w:vAlign w:val="center"/>
          </w:tcPr>
          <w:p w14:paraId="17A7BC9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318CA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tcBorders>
              <w:top w:val="nil"/>
            </w:tcBorders>
            <w:noWrap w:val="0"/>
            <w:vAlign w:val="center"/>
          </w:tcPr>
          <w:p w14:paraId="0573E07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tcBorders>
              <w:top w:val="nil"/>
            </w:tcBorders>
            <w:noWrap w:val="0"/>
            <w:vAlign w:val="center"/>
          </w:tcPr>
          <w:p w14:paraId="451B2FD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tcBorders>
              <w:top w:val="nil"/>
            </w:tcBorders>
            <w:noWrap w:val="0"/>
            <w:vAlign w:val="center"/>
          </w:tcPr>
          <w:p w14:paraId="6DB27AA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tcBorders>
              <w:top w:val="nil"/>
            </w:tcBorders>
            <w:noWrap w:val="0"/>
            <w:vAlign w:val="center"/>
          </w:tcPr>
          <w:p w14:paraId="262D2EE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tcBorders>
              <w:top w:val="nil"/>
            </w:tcBorders>
            <w:noWrap w:val="0"/>
            <w:vAlign w:val="center"/>
          </w:tcPr>
          <w:p w14:paraId="2100E75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tcBorders>
              <w:top w:val="nil"/>
            </w:tcBorders>
            <w:noWrap w:val="0"/>
            <w:vAlign w:val="center"/>
          </w:tcPr>
          <w:p w14:paraId="7E09F72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tcBorders>
              <w:top w:val="nil"/>
            </w:tcBorders>
            <w:noWrap w:val="0"/>
            <w:vAlign w:val="center"/>
          </w:tcPr>
          <w:p w14:paraId="18A1B40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tcBorders>
              <w:top w:val="nil"/>
            </w:tcBorders>
            <w:noWrap w:val="0"/>
            <w:vAlign w:val="center"/>
          </w:tcPr>
          <w:p w14:paraId="6B1FC36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tcBorders>
              <w:top w:val="nil"/>
            </w:tcBorders>
            <w:noWrap w:val="0"/>
            <w:vAlign w:val="center"/>
          </w:tcPr>
          <w:p w14:paraId="69679B7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9168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70D39E1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3BEA608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06F79EF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4B74409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7FCA62D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29D4F24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147092C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7BC4F2B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52F7132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6DAA3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2C5A625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2BD39D6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498868F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73EFBFE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1348F9E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1E6C23A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53F5462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0474976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4893458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9460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005E845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36DE114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71538C5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4798F77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4D07969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0643A16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039FA41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72DF28C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0D8C651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147D8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25B4A33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21AE4B7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14B9FFA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422FB39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2EB66906">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21A4452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6FD7B154">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1B96AD4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79555FC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51C93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0B99749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7546874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74EA754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168E6BA3">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3215AB6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0BFFD46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1988B6B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7A04A96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0D070DF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37837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6E6324D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4E83A6A5">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1E1F5648">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01EDC3B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57975C4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4FBF0531">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5EEE347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1CAC6ABC">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2774F72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493CF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43B16BE0">
            <w:pPr>
              <w:spacing w:line="324" w:lineRule="auto"/>
              <w:rPr>
                <w:rFonts w:ascii="Times New Roman" w:hAnsi="Times New Roman" w:eastAsia="仿宋_GB2312" w:cs="Times New Roman"/>
                <w:color w:val="000000"/>
                <w:sz w:val="30"/>
                <w:szCs w:val="30"/>
              </w:rPr>
            </w:pPr>
          </w:p>
        </w:tc>
        <w:tc>
          <w:tcPr>
            <w:tcW w:w="1619" w:type="dxa"/>
            <w:noWrap w:val="0"/>
            <w:vAlign w:val="top"/>
          </w:tcPr>
          <w:p w14:paraId="502AC061">
            <w:pPr>
              <w:spacing w:line="324" w:lineRule="auto"/>
              <w:rPr>
                <w:rFonts w:ascii="Times New Roman" w:hAnsi="Times New Roman" w:eastAsia="仿宋_GB2312" w:cs="Times New Roman"/>
                <w:color w:val="000000"/>
                <w:sz w:val="30"/>
                <w:szCs w:val="30"/>
              </w:rPr>
            </w:pPr>
          </w:p>
        </w:tc>
        <w:tc>
          <w:tcPr>
            <w:tcW w:w="850" w:type="dxa"/>
            <w:noWrap w:val="0"/>
            <w:vAlign w:val="top"/>
          </w:tcPr>
          <w:p w14:paraId="542DD0B7">
            <w:pPr>
              <w:spacing w:line="324" w:lineRule="auto"/>
              <w:rPr>
                <w:rFonts w:ascii="Times New Roman" w:hAnsi="Times New Roman" w:eastAsia="仿宋_GB2312" w:cs="Times New Roman"/>
                <w:color w:val="000000"/>
                <w:sz w:val="30"/>
                <w:szCs w:val="30"/>
              </w:rPr>
            </w:pPr>
          </w:p>
        </w:tc>
        <w:tc>
          <w:tcPr>
            <w:tcW w:w="1058" w:type="dxa"/>
            <w:noWrap w:val="0"/>
            <w:vAlign w:val="top"/>
          </w:tcPr>
          <w:p w14:paraId="01E429DF">
            <w:pPr>
              <w:spacing w:line="324" w:lineRule="auto"/>
              <w:rPr>
                <w:rFonts w:ascii="Times New Roman" w:hAnsi="Times New Roman" w:eastAsia="仿宋_GB2312" w:cs="Times New Roman"/>
                <w:color w:val="000000"/>
                <w:sz w:val="30"/>
                <w:szCs w:val="30"/>
              </w:rPr>
            </w:pPr>
          </w:p>
        </w:tc>
        <w:tc>
          <w:tcPr>
            <w:tcW w:w="753" w:type="dxa"/>
            <w:noWrap w:val="0"/>
            <w:vAlign w:val="top"/>
          </w:tcPr>
          <w:p w14:paraId="49435207">
            <w:pPr>
              <w:spacing w:line="324" w:lineRule="auto"/>
              <w:rPr>
                <w:rFonts w:ascii="Times New Roman" w:hAnsi="Times New Roman" w:eastAsia="仿宋_GB2312" w:cs="Times New Roman"/>
                <w:color w:val="000000"/>
                <w:sz w:val="30"/>
                <w:szCs w:val="30"/>
              </w:rPr>
            </w:pPr>
          </w:p>
        </w:tc>
        <w:tc>
          <w:tcPr>
            <w:tcW w:w="1439" w:type="dxa"/>
            <w:noWrap w:val="0"/>
            <w:vAlign w:val="top"/>
          </w:tcPr>
          <w:p w14:paraId="7CA2F246">
            <w:pPr>
              <w:spacing w:line="324" w:lineRule="auto"/>
              <w:rPr>
                <w:rFonts w:ascii="Times New Roman" w:hAnsi="Times New Roman" w:eastAsia="仿宋_GB2312" w:cs="Times New Roman"/>
                <w:color w:val="000000"/>
                <w:sz w:val="30"/>
                <w:szCs w:val="30"/>
              </w:rPr>
            </w:pPr>
          </w:p>
        </w:tc>
        <w:tc>
          <w:tcPr>
            <w:tcW w:w="1451" w:type="dxa"/>
            <w:noWrap w:val="0"/>
            <w:vAlign w:val="top"/>
          </w:tcPr>
          <w:p w14:paraId="09837138">
            <w:pPr>
              <w:spacing w:line="324" w:lineRule="auto"/>
              <w:rPr>
                <w:rFonts w:ascii="Times New Roman" w:hAnsi="Times New Roman" w:eastAsia="仿宋_GB2312" w:cs="Times New Roman"/>
                <w:color w:val="000000"/>
                <w:sz w:val="30"/>
                <w:szCs w:val="30"/>
              </w:rPr>
            </w:pPr>
          </w:p>
        </w:tc>
        <w:tc>
          <w:tcPr>
            <w:tcW w:w="757" w:type="dxa"/>
            <w:noWrap w:val="0"/>
            <w:vAlign w:val="top"/>
          </w:tcPr>
          <w:p w14:paraId="5A22EFF5">
            <w:pPr>
              <w:spacing w:line="324" w:lineRule="auto"/>
              <w:rPr>
                <w:rFonts w:ascii="Times New Roman" w:hAnsi="Times New Roman" w:eastAsia="仿宋_GB2312" w:cs="Times New Roman"/>
                <w:color w:val="000000"/>
                <w:sz w:val="30"/>
                <w:szCs w:val="30"/>
              </w:rPr>
            </w:pPr>
          </w:p>
        </w:tc>
        <w:tc>
          <w:tcPr>
            <w:tcW w:w="921" w:type="dxa"/>
            <w:noWrap w:val="0"/>
            <w:vAlign w:val="top"/>
          </w:tcPr>
          <w:p w14:paraId="212728C4">
            <w:pPr>
              <w:spacing w:line="324" w:lineRule="auto"/>
              <w:rPr>
                <w:rFonts w:ascii="Times New Roman" w:hAnsi="Times New Roman" w:eastAsia="仿宋_GB2312" w:cs="Times New Roman"/>
                <w:color w:val="000000"/>
                <w:sz w:val="30"/>
                <w:szCs w:val="30"/>
              </w:rPr>
            </w:pPr>
          </w:p>
        </w:tc>
      </w:tr>
      <w:tr w14:paraId="3BBFC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center"/>
          </w:tcPr>
          <w:p w14:paraId="38E3510F">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619" w:type="dxa"/>
            <w:noWrap w:val="0"/>
            <w:vAlign w:val="center"/>
          </w:tcPr>
          <w:p w14:paraId="363D2490">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850" w:type="dxa"/>
            <w:noWrap w:val="0"/>
            <w:vAlign w:val="center"/>
          </w:tcPr>
          <w:p w14:paraId="36C890B2">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058" w:type="dxa"/>
            <w:noWrap w:val="0"/>
            <w:vAlign w:val="center"/>
          </w:tcPr>
          <w:p w14:paraId="7013C3DB">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3" w:type="dxa"/>
            <w:noWrap w:val="0"/>
            <w:vAlign w:val="center"/>
          </w:tcPr>
          <w:p w14:paraId="38DCC7F7">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39" w:type="dxa"/>
            <w:noWrap w:val="0"/>
            <w:vAlign w:val="center"/>
          </w:tcPr>
          <w:p w14:paraId="0A179F6D">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1451" w:type="dxa"/>
            <w:noWrap w:val="0"/>
            <w:vAlign w:val="center"/>
          </w:tcPr>
          <w:p w14:paraId="08CE781E">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757" w:type="dxa"/>
            <w:noWrap w:val="0"/>
            <w:vAlign w:val="center"/>
          </w:tcPr>
          <w:p w14:paraId="486C40DA">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c>
          <w:tcPr>
            <w:tcW w:w="921" w:type="dxa"/>
            <w:noWrap w:val="0"/>
            <w:vAlign w:val="center"/>
          </w:tcPr>
          <w:p w14:paraId="15E56599">
            <w:pPr>
              <w:keepNext/>
              <w:widowControl w:val="0"/>
              <w:spacing w:after="0" w:line="440" w:lineRule="exact"/>
              <w:ind w:left="63" w:right="63"/>
              <w:jc w:val="both"/>
              <w:rPr>
                <w:rFonts w:ascii="Times New Roman" w:hAnsi="Times New Roman" w:eastAsia="仿宋_GB2312" w:cs="Times New Roman"/>
                <w:color w:val="000000"/>
                <w:kern w:val="2"/>
                <w:sz w:val="30"/>
                <w:szCs w:val="30"/>
                <w:lang w:val="en-US" w:eastAsia="zh-CN" w:bidi="ar-SA"/>
              </w:rPr>
            </w:pPr>
          </w:p>
        </w:tc>
      </w:tr>
      <w:tr w14:paraId="076BC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35108DF0">
            <w:pPr>
              <w:spacing w:line="324" w:lineRule="auto"/>
              <w:rPr>
                <w:rFonts w:ascii="Times New Roman" w:hAnsi="Times New Roman" w:eastAsia="仿宋_GB2312" w:cs="Times New Roman"/>
                <w:color w:val="000000"/>
                <w:sz w:val="30"/>
                <w:szCs w:val="30"/>
              </w:rPr>
            </w:pPr>
          </w:p>
        </w:tc>
        <w:tc>
          <w:tcPr>
            <w:tcW w:w="1619" w:type="dxa"/>
            <w:noWrap w:val="0"/>
            <w:vAlign w:val="top"/>
          </w:tcPr>
          <w:p w14:paraId="0BE11CB1">
            <w:pPr>
              <w:spacing w:line="324" w:lineRule="auto"/>
              <w:rPr>
                <w:rFonts w:ascii="Times New Roman" w:hAnsi="Times New Roman" w:eastAsia="仿宋_GB2312" w:cs="Times New Roman"/>
                <w:color w:val="000000"/>
                <w:sz w:val="30"/>
                <w:szCs w:val="30"/>
              </w:rPr>
            </w:pPr>
          </w:p>
        </w:tc>
        <w:tc>
          <w:tcPr>
            <w:tcW w:w="850" w:type="dxa"/>
            <w:noWrap w:val="0"/>
            <w:vAlign w:val="top"/>
          </w:tcPr>
          <w:p w14:paraId="641EA09C">
            <w:pPr>
              <w:spacing w:line="324" w:lineRule="auto"/>
              <w:rPr>
                <w:rFonts w:ascii="Times New Roman" w:hAnsi="Times New Roman" w:eastAsia="仿宋_GB2312" w:cs="Times New Roman"/>
                <w:color w:val="000000"/>
                <w:sz w:val="30"/>
                <w:szCs w:val="30"/>
              </w:rPr>
            </w:pPr>
          </w:p>
        </w:tc>
        <w:tc>
          <w:tcPr>
            <w:tcW w:w="1058" w:type="dxa"/>
            <w:noWrap w:val="0"/>
            <w:vAlign w:val="top"/>
          </w:tcPr>
          <w:p w14:paraId="79638EEF">
            <w:pPr>
              <w:spacing w:line="324" w:lineRule="auto"/>
              <w:rPr>
                <w:rFonts w:ascii="Times New Roman" w:hAnsi="Times New Roman" w:eastAsia="仿宋_GB2312" w:cs="Times New Roman"/>
                <w:color w:val="000000"/>
                <w:sz w:val="30"/>
                <w:szCs w:val="30"/>
              </w:rPr>
            </w:pPr>
          </w:p>
        </w:tc>
        <w:tc>
          <w:tcPr>
            <w:tcW w:w="753" w:type="dxa"/>
            <w:noWrap w:val="0"/>
            <w:vAlign w:val="top"/>
          </w:tcPr>
          <w:p w14:paraId="2F72F16E">
            <w:pPr>
              <w:spacing w:line="324" w:lineRule="auto"/>
              <w:rPr>
                <w:rFonts w:ascii="Times New Roman" w:hAnsi="Times New Roman" w:eastAsia="仿宋_GB2312" w:cs="Times New Roman"/>
                <w:color w:val="000000"/>
                <w:sz w:val="30"/>
                <w:szCs w:val="30"/>
              </w:rPr>
            </w:pPr>
          </w:p>
        </w:tc>
        <w:tc>
          <w:tcPr>
            <w:tcW w:w="1439" w:type="dxa"/>
            <w:noWrap w:val="0"/>
            <w:vAlign w:val="top"/>
          </w:tcPr>
          <w:p w14:paraId="2627F38C">
            <w:pPr>
              <w:spacing w:line="324" w:lineRule="auto"/>
              <w:rPr>
                <w:rFonts w:ascii="Times New Roman" w:hAnsi="Times New Roman" w:eastAsia="仿宋_GB2312" w:cs="Times New Roman"/>
                <w:color w:val="000000"/>
                <w:sz w:val="30"/>
                <w:szCs w:val="30"/>
              </w:rPr>
            </w:pPr>
          </w:p>
        </w:tc>
        <w:tc>
          <w:tcPr>
            <w:tcW w:w="1451" w:type="dxa"/>
            <w:noWrap w:val="0"/>
            <w:vAlign w:val="top"/>
          </w:tcPr>
          <w:p w14:paraId="4923B98B">
            <w:pPr>
              <w:spacing w:line="324" w:lineRule="auto"/>
              <w:rPr>
                <w:rFonts w:ascii="Times New Roman" w:hAnsi="Times New Roman" w:eastAsia="仿宋_GB2312" w:cs="Times New Roman"/>
                <w:color w:val="000000"/>
                <w:sz w:val="30"/>
                <w:szCs w:val="30"/>
              </w:rPr>
            </w:pPr>
          </w:p>
        </w:tc>
        <w:tc>
          <w:tcPr>
            <w:tcW w:w="757" w:type="dxa"/>
            <w:noWrap w:val="0"/>
            <w:vAlign w:val="top"/>
          </w:tcPr>
          <w:p w14:paraId="1F99A955">
            <w:pPr>
              <w:spacing w:line="324" w:lineRule="auto"/>
              <w:rPr>
                <w:rFonts w:ascii="Times New Roman" w:hAnsi="Times New Roman" w:eastAsia="仿宋_GB2312" w:cs="Times New Roman"/>
                <w:color w:val="000000"/>
                <w:sz w:val="30"/>
                <w:szCs w:val="30"/>
              </w:rPr>
            </w:pPr>
          </w:p>
        </w:tc>
        <w:tc>
          <w:tcPr>
            <w:tcW w:w="921" w:type="dxa"/>
            <w:noWrap w:val="0"/>
            <w:vAlign w:val="top"/>
          </w:tcPr>
          <w:p w14:paraId="119E50CB">
            <w:pPr>
              <w:spacing w:line="324" w:lineRule="auto"/>
              <w:rPr>
                <w:rFonts w:ascii="Times New Roman" w:hAnsi="Times New Roman" w:eastAsia="仿宋_GB2312" w:cs="Times New Roman"/>
                <w:color w:val="000000"/>
                <w:sz w:val="30"/>
                <w:szCs w:val="30"/>
              </w:rPr>
            </w:pPr>
          </w:p>
        </w:tc>
      </w:tr>
      <w:tr w14:paraId="50869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111AA6DC">
            <w:pPr>
              <w:spacing w:line="324" w:lineRule="auto"/>
              <w:rPr>
                <w:rFonts w:ascii="Times New Roman" w:hAnsi="Times New Roman" w:eastAsia="仿宋_GB2312" w:cs="Times New Roman"/>
                <w:color w:val="000000"/>
                <w:sz w:val="30"/>
                <w:szCs w:val="30"/>
              </w:rPr>
            </w:pPr>
          </w:p>
        </w:tc>
        <w:tc>
          <w:tcPr>
            <w:tcW w:w="1619" w:type="dxa"/>
            <w:noWrap w:val="0"/>
            <w:vAlign w:val="top"/>
          </w:tcPr>
          <w:p w14:paraId="2B8F2395">
            <w:pPr>
              <w:spacing w:line="324" w:lineRule="auto"/>
              <w:rPr>
                <w:rFonts w:ascii="Times New Roman" w:hAnsi="Times New Roman" w:eastAsia="仿宋_GB2312" w:cs="Times New Roman"/>
                <w:color w:val="000000"/>
                <w:sz w:val="30"/>
                <w:szCs w:val="30"/>
              </w:rPr>
            </w:pPr>
          </w:p>
        </w:tc>
        <w:tc>
          <w:tcPr>
            <w:tcW w:w="850" w:type="dxa"/>
            <w:noWrap w:val="0"/>
            <w:vAlign w:val="top"/>
          </w:tcPr>
          <w:p w14:paraId="79C5154B">
            <w:pPr>
              <w:spacing w:line="324" w:lineRule="auto"/>
              <w:rPr>
                <w:rFonts w:ascii="Times New Roman" w:hAnsi="Times New Roman" w:eastAsia="仿宋_GB2312" w:cs="Times New Roman"/>
                <w:color w:val="000000"/>
                <w:sz w:val="30"/>
                <w:szCs w:val="30"/>
              </w:rPr>
            </w:pPr>
          </w:p>
        </w:tc>
        <w:tc>
          <w:tcPr>
            <w:tcW w:w="1058" w:type="dxa"/>
            <w:noWrap w:val="0"/>
            <w:vAlign w:val="top"/>
          </w:tcPr>
          <w:p w14:paraId="58223FEE">
            <w:pPr>
              <w:spacing w:line="324" w:lineRule="auto"/>
              <w:rPr>
                <w:rFonts w:ascii="Times New Roman" w:hAnsi="Times New Roman" w:eastAsia="仿宋_GB2312" w:cs="Times New Roman"/>
                <w:color w:val="000000"/>
                <w:sz w:val="30"/>
                <w:szCs w:val="30"/>
              </w:rPr>
            </w:pPr>
          </w:p>
        </w:tc>
        <w:tc>
          <w:tcPr>
            <w:tcW w:w="753" w:type="dxa"/>
            <w:noWrap w:val="0"/>
            <w:vAlign w:val="top"/>
          </w:tcPr>
          <w:p w14:paraId="0B890BC1">
            <w:pPr>
              <w:spacing w:line="324" w:lineRule="auto"/>
              <w:rPr>
                <w:rFonts w:ascii="Times New Roman" w:hAnsi="Times New Roman" w:eastAsia="仿宋_GB2312" w:cs="Times New Roman"/>
                <w:color w:val="000000"/>
                <w:sz w:val="30"/>
                <w:szCs w:val="30"/>
              </w:rPr>
            </w:pPr>
          </w:p>
        </w:tc>
        <w:tc>
          <w:tcPr>
            <w:tcW w:w="1439" w:type="dxa"/>
            <w:noWrap w:val="0"/>
            <w:vAlign w:val="top"/>
          </w:tcPr>
          <w:p w14:paraId="18D95F1C">
            <w:pPr>
              <w:spacing w:line="324" w:lineRule="auto"/>
              <w:rPr>
                <w:rFonts w:ascii="Times New Roman" w:hAnsi="Times New Roman" w:eastAsia="仿宋_GB2312" w:cs="Times New Roman"/>
                <w:color w:val="000000"/>
                <w:sz w:val="30"/>
                <w:szCs w:val="30"/>
              </w:rPr>
            </w:pPr>
          </w:p>
        </w:tc>
        <w:tc>
          <w:tcPr>
            <w:tcW w:w="1451" w:type="dxa"/>
            <w:noWrap w:val="0"/>
            <w:vAlign w:val="top"/>
          </w:tcPr>
          <w:p w14:paraId="339F0B98">
            <w:pPr>
              <w:spacing w:line="324" w:lineRule="auto"/>
              <w:rPr>
                <w:rFonts w:ascii="Times New Roman" w:hAnsi="Times New Roman" w:eastAsia="仿宋_GB2312" w:cs="Times New Roman"/>
                <w:color w:val="000000"/>
                <w:sz w:val="30"/>
                <w:szCs w:val="30"/>
              </w:rPr>
            </w:pPr>
          </w:p>
        </w:tc>
        <w:tc>
          <w:tcPr>
            <w:tcW w:w="757" w:type="dxa"/>
            <w:noWrap w:val="0"/>
            <w:vAlign w:val="top"/>
          </w:tcPr>
          <w:p w14:paraId="5871D2E5">
            <w:pPr>
              <w:spacing w:line="324" w:lineRule="auto"/>
              <w:rPr>
                <w:rFonts w:ascii="Times New Roman" w:hAnsi="Times New Roman" w:eastAsia="仿宋_GB2312" w:cs="Times New Roman"/>
                <w:color w:val="000000"/>
                <w:sz w:val="30"/>
                <w:szCs w:val="30"/>
              </w:rPr>
            </w:pPr>
          </w:p>
        </w:tc>
        <w:tc>
          <w:tcPr>
            <w:tcW w:w="921" w:type="dxa"/>
            <w:noWrap w:val="0"/>
            <w:vAlign w:val="top"/>
          </w:tcPr>
          <w:p w14:paraId="643C02E7">
            <w:pPr>
              <w:spacing w:line="324" w:lineRule="auto"/>
              <w:rPr>
                <w:rFonts w:ascii="Times New Roman" w:hAnsi="Times New Roman" w:eastAsia="仿宋_GB2312" w:cs="Times New Roman"/>
                <w:color w:val="000000"/>
                <w:sz w:val="30"/>
                <w:szCs w:val="30"/>
              </w:rPr>
            </w:pPr>
          </w:p>
        </w:tc>
      </w:tr>
      <w:tr w14:paraId="05C3E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58C891D7">
            <w:pPr>
              <w:spacing w:line="324" w:lineRule="auto"/>
              <w:rPr>
                <w:rFonts w:ascii="Times New Roman" w:hAnsi="Times New Roman" w:eastAsia="仿宋_GB2312" w:cs="Times New Roman"/>
                <w:color w:val="000000"/>
                <w:sz w:val="30"/>
                <w:szCs w:val="30"/>
              </w:rPr>
            </w:pPr>
          </w:p>
        </w:tc>
        <w:tc>
          <w:tcPr>
            <w:tcW w:w="1619" w:type="dxa"/>
            <w:noWrap w:val="0"/>
            <w:vAlign w:val="top"/>
          </w:tcPr>
          <w:p w14:paraId="2CECCF4C">
            <w:pPr>
              <w:spacing w:line="324" w:lineRule="auto"/>
              <w:rPr>
                <w:rFonts w:ascii="Times New Roman" w:hAnsi="Times New Roman" w:eastAsia="仿宋_GB2312" w:cs="Times New Roman"/>
                <w:color w:val="000000"/>
                <w:sz w:val="30"/>
                <w:szCs w:val="30"/>
              </w:rPr>
            </w:pPr>
          </w:p>
        </w:tc>
        <w:tc>
          <w:tcPr>
            <w:tcW w:w="850" w:type="dxa"/>
            <w:noWrap w:val="0"/>
            <w:vAlign w:val="top"/>
          </w:tcPr>
          <w:p w14:paraId="7118BCA0">
            <w:pPr>
              <w:spacing w:line="324" w:lineRule="auto"/>
              <w:rPr>
                <w:rFonts w:ascii="Times New Roman" w:hAnsi="Times New Roman" w:eastAsia="仿宋_GB2312" w:cs="Times New Roman"/>
                <w:color w:val="000000"/>
                <w:sz w:val="30"/>
                <w:szCs w:val="30"/>
              </w:rPr>
            </w:pPr>
          </w:p>
        </w:tc>
        <w:tc>
          <w:tcPr>
            <w:tcW w:w="1058" w:type="dxa"/>
            <w:noWrap w:val="0"/>
            <w:vAlign w:val="top"/>
          </w:tcPr>
          <w:p w14:paraId="6BCA2B1B">
            <w:pPr>
              <w:spacing w:line="324" w:lineRule="auto"/>
              <w:rPr>
                <w:rFonts w:ascii="Times New Roman" w:hAnsi="Times New Roman" w:eastAsia="仿宋_GB2312" w:cs="Times New Roman"/>
                <w:color w:val="000000"/>
                <w:sz w:val="30"/>
                <w:szCs w:val="30"/>
              </w:rPr>
            </w:pPr>
          </w:p>
        </w:tc>
        <w:tc>
          <w:tcPr>
            <w:tcW w:w="753" w:type="dxa"/>
            <w:noWrap w:val="0"/>
            <w:vAlign w:val="top"/>
          </w:tcPr>
          <w:p w14:paraId="3A4A31B7">
            <w:pPr>
              <w:spacing w:line="324" w:lineRule="auto"/>
              <w:rPr>
                <w:rFonts w:ascii="Times New Roman" w:hAnsi="Times New Roman" w:eastAsia="仿宋_GB2312" w:cs="Times New Roman"/>
                <w:color w:val="000000"/>
                <w:sz w:val="30"/>
                <w:szCs w:val="30"/>
              </w:rPr>
            </w:pPr>
          </w:p>
        </w:tc>
        <w:tc>
          <w:tcPr>
            <w:tcW w:w="1439" w:type="dxa"/>
            <w:noWrap w:val="0"/>
            <w:vAlign w:val="top"/>
          </w:tcPr>
          <w:p w14:paraId="724CDB9C">
            <w:pPr>
              <w:spacing w:line="324" w:lineRule="auto"/>
              <w:rPr>
                <w:rFonts w:ascii="Times New Roman" w:hAnsi="Times New Roman" w:eastAsia="仿宋_GB2312" w:cs="Times New Roman"/>
                <w:color w:val="000000"/>
                <w:sz w:val="30"/>
                <w:szCs w:val="30"/>
              </w:rPr>
            </w:pPr>
          </w:p>
        </w:tc>
        <w:tc>
          <w:tcPr>
            <w:tcW w:w="1451" w:type="dxa"/>
            <w:noWrap w:val="0"/>
            <w:vAlign w:val="top"/>
          </w:tcPr>
          <w:p w14:paraId="76FEE0F0">
            <w:pPr>
              <w:spacing w:line="324" w:lineRule="auto"/>
              <w:rPr>
                <w:rFonts w:ascii="Times New Roman" w:hAnsi="Times New Roman" w:eastAsia="仿宋_GB2312" w:cs="Times New Roman"/>
                <w:color w:val="000000"/>
                <w:sz w:val="30"/>
                <w:szCs w:val="30"/>
              </w:rPr>
            </w:pPr>
          </w:p>
        </w:tc>
        <w:tc>
          <w:tcPr>
            <w:tcW w:w="757" w:type="dxa"/>
            <w:noWrap w:val="0"/>
            <w:vAlign w:val="top"/>
          </w:tcPr>
          <w:p w14:paraId="565EC61C">
            <w:pPr>
              <w:spacing w:line="324" w:lineRule="auto"/>
              <w:rPr>
                <w:rFonts w:ascii="Times New Roman" w:hAnsi="Times New Roman" w:eastAsia="仿宋_GB2312" w:cs="Times New Roman"/>
                <w:color w:val="000000"/>
                <w:sz w:val="30"/>
                <w:szCs w:val="30"/>
              </w:rPr>
            </w:pPr>
          </w:p>
        </w:tc>
        <w:tc>
          <w:tcPr>
            <w:tcW w:w="921" w:type="dxa"/>
            <w:noWrap w:val="0"/>
            <w:vAlign w:val="top"/>
          </w:tcPr>
          <w:p w14:paraId="5FD6E3CC">
            <w:pPr>
              <w:spacing w:line="324" w:lineRule="auto"/>
              <w:rPr>
                <w:rFonts w:ascii="Times New Roman" w:hAnsi="Times New Roman" w:eastAsia="仿宋_GB2312" w:cs="Times New Roman"/>
                <w:color w:val="000000"/>
                <w:sz w:val="30"/>
                <w:szCs w:val="30"/>
              </w:rPr>
            </w:pPr>
          </w:p>
        </w:tc>
      </w:tr>
      <w:tr w14:paraId="0D4DB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2C0AA0F0">
            <w:pPr>
              <w:spacing w:line="324" w:lineRule="auto"/>
              <w:rPr>
                <w:rFonts w:ascii="Times New Roman" w:hAnsi="Times New Roman" w:eastAsia="仿宋_GB2312" w:cs="Times New Roman"/>
                <w:color w:val="000000"/>
                <w:sz w:val="30"/>
                <w:szCs w:val="30"/>
              </w:rPr>
            </w:pPr>
          </w:p>
        </w:tc>
        <w:tc>
          <w:tcPr>
            <w:tcW w:w="1619" w:type="dxa"/>
            <w:noWrap w:val="0"/>
            <w:vAlign w:val="top"/>
          </w:tcPr>
          <w:p w14:paraId="73B39F56">
            <w:pPr>
              <w:spacing w:line="324" w:lineRule="auto"/>
              <w:rPr>
                <w:rFonts w:ascii="Times New Roman" w:hAnsi="Times New Roman" w:eastAsia="仿宋_GB2312" w:cs="Times New Roman"/>
                <w:color w:val="000000"/>
                <w:sz w:val="30"/>
                <w:szCs w:val="30"/>
              </w:rPr>
            </w:pPr>
          </w:p>
        </w:tc>
        <w:tc>
          <w:tcPr>
            <w:tcW w:w="850" w:type="dxa"/>
            <w:noWrap w:val="0"/>
            <w:vAlign w:val="top"/>
          </w:tcPr>
          <w:p w14:paraId="3F5CE86B">
            <w:pPr>
              <w:spacing w:line="324" w:lineRule="auto"/>
              <w:rPr>
                <w:rFonts w:ascii="Times New Roman" w:hAnsi="Times New Roman" w:eastAsia="仿宋_GB2312" w:cs="Times New Roman"/>
                <w:color w:val="000000"/>
                <w:sz w:val="30"/>
                <w:szCs w:val="30"/>
              </w:rPr>
            </w:pPr>
          </w:p>
        </w:tc>
        <w:tc>
          <w:tcPr>
            <w:tcW w:w="1058" w:type="dxa"/>
            <w:noWrap w:val="0"/>
            <w:vAlign w:val="top"/>
          </w:tcPr>
          <w:p w14:paraId="48C7EDA4">
            <w:pPr>
              <w:spacing w:line="324" w:lineRule="auto"/>
              <w:rPr>
                <w:rFonts w:ascii="Times New Roman" w:hAnsi="Times New Roman" w:eastAsia="仿宋_GB2312" w:cs="Times New Roman"/>
                <w:color w:val="000000"/>
                <w:sz w:val="30"/>
                <w:szCs w:val="30"/>
              </w:rPr>
            </w:pPr>
          </w:p>
        </w:tc>
        <w:tc>
          <w:tcPr>
            <w:tcW w:w="753" w:type="dxa"/>
            <w:noWrap w:val="0"/>
            <w:vAlign w:val="top"/>
          </w:tcPr>
          <w:p w14:paraId="5E4DA270">
            <w:pPr>
              <w:spacing w:line="324" w:lineRule="auto"/>
              <w:rPr>
                <w:rFonts w:ascii="Times New Roman" w:hAnsi="Times New Roman" w:eastAsia="仿宋_GB2312" w:cs="Times New Roman"/>
                <w:color w:val="000000"/>
                <w:sz w:val="30"/>
                <w:szCs w:val="30"/>
              </w:rPr>
            </w:pPr>
          </w:p>
        </w:tc>
        <w:tc>
          <w:tcPr>
            <w:tcW w:w="1439" w:type="dxa"/>
            <w:noWrap w:val="0"/>
            <w:vAlign w:val="top"/>
          </w:tcPr>
          <w:p w14:paraId="68C61376">
            <w:pPr>
              <w:spacing w:line="324" w:lineRule="auto"/>
              <w:rPr>
                <w:rFonts w:ascii="Times New Roman" w:hAnsi="Times New Roman" w:eastAsia="仿宋_GB2312" w:cs="Times New Roman"/>
                <w:color w:val="000000"/>
                <w:sz w:val="30"/>
                <w:szCs w:val="30"/>
              </w:rPr>
            </w:pPr>
          </w:p>
        </w:tc>
        <w:tc>
          <w:tcPr>
            <w:tcW w:w="1451" w:type="dxa"/>
            <w:noWrap w:val="0"/>
            <w:vAlign w:val="top"/>
          </w:tcPr>
          <w:p w14:paraId="73FA8B6D">
            <w:pPr>
              <w:spacing w:line="324" w:lineRule="auto"/>
              <w:rPr>
                <w:rFonts w:ascii="Times New Roman" w:hAnsi="Times New Roman" w:eastAsia="仿宋_GB2312" w:cs="Times New Roman"/>
                <w:color w:val="000000"/>
                <w:sz w:val="30"/>
                <w:szCs w:val="30"/>
              </w:rPr>
            </w:pPr>
          </w:p>
        </w:tc>
        <w:tc>
          <w:tcPr>
            <w:tcW w:w="757" w:type="dxa"/>
            <w:noWrap w:val="0"/>
            <w:vAlign w:val="top"/>
          </w:tcPr>
          <w:p w14:paraId="551DC6B0">
            <w:pPr>
              <w:spacing w:line="324" w:lineRule="auto"/>
              <w:rPr>
                <w:rFonts w:ascii="Times New Roman" w:hAnsi="Times New Roman" w:eastAsia="仿宋_GB2312" w:cs="Times New Roman"/>
                <w:color w:val="000000"/>
                <w:sz w:val="30"/>
                <w:szCs w:val="30"/>
              </w:rPr>
            </w:pPr>
          </w:p>
        </w:tc>
        <w:tc>
          <w:tcPr>
            <w:tcW w:w="921" w:type="dxa"/>
            <w:noWrap w:val="0"/>
            <w:vAlign w:val="top"/>
          </w:tcPr>
          <w:p w14:paraId="596318F5">
            <w:pPr>
              <w:spacing w:line="324" w:lineRule="auto"/>
              <w:rPr>
                <w:rFonts w:ascii="Times New Roman" w:hAnsi="Times New Roman" w:eastAsia="仿宋_GB2312" w:cs="Times New Roman"/>
                <w:color w:val="000000"/>
                <w:sz w:val="30"/>
                <w:szCs w:val="30"/>
              </w:rPr>
            </w:pPr>
          </w:p>
        </w:tc>
      </w:tr>
      <w:tr w14:paraId="1C6AE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26156651">
            <w:pPr>
              <w:spacing w:line="324" w:lineRule="auto"/>
              <w:rPr>
                <w:rFonts w:ascii="Times New Roman" w:hAnsi="Times New Roman" w:eastAsia="仿宋_GB2312" w:cs="Times New Roman"/>
                <w:color w:val="000000"/>
                <w:sz w:val="30"/>
                <w:szCs w:val="30"/>
              </w:rPr>
            </w:pPr>
          </w:p>
        </w:tc>
        <w:tc>
          <w:tcPr>
            <w:tcW w:w="1619" w:type="dxa"/>
            <w:noWrap w:val="0"/>
            <w:vAlign w:val="top"/>
          </w:tcPr>
          <w:p w14:paraId="7A8F8515">
            <w:pPr>
              <w:spacing w:line="324" w:lineRule="auto"/>
              <w:rPr>
                <w:rFonts w:ascii="Times New Roman" w:hAnsi="Times New Roman" w:eastAsia="仿宋_GB2312" w:cs="Times New Roman"/>
                <w:color w:val="000000"/>
                <w:sz w:val="30"/>
                <w:szCs w:val="30"/>
              </w:rPr>
            </w:pPr>
          </w:p>
        </w:tc>
        <w:tc>
          <w:tcPr>
            <w:tcW w:w="850" w:type="dxa"/>
            <w:noWrap w:val="0"/>
            <w:vAlign w:val="top"/>
          </w:tcPr>
          <w:p w14:paraId="0580C150">
            <w:pPr>
              <w:spacing w:line="324" w:lineRule="auto"/>
              <w:rPr>
                <w:rFonts w:ascii="Times New Roman" w:hAnsi="Times New Roman" w:eastAsia="仿宋_GB2312" w:cs="Times New Roman"/>
                <w:color w:val="000000"/>
                <w:sz w:val="30"/>
                <w:szCs w:val="30"/>
              </w:rPr>
            </w:pPr>
          </w:p>
        </w:tc>
        <w:tc>
          <w:tcPr>
            <w:tcW w:w="1058" w:type="dxa"/>
            <w:noWrap w:val="0"/>
            <w:vAlign w:val="top"/>
          </w:tcPr>
          <w:p w14:paraId="4B961EC4">
            <w:pPr>
              <w:spacing w:line="324" w:lineRule="auto"/>
              <w:rPr>
                <w:rFonts w:ascii="Times New Roman" w:hAnsi="Times New Roman" w:eastAsia="仿宋_GB2312" w:cs="Times New Roman"/>
                <w:color w:val="000000"/>
                <w:sz w:val="30"/>
                <w:szCs w:val="30"/>
              </w:rPr>
            </w:pPr>
          </w:p>
        </w:tc>
        <w:tc>
          <w:tcPr>
            <w:tcW w:w="753" w:type="dxa"/>
            <w:noWrap w:val="0"/>
            <w:vAlign w:val="top"/>
          </w:tcPr>
          <w:p w14:paraId="56C5F03E">
            <w:pPr>
              <w:spacing w:line="324" w:lineRule="auto"/>
              <w:rPr>
                <w:rFonts w:ascii="Times New Roman" w:hAnsi="Times New Roman" w:eastAsia="仿宋_GB2312" w:cs="Times New Roman"/>
                <w:color w:val="000000"/>
                <w:sz w:val="30"/>
                <w:szCs w:val="30"/>
              </w:rPr>
            </w:pPr>
          </w:p>
        </w:tc>
        <w:tc>
          <w:tcPr>
            <w:tcW w:w="1439" w:type="dxa"/>
            <w:noWrap w:val="0"/>
            <w:vAlign w:val="top"/>
          </w:tcPr>
          <w:p w14:paraId="0EF08D52">
            <w:pPr>
              <w:spacing w:line="324" w:lineRule="auto"/>
              <w:rPr>
                <w:rFonts w:ascii="Times New Roman" w:hAnsi="Times New Roman" w:eastAsia="仿宋_GB2312" w:cs="Times New Roman"/>
                <w:color w:val="000000"/>
                <w:sz w:val="30"/>
                <w:szCs w:val="30"/>
              </w:rPr>
            </w:pPr>
          </w:p>
        </w:tc>
        <w:tc>
          <w:tcPr>
            <w:tcW w:w="1451" w:type="dxa"/>
            <w:noWrap w:val="0"/>
            <w:vAlign w:val="top"/>
          </w:tcPr>
          <w:p w14:paraId="076FD837">
            <w:pPr>
              <w:spacing w:line="324" w:lineRule="auto"/>
              <w:rPr>
                <w:rFonts w:ascii="Times New Roman" w:hAnsi="Times New Roman" w:eastAsia="仿宋_GB2312" w:cs="Times New Roman"/>
                <w:color w:val="000000"/>
                <w:sz w:val="30"/>
                <w:szCs w:val="30"/>
              </w:rPr>
            </w:pPr>
          </w:p>
        </w:tc>
        <w:tc>
          <w:tcPr>
            <w:tcW w:w="757" w:type="dxa"/>
            <w:noWrap w:val="0"/>
            <w:vAlign w:val="top"/>
          </w:tcPr>
          <w:p w14:paraId="7725AA1B">
            <w:pPr>
              <w:spacing w:line="324" w:lineRule="auto"/>
              <w:rPr>
                <w:rFonts w:ascii="Times New Roman" w:hAnsi="Times New Roman" w:eastAsia="仿宋_GB2312" w:cs="Times New Roman"/>
                <w:color w:val="000000"/>
                <w:sz w:val="30"/>
                <w:szCs w:val="30"/>
              </w:rPr>
            </w:pPr>
          </w:p>
        </w:tc>
        <w:tc>
          <w:tcPr>
            <w:tcW w:w="921" w:type="dxa"/>
            <w:noWrap w:val="0"/>
            <w:vAlign w:val="top"/>
          </w:tcPr>
          <w:p w14:paraId="6F5796B1">
            <w:pPr>
              <w:spacing w:line="324" w:lineRule="auto"/>
              <w:rPr>
                <w:rFonts w:ascii="Times New Roman" w:hAnsi="Times New Roman" w:eastAsia="仿宋_GB2312" w:cs="Times New Roman"/>
                <w:color w:val="000000"/>
                <w:sz w:val="30"/>
                <w:szCs w:val="30"/>
              </w:rPr>
            </w:pPr>
          </w:p>
        </w:tc>
      </w:tr>
      <w:tr w14:paraId="4238D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123C183E">
            <w:pPr>
              <w:spacing w:line="324" w:lineRule="auto"/>
              <w:rPr>
                <w:rFonts w:ascii="Times New Roman" w:hAnsi="Times New Roman" w:eastAsia="仿宋_GB2312" w:cs="Times New Roman"/>
                <w:color w:val="000000"/>
                <w:sz w:val="30"/>
                <w:szCs w:val="30"/>
              </w:rPr>
            </w:pPr>
          </w:p>
        </w:tc>
        <w:tc>
          <w:tcPr>
            <w:tcW w:w="1619" w:type="dxa"/>
            <w:noWrap w:val="0"/>
            <w:vAlign w:val="top"/>
          </w:tcPr>
          <w:p w14:paraId="4FD27C1C">
            <w:pPr>
              <w:spacing w:line="324" w:lineRule="auto"/>
              <w:rPr>
                <w:rFonts w:ascii="Times New Roman" w:hAnsi="Times New Roman" w:eastAsia="仿宋_GB2312" w:cs="Times New Roman"/>
                <w:color w:val="000000"/>
                <w:sz w:val="30"/>
                <w:szCs w:val="30"/>
              </w:rPr>
            </w:pPr>
          </w:p>
        </w:tc>
        <w:tc>
          <w:tcPr>
            <w:tcW w:w="850" w:type="dxa"/>
            <w:noWrap w:val="0"/>
            <w:vAlign w:val="top"/>
          </w:tcPr>
          <w:p w14:paraId="6797139A">
            <w:pPr>
              <w:spacing w:line="324" w:lineRule="auto"/>
              <w:rPr>
                <w:rFonts w:ascii="Times New Roman" w:hAnsi="Times New Roman" w:eastAsia="仿宋_GB2312" w:cs="Times New Roman"/>
                <w:color w:val="000000"/>
                <w:sz w:val="30"/>
                <w:szCs w:val="30"/>
              </w:rPr>
            </w:pPr>
          </w:p>
        </w:tc>
        <w:tc>
          <w:tcPr>
            <w:tcW w:w="1058" w:type="dxa"/>
            <w:noWrap w:val="0"/>
            <w:vAlign w:val="top"/>
          </w:tcPr>
          <w:p w14:paraId="6C1C1148">
            <w:pPr>
              <w:spacing w:line="324" w:lineRule="auto"/>
              <w:rPr>
                <w:rFonts w:ascii="Times New Roman" w:hAnsi="Times New Roman" w:eastAsia="仿宋_GB2312" w:cs="Times New Roman"/>
                <w:color w:val="000000"/>
                <w:sz w:val="30"/>
                <w:szCs w:val="30"/>
              </w:rPr>
            </w:pPr>
          </w:p>
        </w:tc>
        <w:tc>
          <w:tcPr>
            <w:tcW w:w="753" w:type="dxa"/>
            <w:noWrap w:val="0"/>
            <w:vAlign w:val="top"/>
          </w:tcPr>
          <w:p w14:paraId="6A3B9E23">
            <w:pPr>
              <w:spacing w:line="324" w:lineRule="auto"/>
              <w:rPr>
                <w:rFonts w:ascii="Times New Roman" w:hAnsi="Times New Roman" w:eastAsia="仿宋_GB2312" w:cs="Times New Roman"/>
                <w:color w:val="000000"/>
                <w:sz w:val="30"/>
                <w:szCs w:val="30"/>
              </w:rPr>
            </w:pPr>
          </w:p>
        </w:tc>
        <w:tc>
          <w:tcPr>
            <w:tcW w:w="1439" w:type="dxa"/>
            <w:noWrap w:val="0"/>
            <w:vAlign w:val="top"/>
          </w:tcPr>
          <w:p w14:paraId="1DA14DCA">
            <w:pPr>
              <w:spacing w:line="324" w:lineRule="auto"/>
              <w:rPr>
                <w:rFonts w:ascii="Times New Roman" w:hAnsi="Times New Roman" w:eastAsia="仿宋_GB2312" w:cs="Times New Roman"/>
                <w:color w:val="000000"/>
                <w:sz w:val="30"/>
                <w:szCs w:val="30"/>
              </w:rPr>
            </w:pPr>
          </w:p>
        </w:tc>
        <w:tc>
          <w:tcPr>
            <w:tcW w:w="1451" w:type="dxa"/>
            <w:noWrap w:val="0"/>
            <w:vAlign w:val="top"/>
          </w:tcPr>
          <w:p w14:paraId="59100640">
            <w:pPr>
              <w:spacing w:line="324" w:lineRule="auto"/>
              <w:rPr>
                <w:rFonts w:ascii="Times New Roman" w:hAnsi="Times New Roman" w:eastAsia="仿宋_GB2312" w:cs="Times New Roman"/>
                <w:color w:val="000000"/>
                <w:sz w:val="30"/>
                <w:szCs w:val="30"/>
              </w:rPr>
            </w:pPr>
          </w:p>
        </w:tc>
        <w:tc>
          <w:tcPr>
            <w:tcW w:w="757" w:type="dxa"/>
            <w:noWrap w:val="0"/>
            <w:vAlign w:val="top"/>
          </w:tcPr>
          <w:p w14:paraId="11C056B9">
            <w:pPr>
              <w:spacing w:line="324" w:lineRule="auto"/>
              <w:rPr>
                <w:rFonts w:ascii="Times New Roman" w:hAnsi="Times New Roman" w:eastAsia="仿宋_GB2312" w:cs="Times New Roman"/>
                <w:color w:val="000000"/>
                <w:sz w:val="30"/>
                <w:szCs w:val="30"/>
              </w:rPr>
            </w:pPr>
          </w:p>
        </w:tc>
        <w:tc>
          <w:tcPr>
            <w:tcW w:w="921" w:type="dxa"/>
            <w:noWrap w:val="0"/>
            <w:vAlign w:val="top"/>
          </w:tcPr>
          <w:p w14:paraId="77996587">
            <w:pPr>
              <w:spacing w:line="324" w:lineRule="auto"/>
              <w:rPr>
                <w:rFonts w:ascii="Times New Roman" w:hAnsi="Times New Roman" w:eastAsia="仿宋_GB2312" w:cs="Times New Roman"/>
                <w:color w:val="000000"/>
                <w:sz w:val="30"/>
                <w:szCs w:val="30"/>
              </w:rPr>
            </w:pPr>
          </w:p>
        </w:tc>
      </w:tr>
      <w:tr w14:paraId="51C0B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61" w:type="dxa"/>
            <w:noWrap w:val="0"/>
            <w:vAlign w:val="top"/>
          </w:tcPr>
          <w:p w14:paraId="1EF9FD41">
            <w:pPr>
              <w:spacing w:line="324" w:lineRule="auto"/>
              <w:rPr>
                <w:rFonts w:ascii="Times New Roman" w:hAnsi="Times New Roman" w:eastAsia="仿宋_GB2312" w:cs="Times New Roman"/>
                <w:color w:val="000000"/>
                <w:sz w:val="30"/>
                <w:szCs w:val="30"/>
              </w:rPr>
            </w:pPr>
          </w:p>
        </w:tc>
        <w:tc>
          <w:tcPr>
            <w:tcW w:w="1619" w:type="dxa"/>
            <w:noWrap w:val="0"/>
            <w:vAlign w:val="top"/>
          </w:tcPr>
          <w:p w14:paraId="5BABBDAD">
            <w:pPr>
              <w:spacing w:line="324" w:lineRule="auto"/>
              <w:rPr>
                <w:rFonts w:ascii="Times New Roman" w:hAnsi="Times New Roman" w:eastAsia="仿宋_GB2312" w:cs="Times New Roman"/>
                <w:color w:val="000000"/>
                <w:sz w:val="30"/>
                <w:szCs w:val="30"/>
              </w:rPr>
            </w:pPr>
          </w:p>
        </w:tc>
        <w:tc>
          <w:tcPr>
            <w:tcW w:w="850" w:type="dxa"/>
            <w:noWrap w:val="0"/>
            <w:vAlign w:val="top"/>
          </w:tcPr>
          <w:p w14:paraId="5AB5123C">
            <w:pPr>
              <w:spacing w:line="324" w:lineRule="auto"/>
              <w:rPr>
                <w:rFonts w:ascii="Times New Roman" w:hAnsi="Times New Roman" w:eastAsia="仿宋_GB2312" w:cs="Times New Roman"/>
                <w:color w:val="000000"/>
                <w:sz w:val="30"/>
                <w:szCs w:val="30"/>
              </w:rPr>
            </w:pPr>
          </w:p>
        </w:tc>
        <w:tc>
          <w:tcPr>
            <w:tcW w:w="1058" w:type="dxa"/>
            <w:noWrap w:val="0"/>
            <w:vAlign w:val="top"/>
          </w:tcPr>
          <w:p w14:paraId="4FD37BA7">
            <w:pPr>
              <w:spacing w:line="324" w:lineRule="auto"/>
              <w:rPr>
                <w:rFonts w:ascii="Times New Roman" w:hAnsi="Times New Roman" w:eastAsia="仿宋_GB2312" w:cs="Times New Roman"/>
                <w:color w:val="000000"/>
                <w:sz w:val="30"/>
                <w:szCs w:val="30"/>
              </w:rPr>
            </w:pPr>
          </w:p>
        </w:tc>
        <w:tc>
          <w:tcPr>
            <w:tcW w:w="753" w:type="dxa"/>
            <w:noWrap w:val="0"/>
            <w:vAlign w:val="top"/>
          </w:tcPr>
          <w:p w14:paraId="6E95D82C">
            <w:pPr>
              <w:spacing w:line="324" w:lineRule="auto"/>
              <w:rPr>
                <w:rFonts w:ascii="Times New Roman" w:hAnsi="Times New Roman" w:eastAsia="仿宋_GB2312" w:cs="Times New Roman"/>
                <w:color w:val="000000"/>
                <w:sz w:val="30"/>
                <w:szCs w:val="30"/>
              </w:rPr>
            </w:pPr>
          </w:p>
        </w:tc>
        <w:tc>
          <w:tcPr>
            <w:tcW w:w="1439" w:type="dxa"/>
            <w:noWrap w:val="0"/>
            <w:vAlign w:val="top"/>
          </w:tcPr>
          <w:p w14:paraId="2CD2EA4A">
            <w:pPr>
              <w:spacing w:line="324" w:lineRule="auto"/>
              <w:rPr>
                <w:rFonts w:ascii="Times New Roman" w:hAnsi="Times New Roman" w:eastAsia="仿宋_GB2312" w:cs="Times New Roman"/>
                <w:color w:val="000000"/>
                <w:sz w:val="30"/>
                <w:szCs w:val="30"/>
              </w:rPr>
            </w:pPr>
          </w:p>
        </w:tc>
        <w:tc>
          <w:tcPr>
            <w:tcW w:w="1451" w:type="dxa"/>
            <w:noWrap w:val="0"/>
            <w:vAlign w:val="top"/>
          </w:tcPr>
          <w:p w14:paraId="36C35160">
            <w:pPr>
              <w:spacing w:line="324" w:lineRule="auto"/>
              <w:rPr>
                <w:rFonts w:ascii="Times New Roman" w:hAnsi="Times New Roman" w:eastAsia="仿宋_GB2312" w:cs="Times New Roman"/>
                <w:color w:val="000000"/>
                <w:sz w:val="30"/>
                <w:szCs w:val="30"/>
              </w:rPr>
            </w:pPr>
          </w:p>
        </w:tc>
        <w:tc>
          <w:tcPr>
            <w:tcW w:w="757" w:type="dxa"/>
            <w:noWrap w:val="0"/>
            <w:vAlign w:val="top"/>
          </w:tcPr>
          <w:p w14:paraId="1F433DB3">
            <w:pPr>
              <w:spacing w:line="324" w:lineRule="auto"/>
              <w:rPr>
                <w:rFonts w:ascii="Times New Roman" w:hAnsi="Times New Roman" w:eastAsia="仿宋_GB2312" w:cs="Times New Roman"/>
                <w:color w:val="000000"/>
                <w:sz w:val="30"/>
                <w:szCs w:val="30"/>
              </w:rPr>
            </w:pPr>
          </w:p>
        </w:tc>
        <w:tc>
          <w:tcPr>
            <w:tcW w:w="921" w:type="dxa"/>
            <w:noWrap w:val="0"/>
            <w:vAlign w:val="top"/>
          </w:tcPr>
          <w:p w14:paraId="3B373C32">
            <w:pPr>
              <w:spacing w:line="324" w:lineRule="auto"/>
              <w:rPr>
                <w:rFonts w:ascii="Times New Roman" w:hAnsi="Times New Roman" w:eastAsia="仿宋_GB2312" w:cs="Times New Roman"/>
                <w:color w:val="000000"/>
                <w:sz w:val="30"/>
                <w:szCs w:val="30"/>
              </w:rPr>
            </w:pPr>
          </w:p>
        </w:tc>
      </w:tr>
    </w:tbl>
    <w:p w14:paraId="15253141">
      <w:pPr>
        <w:spacing w:line="324" w:lineRule="auto"/>
        <w:rPr>
          <w:rFonts w:hint="eastAsia" w:ascii="仿宋" w:hAnsi="仿宋" w:eastAsia="仿宋" w:cs="仿宋"/>
          <w:b/>
          <w:bCs/>
          <w:sz w:val="24"/>
          <w:szCs w:val="24"/>
          <w:highlight w:val="none"/>
        </w:rPr>
      </w:pPr>
      <w:r>
        <w:rPr>
          <w:rFonts w:hint="eastAsia" w:ascii="仿宋" w:hAnsi="仿宋" w:eastAsia="仿宋" w:cs="仿宋"/>
          <w:b/>
          <w:sz w:val="24"/>
          <w:szCs w:val="24"/>
          <w:highlight w:val="none"/>
        </w:rPr>
        <w:br w:type="page"/>
      </w:r>
    </w:p>
    <w:p w14:paraId="2B07BF03">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18" w:name="_Toc296347227"/>
      <w:bookmarkStart w:id="19" w:name="_Toc296503228"/>
      <w:bookmarkStart w:id="20" w:name="_Toc296891056"/>
      <w:bookmarkStart w:id="21" w:name="_Toc296346729"/>
      <w:bookmarkStart w:id="22" w:name="_Toc296944567"/>
      <w:bookmarkStart w:id="23" w:name="_Toc296891268"/>
      <w:bookmarkStart w:id="24" w:name="_Toc267261699"/>
      <w:r>
        <w:rPr>
          <w:rFonts w:hint="eastAsia" w:ascii="仿宋" w:hAnsi="仿宋" w:eastAsia="仿宋" w:cs="仿宋"/>
          <w:color w:val="000000"/>
          <w:sz w:val="28"/>
          <w:szCs w:val="28"/>
        </w:rPr>
        <w:t>件</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rPr>
        <w:t>：</w:t>
      </w:r>
    </w:p>
    <w:bookmarkEnd w:id="18"/>
    <w:bookmarkEnd w:id="19"/>
    <w:bookmarkEnd w:id="20"/>
    <w:bookmarkEnd w:id="21"/>
    <w:bookmarkEnd w:id="22"/>
    <w:bookmarkEnd w:id="23"/>
    <w:bookmarkEnd w:id="24"/>
    <w:p w14:paraId="3653A4D7">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承包人主要施工管理人员表</w:t>
      </w:r>
    </w:p>
    <w:tbl>
      <w:tblPr>
        <w:tblStyle w:val="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957B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7414E4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名    称</w:t>
            </w:r>
          </w:p>
        </w:tc>
        <w:tc>
          <w:tcPr>
            <w:tcW w:w="1418" w:type="dxa"/>
            <w:tcBorders>
              <w:top w:val="single" w:color="auto" w:sz="12" w:space="0"/>
              <w:bottom w:val="double" w:color="auto" w:sz="6" w:space="0"/>
            </w:tcBorders>
            <w:noWrap w:val="0"/>
            <w:vAlign w:val="center"/>
          </w:tcPr>
          <w:p w14:paraId="6A6435F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姓名</w:t>
            </w:r>
          </w:p>
        </w:tc>
        <w:tc>
          <w:tcPr>
            <w:tcW w:w="1134" w:type="dxa"/>
            <w:tcBorders>
              <w:top w:val="single" w:color="auto" w:sz="12" w:space="0"/>
              <w:bottom w:val="double" w:color="auto" w:sz="6" w:space="0"/>
            </w:tcBorders>
            <w:noWrap w:val="0"/>
            <w:vAlign w:val="center"/>
          </w:tcPr>
          <w:p w14:paraId="1A28F62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职务</w:t>
            </w:r>
          </w:p>
        </w:tc>
        <w:tc>
          <w:tcPr>
            <w:tcW w:w="1134" w:type="dxa"/>
            <w:tcBorders>
              <w:top w:val="single" w:color="auto" w:sz="12" w:space="0"/>
              <w:bottom w:val="double" w:color="auto" w:sz="6" w:space="0"/>
            </w:tcBorders>
            <w:noWrap w:val="0"/>
            <w:vAlign w:val="center"/>
          </w:tcPr>
          <w:p w14:paraId="3B7406B6">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职称</w:t>
            </w:r>
          </w:p>
        </w:tc>
        <w:tc>
          <w:tcPr>
            <w:tcW w:w="4252" w:type="dxa"/>
            <w:tcBorders>
              <w:top w:val="single" w:color="auto" w:sz="12" w:space="0"/>
              <w:bottom w:val="double" w:color="auto" w:sz="6" w:space="0"/>
            </w:tcBorders>
            <w:noWrap w:val="0"/>
            <w:vAlign w:val="center"/>
          </w:tcPr>
          <w:p w14:paraId="2D74943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主要资历、经验及承担过的项目</w:t>
            </w:r>
          </w:p>
        </w:tc>
      </w:tr>
      <w:tr w14:paraId="5C320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CEF7AE7">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一、总部人员</w:t>
            </w:r>
          </w:p>
        </w:tc>
      </w:tr>
      <w:tr w14:paraId="132C8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B20949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项目主管</w:t>
            </w:r>
          </w:p>
        </w:tc>
        <w:tc>
          <w:tcPr>
            <w:tcW w:w="1418" w:type="dxa"/>
            <w:tcBorders>
              <w:top w:val="nil"/>
            </w:tcBorders>
            <w:noWrap w:val="0"/>
            <w:vAlign w:val="center"/>
          </w:tcPr>
          <w:p w14:paraId="2D46AF4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top w:val="nil"/>
            </w:tcBorders>
            <w:noWrap w:val="0"/>
            <w:vAlign w:val="center"/>
          </w:tcPr>
          <w:p w14:paraId="1F66592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top w:val="nil"/>
            </w:tcBorders>
            <w:noWrap w:val="0"/>
            <w:vAlign w:val="center"/>
          </w:tcPr>
          <w:p w14:paraId="38634F3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tcBorders>
              <w:top w:val="nil"/>
            </w:tcBorders>
            <w:noWrap w:val="0"/>
            <w:vAlign w:val="center"/>
          </w:tcPr>
          <w:p w14:paraId="02F4C58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1EF4F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2FF9A9A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其他人员</w:t>
            </w:r>
          </w:p>
        </w:tc>
        <w:tc>
          <w:tcPr>
            <w:tcW w:w="1418" w:type="dxa"/>
            <w:noWrap w:val="0"/>
            <w:vAlign w:val="center"/>
          </w:tcPr>
          <w:p w14:paraId="321A99D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733C56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273CF4C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655A54F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24CDB6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C893EE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noWrap w:val="0"/>
            <w:vAlign w:val="center"/>
          </w:tcPr>
          <w:p w14:paraId="469D32C6">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ACB945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0D5B3E2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5CF63FE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17B3D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0"/>
            <w:vAlign w:val="center"/>
          </w:tcPr>
          <w:p w14:paraId="2795C358">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noWrap w:val="0"/>
            <w:vAlign w:val="center"/>
          </w:tcPr>
          <w:p w14:paraId="45432E7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6354FCE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546254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63756BB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7E6DD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809" w:type="dxa"/>
            <w:gridSpan w:val="5"/>
            <w:tcBorders>
              <w:top w:val="single" w:color="auto" w:sz="6" w:space="0"/>
              <w:bottom w:val="single" w:color="auto" w:sz="6" w:space="0"/>
            </w:tcBorders>
            <w:noWrap w:val="0"/>
            <w:vAlign w:val="center"/>
          </w:tcPr>
          <w:p w14:paraId="3FA2B2F5">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二、现场人员</w:t>
            </w:r>
          </w:p>
        </w:tc>
      </w:tr>
      <w:tr w14:paraId="4E18F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BB5457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项目经理</w:t>
            </w:r>
          </w:p>
        </w:tc>
        <w:tc>
          <w:tcPr>
            <w:tcW w:w="1418" w:type="dxa"/>
            <w:noWrap w:val="0"/>
            <w:vAlign w:val="center"/>
          </w:tcPr>
          <w:p w14:paraId="2D40FF11">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0208184C">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7EE34681">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2DA0C12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3553F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265D1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项目副经理</w:t>
            </w:r>
          </w:p>
        </w:tc>
        <w:tc>
          <w:tcPr>
            <w:tcW w:w="1418" w:type="dxa"/>
            <w:noWrap w:val="0"/>
            <w:vAlign w:val="center"/>
          </w:tcPr>
          <w:p w14:paraId="312D0B2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2D3AB62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396E321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6DBEECE3">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7E5A3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F108688">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技术负责人</w:t>
            </w:r>
          </w:p>
        </w:tc>
        <w:tc>
          <w:tcPr>
            <w:tcW w:w="1418" w:type="dxa"/>
            <w:noWrap w:val="0"/>
            <w:vAlign w:val="center"/>
          </w:tcPr>
          <w:p w14:paraId="64115B4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55F35553">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2084143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05E0F53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54210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50E87D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造价管理</w:t>
            </w:r>
          </w:p>
        </w:tc>
        <w:tc>
          <w:tcPr>
            <w:tcW w:w="1418" w:type="dxa"/>
            <w:noWrap w:val="0"/>
            <w:vAlign w:val="center"/>
          </w:tcPr>
          <w:p w14:paraId="72341B0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53B8D995">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24B7E6E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185A1F3C">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39531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B09690C">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质量管理</w:t>
            </w:r>
          </w:p>
        </w:tc>
        <w:tc>
          <w:tcPr>
            <w:tcW w:w="1418" w:type="dxa"/>
            <w:noWrap w:val="0"/>
            <w:vAlign w:val="center"/>
          </w:tcPr>
          <w:p w14:paraId="0062CF4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2E1CAAC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53C161B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485CD78C">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31DFB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1773F1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材料管理</w:t>
            </w:r>
          </w:p>
        </w:tc>
        <w:tc>
          <w:tcPr>
            <w:tcW w:w="1418" w:type="dxa"/>
            <w:noWrap w:val="0"/>
            <w:vAlign w:val="center"/>
          </w:tcPr>
          <w:p w14:paraId="3DD2F55E">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BC86EF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45CBD2A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68F92696">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4987B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38C9DD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计划管理</w:t>
            </w:r>
          </w:p>
        </w:tc>
        <w:tc>
          <w:tcPr>
            <w:tcW w:w="1418" w:type="dxa"/>
            <w:noWrap w:val="0"/>
            <w:vAlign w:val="center"/>
          </w:tcPr>
          <w:p w14:paraId="6C02A2E7">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7A16B260">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13994C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7FC21CC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72B24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489F63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安全管理</w:t>
            </w:r>
          </w:p>
        </w:tc>
        <w:tc>
          <w:tcPr>
            <w:tcW w:w="1418" w:type="dxa"/>
            <w:noWrap w:val="0"/>
            <w:vAlign w:val="center"/>
          </w:tcPr>
          <w:p w14:paraId="7933619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0B93498C">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0F53F3F6">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474164E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20E9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7B21A1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r>
              <w:rPr>
                <w:rFonts w:ascii="Times New Roman" w:hAnsi="Times New Roman" w:eastAsia="仿宋_GB2312" w:cs="Times New Roman"/>
                <w:color w:val="000000"/>
                <w:kern w:val="2"/>
                <w:sz w:val="24"/>
                <w:szCs w:val="24"/>
                <w:lang w:val="en-US" w:eastAsia="zh-CN" w:bidi="ar-SA"/>
              </w:rPr>
              <w:t>其他人员</w:t>
            </w:r>
          </w:p>
        </w:tc>
        <w:tc>
          <w:tcPr>
            <w:tcW w:w="1418" w:type="dxa"/>
            <w:noWrap w:val="0"/>
            <w:vAlign w:val="center"/>
          </w:tcPr>
          <w:p w14:paraId="74D171B8">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50A72353">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6608378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7468FDA8">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06C3A0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F06B17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tcBorders>
              <w:bottom w:val="nil"/>
            </w:tcBorders>
            <w:noWrap w:val="0"/>
            <w:vAlign w:val="center"/>
          </w:tcPr>
          <w:p w14:paraId="37997ED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bottom w:val="nil"/>
            </w:tcBorders>
            <w:noWrap w:val="0"/>
            <w:vAlign w:val="center"/>
          </w:tcPr>
          <w:p w14:paraId="791503F3">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bottom w:val="nil"/>
            </w:tcBorders>
            <w:noWrap w:val="0"/>
            <w:vAlign w:val="center"/>
          </w:tcPr>
          <w:p w14:paraId="4651890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tcBorders>
              <w:bottom w:val="nil"/>
            </w:tcBorders>
            <w:noWrap w:val="0"/>
            <w:vAlign w:val="center"/>
          </w:tcPr>
          <w:p w14:paraId="302759A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5148D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003AA3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noWrap w:val="0"/>
            <w:vAlign w:val="center"/>
          </w:tcPr>
          <w:p w14:paraId="4271D13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BD90AF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08D909CA">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44102A41">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72B0E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5AFC2B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noWrap w:val="0"/>
            <w:vAlign w:val="center"/>
          </w:tcPr>
          <w:p w14:paraId="2EDF15B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4B0CC4D">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4379BB1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2C8694A3">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2FC55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411E3A5">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noWrap w:val="0"/>
            <w:vAlign w:val="center"/>
          </w:tcPr>
          <w:p w14:paraId="0DB17B4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44C8A099">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noWrap w:val="0"/>
            <w:vAlign w:val="center"/>
          </w:tcPr>
          <w:p w14:paraId="110BD1A8">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noWrap w:val="0"/>
            <w:vAlign w:val="center"/>
          </w:tcPr>
          <w:p w14:paraId="322E0A1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r w14:paraId="23AAE0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41D2002">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418" w:type="dxa"/>
            <w:tcBorders>
              <w:bottom w:val="single" w:color="auto" w:sz="12" w:space="0"/>
            </w:tcBorders>
            <w:noWrap w:val="0"/>
            <w:vAlign w:val="center"/>
          </w:tcPr>
          <w:p w14:paraId="72E39295">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bottom w:val="single" w:color="auto" w:sz="12" w:space="0"/>
            </w:tcBorders>
            <w:noWrap w:val="0"/>
            <w:vAlign w:val="center"/>
          </w:tcPr>
          <w:p w14:paraId="5BFDCB5F">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1134" w:type="dxa"/>
            <w:tcBorders>
              <w:bottom w:val="single" w:color="auto" w:sz="12" w:space="0"/>
            </w:tcBorders>
            <w:noWrap w:val="0"/>
            <w:vAlign w:val="center"/>
          </w:tcPr>
          <w:p w14:paraId="5165DABB">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c>
          <w:tcPr>
            <w:tcW w:w="4252" w:type="dxa"/>
            <w:tcBorders>
              <w:bottom w:val="single" w:color="auto" w:sz="12" w:space="0"/>
            </w:tcBorders>
            <w:noWrap w:val="0"/>
            <w:vAlign w:val="center"/>
          </w:tcPr>
          <w:p w14:paraId="731EF974">
            <w:pPr>
              <w:keepNext/>
              <w:widowControl w:val="0"/>
              <w:spacing w:after="0" w:line="440" w:lineRule="exact"/>
              <w:ind w:left="63" w:right="63"/>
              <w:jc w:val="both"/>
              <w:rPr>
                <w:rFonts w:ascii="Times New Roman" w:hAnsi="Times New Roman" w:eastAsia="仿宋_GB2312" w:cs="Times New Roman"/>
                <w:color w:val="000000"/>
                <w:kern w:val="2"/>
                <w:sz w:val="24"/>
                <w:szCs w:val="24"/>
                <w:lang w:val="en-US" w:eastAsia="zh-CN" w:bidi="ar-SA"/>
              </w:rPr>
            </w:pPr>
          </w:p>
        </w:tc>
      </w:tr>
    </w:tbl>
    <w:p w14:paraId="4DC8E248">
      <w:pPr>
        <w:spacing w:line="324" w:lineRule="auto"/>
        <w:rPr>
          <w:rFonts w:hint="eastAsia" w:ascii="仿宋" w:hAnsi="仿宋" w:eastAsia="仿宋" w:cs="仿宋"/>
          <w:b/>
          <w:bCs w:val="0"/>
          <w:color w:val="auto"/>
          <w:highlight w:val="none"/>
        </w:rPr>
      </w:pPr>
      <w:r>
        <w:rPr>
          <w:rFonts w:ascii="Times New Roman" w:hAnsi="Times New Roman" w:eastAsia="仿宋_GB2312" w:cs="Times New Roman"/>
          <w:color w:val="000000"/>
          <w:sz w:val="30"/>
          <w:szCs w:val="30"/>
        </w:rPr>
        <w:br w:type="page"/>
      </w:r>
    </w:p>
    <w:p w14:paraId="62A405E6">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w:t>
      </w:r>
    </w:p>
    <w:p w14:paraId="7C5710BA">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7</w:t>
      </w:r>
      <w:r>
        <w:rPr>
          <w:rFonts w:hint="eastAsia" w:ascii="仿宋" w:hAnsi="仿宋" w:eastAsia="仿宋" w:cs="仿宋"/>
          <w:color w:val="000000"/>
          <w:sz w:val="30"/>
          <w:szCs w:val="30"/>
        </w:rPr>
        <w:t>-1：材料暂估价表</w:t>
      </w:r>
    </w:p>
    <w:tbl>
      <w:tblPr>
        <w:tblStyle w:val="2"/>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28"/>
        <w:gridCol w:w="1134"/>
        <w:gridCol w:w="1066"/>
        <w:gridCol w:w="774"/>
        <w:gridCol w:w="1352"/>
        <w:gridCol w:w="1418"/>
        <w:gridCol w:w="1701"/>
      </w:tblGrid>
      <w:tr w14:paraId="1B828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tcBorders>
              <w:top w:val="single" w:color="auto" w:sz="12" w:space="0"/>
              <w:bottom w:val="double" w:color="auto" w:sz="6" w:space="0"/>
            </w:tcBorders>
            <w:noWrap w:val="0"/>
            <w:vAlign w:val="top"/>
          </w:tcPr>
          <w:p w14:paraId="74F5024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序号</w:t>
            </w:r>
          </w:p>
        </w:tc>
        <w:tc>
          <w:tcPr>
            <w:tcW w:w="1134" w:type="dxa"/>
            <w:tcBorders>
              <w:top w:val="single" w:color="auto" w:sz="12" w:space="0"/>
              <w:bottom w:val="double" w:color="auto" w:sz="6" w:space="0"/>
            </w:tcBorders>
            <w:noWrap w:val="0"/>
            <w:vAlign w:val="top"/>
          </w:tcPr>
          <w:p w14:paraId="4403BFE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名称</w:t>
            </w:r>
          </w:p>
        </w:tc>
        <w:tc>
          <w:tcPr>
            <w:tcW w:w="1066" w:type="dxa"/>
            <w:tcBorders>
              <w:top w:val="single" w:color="auto" w:sz="12" w:space="0"/>
              <w:bottom w:val="double" w:color="auto" w:sz="6" w:space="0"/>
            </w:tcBorders>
            <w:noWrap w:val="0"/>
            <w:vAlign w:val="top"/>
          </w:tcPr>
          <w:p w14:paraId="245D5D9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单位</w:t>
            </w:r>
          </w:p>
        </w:tc>
        <w:tc>
          <w:tcPr>
            <w:tcW w:w="774" w:type="dxa"/>
            <w:tcBorders>
              <w:top w:val="single" w:color="auto" w:sz="12" w:space="0"/>
              <w:bottom w:val="double" w:color="auto" w:sz="6" w:space="0"/>
            </w:tcBorders>
            <w:noWrap w:val="0"/>
            <w:vAlign w:val="top"/>
          </w:tcPr>
          <w:p w14:paraId="1F9B0F8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数量</w:t>
            </w:r>
          </w:p>
        </w:tc>
        <w:tc>
          <w:tcPr>
            <w:tcW w:w="1352" w:type="dxa"/>
            <w:tcBorders>
              <w:top w:val="single" w:color="auto" w:sz="12" w:space="0"/>
              <w:bottom w:val="double" w:color="auto" w:sz="6" w:space="0"/>
            </w:tcBorders>
            <w:noWrap w:val="0"/>
            <w:vAlign w:val="top"/>
          </w:tcPr>
          <w:p w14:paraId="5D0FEFE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单价</w:t>
            </w:r>
            <w:r>
              <w:rPr>
                <w:rFonts w:hint="eastAsia" w:ascii="Times New Roman" w:hAnsi="Times New Roman" w:eastAsia="仿宋_GB2312" w:cs="Times New Roman"/>
                <w:color w:val="000000"/>
                <w:kern w:val="2"/>
                <w:sz w:val="28"/>
                <w:szCs w:val="30"/>
                <w:lang w:val="en-US" w:eastAsia="zh-CN" w:bidi="ar-SA"/>
              </w:rPr>
              <w:t>（元）</w:t>
            </w:r>
          </w:p>
        </w:tc>
        <w:tc>
          <w:tcPr>
            <w:tcW w:w="1418" w:type="dxa"/>
            <w:tcBorders>
              <w:top w:val="single" w:color="auto" w:sz="12" w:space="0"/>
              <w:bottom w:val="double" w:color="auto" w:sz="6" w:space="0"/>
            </w:tcBorders>
            <w:noWrap w:val="0"/>
            <w:vAlign w:val="top"/>
          </w:tcPr>
          <w:p w14:paraId="18A69E5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合价</w:t>
            </w:r>
            <w:r>
              <w:rPr>
                <w:rFonts w:hint="eastAsia" w:ascii="Times New Roman" w:hAnsi="Times New Roman" w:eastAsia="仿宋_GB2312" w:cs="Times New Roman"/>
                <w:color w:val="000000"/>
                <w:kern w:val="2"/>
                <w:sz w:val="28"/>
                <w:szCs w:val="30"/>
                <w:lang w:val="en-US" w:eastAsia="zh-CN" w:bidi="ar-SA"/>
              </w:rPr>
              <w:t>（元）</w:t>
            </w:r>
          </w:p>
        </w:tc>
        <w:tc>
          <w:tcPr>
            <w:tcW w:w="1701" w:type="dxa"/>
            <w:tcBorders>
              <w:top w:val="single" w:color="auto" w:sz="12" w:space="0"/>
              <w:bottom w:val="double" w:color="auto" w:sz="6" w:space="0"/>
            </w:tcBorders>
            <w:noWrap w:val="0"/>
            <w:vAlign w:val="top"/>
          </w:tcPr>
          <w:p w14:paraId="0E5293C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备注</w:t>
            </w:r>
          </w:p>
        </w:tc>
      </w:tr>
      <w:tr w14:paraId="5EEFA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tcBorders>
              <w:top w:val="double" w:color="auto" w:sz="6" w:space="0"/>
              <w:bottom w:val="single" w:color="auto" w:sz="6" w:space="0"/>
            </w:tcBorders>
            <w:noWrap w:val="0"/>
            <w:vAlign w:val="top"/>
          </w:tcPr>
          <w:p w14:paraId="696A2B5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tcBorders>
              <w:top w:val="double" w:color="auto" w:sz="6" w:space="0"/>
              <w:bottom w:val="single" w:color="auto" w:sz="6" w:space="0"/>
            </w:tcBorders>
            <w:noWrap w:val="0"/>
            <w:vAlign w:val="top"/>
          </w:tcPr>
          <w:p w14:paraId="47EEC8E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tcBorders>
              <w:top w:val="double" w:color="auto" w:sz="6" w:space="0"/>
              <w:bottom w:val="single" w:color="auto" w:sz="6" w:space="0"/>
            </w:tcBorders>
            <w:noWrap w:val="0"/>
            <w:vAlign w:val="top"/>
          </w:tcPr>
          <w:p w14:paraId="4AAF0F8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tcBorders>
              <w:top w:val="double" w:color="auto" w:sz="6" w:space="0"/>
              <w:bottom w:val="single" w:color="auto" w:sz="6" w:space="0"/>
            </w:tcBorders>
            <w:noWrap w:val="0"/>
            <w:vAlign w:val="top"/>
          </w:tcPr>
          <w:p w14:paraId="0CBD088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tcBorders>
              <w:top w:val="double" w:color="auto" w:sz="6" w:space="0"/>
              <w:bottom w:val="single" w:color="auto" w:sz="6" w:space="0"/>
            </w:tcBorders>
            <w:noWrap w:val="0"/>
            <w:vAlign w:val="top"/>
          </w:tcPr>
          <w:p w14:paraId="5DDDBB2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tcBorders>
              <w:top w:val="double" w:color="auto" w:sz="6" w:space="0"/>
              <w:bottom w:val="single" w:color="auto" w:sz="6" w:space="0"/>
            </w:tcBorders>
            <w:noWrap w:val="0"/>
            <w:vAlign w:val="top"/>
          </w:tcPr>
          <w:p w14:paraId="0573D0C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tcBorders>
              <w:top w:val="double" w:color="auto" w:sz="6" w:space="0"/>
              <w:bottom w:val="single" w:color="auto" w:sz="6" w:space="0"/>
            </w:tcBorders>
            <w:noWrap w:val="0"/>
            <w:vAlign w:val="top"/>
          </w:tcPr>
          <w:p w14:paraId="338A16B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307F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tcBorders>
              <w:top w:val="nil"/>
            </w:tcBorders>
            <w:noWrap w:val="0"/>
            <w:vAlign w:val="top"/>
          </w:tcPr>
          <w:p w14:paraId="4C6D5E5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tcBorders>
              <w:top w:val="nil"/>
            </w:tcBorders>
            <w:noWrap w:val="0"/>
            <w:vAlign w:val="top"/>
          </w:tcPr>
          <w:p w14:paraId="664D234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tcBorders>
              <w:top w:val="nil"/>
            </w:tcBorders>
            <w:noWrap w:val="0"/>
            <w:vAlign w:val="top"/>
          </w:tcPr>
          <w:p w14:paraId="1546E72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tcBorders>
              <w:top w:val="nil"/>
            </w:tcBorders>
            <w:noWrap w:val="0"/>
            <w:vAlign w:val="top"/>
          </w:tcPr>
          <w:p w14:paraId="046AC4F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tcBorders>
              <w:top w:val="nil"/>
            </w:tcBorders>
            <w:noWrap w:val="0"/>
            <w:vAlign w:val="top"/>
          </w:tcPr>
          <w:p w14:paraId="0C64EB8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tcBorders>
              <w:top w:val="nil"/>
            </w:tcBorders>
            <w:noWrap w:val="0"/>
            <w:vAlign w:val="top"/>
          </w:tcPr>
          <w:p w14:paraId="3A95ED5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tcBorders>
              <w:top w:val="nil"/>
            </w:tcBorders>
            <w:noWrap w:val="0"/>
            <w:vAlign w:val="top"/>
          </w:tcPr>
          <w:p w14:paraId="3BCE6A6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2BF34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334131C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0926083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A4F2DC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575CB2F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2633CFC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03D86C2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03052F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0913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460AB62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4FFE1F4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477D80D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ECD897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CE3618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363D28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D1FF40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4C78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532FB6A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262AFF6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3663D5D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65B5231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79D4D9E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001005E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1D7BDE9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856B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5E5AD86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0D0D067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4651865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01248B4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7D683C1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5942A71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5D6726B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3A1D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67A6972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5EFE8CF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660B409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349C2BB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6C357C7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624E40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35148F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2ADA6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71FBF40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4178EB9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7296AE6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FEC64F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F243C1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4181DA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25E4E0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4DEA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628" w:type="dxa"/>
            <w:noWrap w:val="0"/>
            <w:vAlign w:val="top"/>
          </w:tcPr>
          <w:p w14:paraId="4D0C601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6D8C6C8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2FD2129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DB29C7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5066333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08C0CD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3A099B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23A53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08DD891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77DF7B6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01F59AC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04F249A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52FEDA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3928FEA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068A30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53730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457FFF1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4290AFD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2CF57D3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22B275F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C219C1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56F0603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6A22CA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C7F1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09651FB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718C0D4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3856B7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27AAD1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3729DE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60EFFDD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DFD314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38E0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224BAEE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01BA1F6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5FA17C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F09E90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7A1A25B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920A3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EEFC40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CF3D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35834E4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253A469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335E555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9637ED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34A7858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5789BE8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6E10AB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E7D9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02BD3BD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28953D8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985E7E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28C7D3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2CCC269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B23789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76083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8927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20FDAD9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2F7A9AB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7E65099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0D0F1A6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2BC637A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1F5392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598A2F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719FF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31C7E6D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32F681C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7BC50E1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0F8119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3110744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03137F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9AEF59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DBE7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7F70DCA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3FC43CC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274159D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3B09262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79A8E9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0C7E3D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CDBD52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DBA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0203EC5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4F1ABFE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203D339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6EF8DDE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C3D6AF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132F679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EE4E01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5D104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78D664E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3403314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00C5C4A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5A3490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8D4877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16F5CB0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41FBA9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87F8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5D6E075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60A8D4E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5CEBD0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73334E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64F2CF8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12AF83D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C30EFD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8B01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628" w:type="dxa"/>
            <w:noWrap w:val="0"/>
            <w:vAlign w:val="top"/>
          </w:tcPr>
          <w:p w14:paraId="606EA50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134" w:type="dxa"/>
            <w:noWrap w:val="0"/>
            <w:vAlign w:val="top"/>
          </w:tcPr>
          <w:p w14:paraId="2C5BF79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066" w:type="dxa"/>
            <w:noWrap w:val="0"/>
            <w:vAlign w:val="top"/>
          </w:tcPr>
          <w:p w14:paraId="15F6B81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622BF3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2EDC9F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F98C6C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30F99F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bl>
    <w:p w14:paraId="4265278A">
      <w:pPr>
        <w:spacing w:before="156" w:beforeLines="50" w:after="156" w:afterLines="50" w:line="440" w:lineRule="exact"/>
        <w:rPr>
          <w:rFonts w:hint="eastAsia" w:ascii="Times New Roman" w:hAnsi="Times New Roman" w:eastAsia="黑体" w:cs="Times New Roman"/>
          <w:color w:val="000000"/>
          <w:sz w:val="30"/>
          <w:szCs w:val="30"/>
        </w:rPr>
      </w:pPr>
      <w:bookmarkStart w:id="25" w:name="_GoBack"/>
      <w:bookmarkEnd w:id="25"/>
    </w:p>
    <w:p w14:paraId="0B308324">
      <w:pPr>
        <w:spacing w:line="324" w:lineRule="auto"/>
        <w:rPr>
          <w:rFonts w:hint="eastAsia" w:ascii="仿宋" w:hAnsi="仿宋" w:eastAsia="仿宋" w:cs="仿宋"/>
          <w:color w:val="000000"/>
          <w:sz w:val="30"/>
          <w:szCs w:val="30"/>
        </w:rPr>
      </w:pPr>
      <w:r>
        <w:rPr>
          <w:rFonts w:hint="eastAsia" w:ascii="仿宋" w:hAnsi="仿宋" w:eastAsia="仿宋" w:cs="仿宋"/>
          <w:color w:val="000000"/>
          <w:sz w:val="30"/>
          <w:szCs w:val="30"/>
        </w:rPr>
        <w:br w:type="page"/>
      </w:r>
    </w:p>
    <w:p w14:paraId="622958EC">
      <w:pPr>
        <w:spacing w:before="156" w:beforeLines="50" w:after="156" w:afterLines="50" w:line="44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7</w:t>
      </w:r>
      <w:r>
        <w:rPr>
          <w:rFonts w:hint="eastAsia" w:ascii="仿宋" w:hAnsi="仿宋" w:eastAsia="仿宋" w:cs="仿宋"/>
          <w:color w:val="000000"/>
          <w:sz w:val="30"/>
          <w:szCs w:val="30"/>
        </w:rPr>
        <w:t>-2：工程设备暂估价表</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68712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73C6F77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序号</w:t>
            </w:r>
          </w:p>
        </w:tc>
        <w:tc>
          <w:tcPr>
            <w:tcW w:w="1984" w:type="dxa"/>
            <w:tcBorders>
              <w:top w:val="single" w:color="auto" w:sz="12" w:space="0"/>
              <w:bottom w:val="double" w:color="auto" w:sz="6" w:space="0"/>
            </w:tcBorders>
            <w:noWrap w:val="0"/>
            <w:vAlign w:val="top"/>
          </w:tcPr>
          <w:p w14:paraId="7BBE663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名称</w:t>
            </w:r>
          </w:p>
        </w:tc>
        <w:tc>
          <w:tcPr>
            <w:tcW w:w="851" w:type="dxa"/>
            <w:tcBorders>
              <w:top w:val="single" w:color="auto" w:sz="12" w:space="0"/>
              <w:bottom w:val="double" w:color="auto" w:sz="6" w:space="0"/>
            </w:tcBorders>
            <w:noWrap w:val="0"/>
            <w:vAlign w:val="top"/>
          </w:tcPr>
          <w:p w14:paraId="30FF1A9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单位</w:t>
            </w:r>
          </w:p>
        </w:tc>
        <w:tc>
          <w:tcPr>
            <w:tcW w:w="774" w:type="dxa"/>
            <w:tcBorders>
              <w:top w:val="single" w:color="auto" w:sz="12" w:space="0"/>
              <w:bottom w:val="double" w:color="auto" w:sz="6" w:space="0"/>
            </w:tcBorders>
            <w:noWrap w:val="0"/>
            <w:vAlign w:val="top"/>
          </w:tcPr>
          <w:p w14:paraId="6AB44A0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数量</w:t>
            </w:r>
          </w:p>
        </w:tc>
        <w:tc>
          <w:tcPr>
            <w:tcW w:w="1352" w:type="dxa"/>
            <w:tcBorders>
              <w:top w:val="single" w:color="auto" w:sz="12" w:space="0"/>
              <w:bottom w:val="double" w:color="auto" w:sz="6" w:space="0"/>
            </w:tcBorders>
            <w:noWrap w:val="0"/>
            <w:vAlign w:val="top"/>
          </w:tcPr>
          <w:p w14:paraId="41195E9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单价</w:t>
            </w:r>
            <w:r>
              <w:rPr>
                <w:rFonts w:hint="eastAsia" w:ascii="Times New Roman" w:hAnsi="Times New Roman" w:eastAsia="仿宋_GB2312" w:cs="Times New Roman"/>
                <w:color w:val="000000"/>
                <w:kern w:val="2"/>
                <w:sz w:val="28"/>
                <w:szCs w:val="30"/>
                <w:lang w:val="en-US" w:eastAsia="zh-CN" w:bidi="ar-SA"/>
              </w:rPr>
              <w:t>（元）</w:t>
            </w:r>
          </w:p>
        </w:tc>
        <w:tc>
          <w:tcPr>
            <w:tcW w:w="1418" w:type="dxa"/>
            <w:tcBorders>
              <w:top w:val="single" w:color="auto" w:sz="12" w:space="0"/>
              <w:bottom w:val="double" w:color="auto" w:sz="6" w:space="0"/>
            </w:tcBorders>
            <w:noWrap w:val="0"/>
            <w:vAlign w:val="top"/>
          </w:tcPr>
          <w:p w14:paraId="6ADE251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合价</w:t>
            </w:r>
            <w:r>
              <w:rPr>
                <w:rFonts w:hint="eastAsia" w:ascii="Times New Roman" w:hAnsi="Times New Roman" w:eastAsia="仿宋_GB2312" w:cs="Times New Roman"/>
                <w:color w:val="000000"/>
                <w:kern w:val="2"/>
                <w:sz w:val="28"/>
                <w:szCs w:val="30"/>
                <w:lang w:val="en-US" w:eastAsia="zh-CN" w:bidi="ar-SA"/>
              </w:rPr>
              <w:t>（元）</w:t>
            </w:r>
          </w:p>
        </w:tc>
        <w:tc>
          <w:tcPr>
            <w:tcW w:w="1701" w:type="dxa"/>
            <w:tcBorders>
              <w:top w:val="single" w:color="auto" w:sz="12" w:space="0"/>
              <w:bottom w:val="double" w:color="auto" w:sz="6" w:space="0"/>
            </w:tcBorders>
            <w:noWrap w:val="0"/>
            <w:vAlign w:val="top"/>
          </w:tcPr>
          <w:p w14:paraId="54EB813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备注</w:t>
            </w:r>
          </w:p>
        </w:tc>
      </w:tr>
      <w:tr w14:paraId="22EE1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045C715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tcBorders>
              <w:top w:val="double" w:color="auto" w:sz="6" w:space="0"/>
              <w:bottom w:val="single" w:color="auto" w:sz="6" w:space="0"/>
            </w:tcBorders>
            <w:noWrap w:val="0"/>
            <w:vAlign w:val="top"/>
          </w:tcPr>
          <w:p w14:paraId="65D0C17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tcBorders>
              <w:top w:val="double" w:color="auto" w:sz="6" w:space="0"/>
              <w:bottom w:val="single" w:color="auto" w:sz="6" w:space="0"/>
            </w:tcBorders>
            <w:noWrap w:val="0"/>
            <w:vAlign w:val="top"/>
          </w:tcPr>
          <w:p w14:paraId="1614E7A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tcBorders>
              <w:top w:val="double" w:color="auto" w:sz="6" w:space="0"/>
              <w:bottom w:val="single" w:color="auto" w:sz="6" w:space="0"/>
            </w:tcBorders>
            <w:noWrap w:val="0"/>
            <w:vAlign w:val="top"/>
          </w:tcPr>
          <w:p w14:paraId="58F4A63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tcBorders>
              <w:top w:val="double" w:color="auto" w:sz="6" w:space="0"/>
              <w:bottom w:val="single" w:color="auto" w:sz="6" w:space="0"/>
            </w:tcBorders>
            <w:noWrap w:val="0"/>
            <w:vAlign w:val="top"/>
          </w:tcPr>
          <w:p w14:paraId="7906CE2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tcBorders>
              <w:top w:val="double" w:color="auto" w:sz="6" w:space="0"/>
              <w:bottom w:val="single" w:color="auto" w:sz="6" w:space="0"/>
            </w:tcBorders>
            <w:noWrap w:val="0"/>
            <w:vAlign w:val="top"/>
          </w:tcPr>
          <w:p w14:paraId="7BB5C5F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tcBorders>
              <w:top w:val="double" w:color="auto" w:sz="6" w:space="0"/>
              <w:bottom w:val="single" w:color="auto" w:sz="6" w:space="0"/>
            </w:tcBorders>
            <w:noWrap w:val="0"/>
            <w:vAlign w:val="top"/>
          </w:tcPr>
          <w:p w14:paraId="6C22503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293477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1F834B6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tcBorders>
              <w:top w:val="nil"/>
            </w:tcBorders>
            <w:noWrap w:val="0"/>
            <w:vAlign w:val="top"/>
          </w:tcPr>
          <w:p w14:paraId="4FC3CFB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tcBorders>
              <w:top w:val="nil"/>
            </w:tcBorders>
            <w:noWrap w:val="0"/>
            <w:vAlign w:val="top"/>
          </w:tcPr>
          <w:p w14:paraId="2A6A1FB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tcBorders>
              <w:top w:val="nil"/>
            </w:tcBorders>
            <w:noWrap w:val="0"/>
            <w:vAlign w:val="top"/>
          </w:tcPr>
          <w:p w14:paraId="422BA40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tcBorders>
              <w:top w:val="nil"/>
            </w:tcBorders>
            <w:noWrap w:val="0"/>
            <w:vAlign w:val="top"/>
          </w:tcPr>
          <w:p w14:paraId="17AAABD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tcBorders>
              <w:top w:val="nil"/>
            </w:tcBorders>
            <w:noWrap w:val="0"/>
            <w:vAlign w:val="top"/>
          </w:tcPr>
          <w:p w14:paraId="7DCCAF5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tcBorders>
              <w:top w:val="nil"/>
            </w:tcBorders>
            <w:noWrap w:val="0"/>
            <w:vAlign w:val="top"/>
          </w:tcPr>
          <w:p w14:paraId="360197C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AFD0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BC93D2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01F0473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3D349C0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7F9030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ABB773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375B705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24336D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69899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BC025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57F40C5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B8B0BC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3EE329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E78F96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7E983E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2D9DB7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70E86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FFF690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2B6DEFC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66D42DE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2E4E936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F11363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4B1773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91BD2A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5020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391C5F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9650CA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07344FA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01B7D2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5D6C301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8E2AD0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1AA4FDE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3D0E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D061B8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3EFD04E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0595540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6BD8673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5C4EA94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B41AB7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A94553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0F561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636767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449C152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236AA28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283B207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54CFBE5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558AA74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7666D3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08225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1B217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2AA75E2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7B209F7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55C0EBE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50CA8AC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6AFB277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1A658A7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36DF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662C5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3ABE567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6FBC607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FBBAAC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3D3F032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5EA476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B96606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773C7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0C8EB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6B9F32E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44E4E5D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E6D963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7735F14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0B9950C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2E087D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21D5C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AE151D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470EA5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8F4E90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7A8C51F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4785E5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1AAB701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4E3A36E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097C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2146B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6D6E211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7F77D64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0D0042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DFAEB7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1414050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AF6904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D6EF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487200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78C17EB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2913D93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038718C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D923B6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4F85A0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52A0CAE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E48B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D6965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585551F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22201F3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07BE9F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BA568C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304D1F1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35F2696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A2FA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4D8BA1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5371651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4FEA1E6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6F3BDF8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F3D60C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09DF0D3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387D27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1CF602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6C1488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34F80BD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0B636B8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54F3AA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AD7477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58FA311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A561B7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7B192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552029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903D59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CE3C04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6962FD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33C4F0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389F0B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CB0DA6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31DD6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C23DCB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2CD969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EF67FB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3481B15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17D4001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4D16A0E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61FAC08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3B0A80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92AFF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599A62B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BB305A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14DB564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7BA01D9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32882EC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66187A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1821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73BEFB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9D8FB5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20E8424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69A7959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ACBCD6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64B8F7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5FEC9B1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49652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0E5C10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8BAC6C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186CD8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3745AE2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4470BC36">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0C3AE80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5695C0C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C482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B32DC9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1FC6B5E4">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26E4AB1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E216209">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264B6C3B">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253BE8F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B7F058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610C6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E40A3AC">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4C0C71C2">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5BE2796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453953F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B98A72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75C428F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2FBF4CC5">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r w14:paraId="340C6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65EE67">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984" w:type="dxa"/>
            <w:noWrap w:val="0"/>
            <w:vAlign w:val="top"/>
          </w:tcPr>
          <w:p w14:paraId="59E99491">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851" w:type="dxa"/>
            <w:noWrap w:val="0"/>
            <w:vAlign w:val="top"/>
          </w:tcPr>
          <w:p w14:paraId="035BDE8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774" w:type="dxa"/>
            <w:noWrap w:val="0"/>
            <w:vAlign w:val="top"/>
          </w:tcPr>
          <w:p w14:paraId="045B6888">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352" w:type="dxa"/>
            <w:noWrap w:val="0"/>
            <w:vAlign w:val="top"/>
          </w:tcPr>
          <w:p w14:paraId="0530D27D">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418" w:type="dxa"/>
            <w:noWrap w:val="0"/>
            <w:vAlign w:val="top"/>
          </w:tcPr>
          <w:p w14:paraId="670C3F5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c>
          <w:tcPr>
            <w:tcW w:w="1701" w:type="dxa"/>
            <w:noWrap w:val="0"/>
            <w:vAlign w:val="top"/>
          </w:tcPr>
          <w:p w14:paraId="0385F1C3">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p>
        </w:tc>
      </w:tr>
    </w:tbl>
    <w:p w14:paraId="011D687A">
      <w:pPr>
        <w:spacing w:line="440" w:lineRule="exact"/>
        <w:rPr>
          <w:rFonts w:ascii="Times New Roman" w:hAnsi="Times New Roman" w:eastAsia="仿宋_GB2312" w:cs="Times New Roman"/>
          <w:color w:val="000000"/>
          <w:sz w:val="30"/>
          <w:szCs w:val="30"/>
        </w:rPr>
      </w:pPr>
    </w:p>
    <w:p w14:paraId="5E1BCE07">
      <w:pPr>
        <w:spacing w:before="156" w:beforeLines="50" w:after="156" w:afterLines="50" w:line="440" w:lineRule="exact"/>
        <w:jc w:val="center"/>
        <w:rPr>
          <w:rFonts w:ascii="Times New Roman" w:hAnsi="Times New Roman" w:eastAsia="黑体" w:cs="Times New Roman"/>
          <w:color w:val="000000"/>
          <w:sz w:val="30"/>
          <w:szCs w:val="30"/>
        </w:rPr>
      </w:pPr>
      <w:r>
        <w:rPr>
          <w:rFonts w:ascii="Times New Roman" w:hAnsi="Times New Roman" w:eastAsia="仿宋_GB2312" w:cs="Times New Roman"/>
          <w:color w:val="000000"/>
          <w:sz w:val="30"/>
          <w:szCs w:val="30"/>
        </w:rPr>
        <w:br w:type="page"/>
      </w:r>
      <w:r>
        <w:rPr>
          <w:rFonts w:hint="eastAsia" w:ascii="仿宋" w:hAnsi="仿宋" w:eastAsia="仿宋" w:cs="仿宋"/>
          <w:color w:val="000000"/>
          <w:sz w:val="30"/>
          <w:szCs w:val="30"/>
          <w:lang w:val="en-US" w:eastAsia="zh-CN"/>
        </w:rPr>
        <w:t>7</w:t>
      </w:r>
      <w:r>
        <w:rPr>
          <w:rFonts w:hint="eastAsia" w:ascii="仿宋" w:hAnsi="仿宋" w:eastAsia="仿宋" w:cs="仿宋"/>
          <w:color w:val="000000"/>
          <w:sz w:val="30"/>
          <w:szCs w:val="30"/>
        </w:rPr>
        <w:t>-3：专业工程暂估价表</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2BD01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single" w:color="auto" w:sz="12" w:space="0"/>
              <w:bottom w:val="double" w:color="auto" w:sz="6" w:space="0"/>
            </w:tcBorders>
            <w:noWrap w:val="0"/>
            <w:vAlign w:val="top"/>
          </w:tcPr>
          <w:p w14:paraId="4E2B8CE0">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序号</w:t>
            </w:r>
          </w:p>
        </w:tc>
        <w:tc>
          <w:tcPr>
            <w:tcW w:w="1984" w:type="dxa"/>
            <w:tcBorders>
              <w:top w:val="single" w:color="auto" w:sz="12" w:space="0"/>
              <w:bottom w:val="double" w:color="auto" w:sz="6" w:space="0"/>
            </w:tcBorders>
            <w:noWrap w:val="0"/>
            <w:vAlign w:val="top"/>
          </w:tcPr>
          <w:p w14:paraId="44ED599A">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专业工程名称</w:t>
            </w:r>
          </w:p>
        </w:tc>
        <w:tc>
          <w:tcPr>
            <w:tcW w:w="4678" w:type="dxa"/>
            <w:tcBorders>
              <w:top w:val="single" w:color="auto" w:sz="12" w:space="0"/>
              <w:bottom w:val="double" w:color="auto" w:sz="6" w:space="0"/>
            </w:tcBorders>
            <w:noWrap w:val="0"/>
            <w:vAlign w:val="top"/>
          </w:tcPr>
          <w:p w14:paraId="0580CE4F">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工程内容</w:t>
            </w:r>
          </w:p>
        </w:tc>
        <w:tc>
          <w:tcPr>
            <w:tcW w:w="1276" w:type="dxa"/>
            <w:tcBorders>
              <w:top w:val="single" w:color="auto" w:sz="12" w:space="0"/>
              <w:bottom w:val="double" w:color="auto" w:sz="6" w:space="0"/>
            </w:tcBorders>
            <w:noWrap w:val="0"/>
            <w:vAlign w:val="top"/>
          </w:tcPr>
          <w:p w14:paraId="20CF908E">
            <w:pPr>
              <w:keepNext/>
              <w:widowControl w:val="0"/>
              <w:spacing w:after="0" w:line="440" w:lineRule="exact"/>
              <w:ind w:left="63" w:right="63"/>
              <w:jc w:val="both"/>
              <w:rPr>
                <w:rFonts w:ascii="Times New Roman" w:hAnsi="Times New Roman" w:eastAsia="仿宋_GB2312" w:cs="Times New Roman"/>
                <w:color w:val="000000"/>
                <w:kern w:val="2"/>
                <w:sz w:val="28"/>
                <w:szCs w:val="30"/>
                <w:lang w:val="en-US" w:eastAsia="zh-CN" w:bidi="ar-SA"/>
              </w:rPr>
            </w:pPr>
            <w:r>
              <w:rPr>
                <w:rFonts w:ascii="Times New Roman" w:hAnsi="Times New Roman" w:eastAsia="仿宋_GB2312" w:cs="Times New Roman"/>
                <w:color w:val="000000"/>
                <w:kern w:val="2"/>
                <w:sz w:val="28"/>
                <w:szCs w:val="30"/>
                <w:lang w:val="en-US" w:eastAsia="zh-CN" w:bidi="ar-SA"/>
              </w:rPr>
              <w:t>金额</w:t>
            </w:r>
          </w:p>
        </w:tc>
      </w:tr>
      <w:tr w14:paraId="51981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double" w:color="auto" w:sz="6" w:space="0"/>
              <w:bottom w:val="single" w:color="auto" w:sz="6" w:space="0"/>
            </w:tcBorders>
            <w:noWrap w:val="0"/>
            <w:vAlign w:val="top"/>
          </w:tcPr>
          <w:p w14:paraId="78DD822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tcBorders>
              <w:top w:val="double" w:color="auto" w:sz="6" w:space="0"/>
              <w:bottom w:val="single" w:color="auto" w:sz="6" w:space="0"/>
            </w:tcBorders>
            <w:noWrap w:val="0"/>
            <w:vAlign w:val="top"/>
          </w:tcPr>
          <w:p w14:paraId="7C45BD2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tcBorders>
              <w:top w:val="double" w:color="auto" w:sz="6" w:space="0"/>
              <w:bottom w:val="single" w:color="auto" w:sz="6" w:space="0"/>
            </w:tcBorders>
            <w:noWrap w:val="0"/>
            <w:vAlign w:val="top"/>
          </w:tcPr>
          <w:p w14:paraId="0471ABE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tcBorders>
              <w:top w:val="double" w:color="auto" w:sz="6" w:space="0"/>
              <w:bottom w:val="single" w:color="auto" w:sz="6" w:space="0"/>
            </w:tcBorders>
            <w:noWrap w:val="0"/>
            <w:vAlign w:val="top"/>
          </w:tcPr>
          <w:p w14:paraId="3DCCBBC0">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35EC4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noWrap w:val="0"/>
            <w:vAlign w:val="top"/>
          </w:tcPr>
          <w:p w14:paraId="0A8109F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tcBorders>
              <w:top w:val="nil"/>
            </w:tcBorders>
            <w:noWrap w:val="0"/>
            <w:vAlign w:val="top"/>
          </w:tcPr>
          <w:p w14:paraId="44C2E30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tcBorders>
              <w:top w:val="nil"/>
            </w:tcBorders>
            <w:noWrap w:val="0"/>
            <w:vAlign w:val="top"/>
          </w:tcPr>
          <w:p w14:paraId="5B5DC5A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tcBorders>
              <w:top w:val="nil"/>
            </w:tcBorders>
            <w:noWrap w:val="0"/>
            <w:vAlign w:val="top"/>
          </w:tcPr>
          <w:p w14:paraId="739A511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6445A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noWrap w:val="0"/>
            <w:vAlign w:val="top"/>
          </w:tcPr>
          <w:p w14:paraId="1960139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tcBorders>
              <w:top w:val="nil"/>
            </w:tcBorders>
            <w:noWrap w:val="0"/>
            <w:vAlign w:val="top"/>
          </w:tcPr>
          <w:p w14:paraId="2AD13E5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tcBorders>
              <w:top w:val="nil"/>
            </w:tcBorders>
            <w:noWrap w:val="0"/>
            <w:vAlign w:val="top"/>
          </w:tcPr>
          <w:p w14:paraId="6D231A6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tcBorders>
              <w:top w:val="nil"/>
            </w:tcBorders>
            <w:noWrap w:val="0"/>
            <w:vAlign w:val="top"/>
          </w:tcPr>
          <w:p w14:paraId="7E5DA29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9D11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51EBA5E">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15F2D60C">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3AF1EA1E">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6781252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67D1C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03E213AC">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60B1E5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23A3F98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34F774E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70F0E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324051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1175E4A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5767A89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4E2EF1D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10CF9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CF9132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77D714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474FD17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770FAE4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57D16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76765E9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3EC556B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580AB81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020C1F7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1EF3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08A26A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1A2DC40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67A402A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6738851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569B4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2CB35B6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063A3F00">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217E343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06C5C8AC">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CE04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306C80C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4B74DC3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4C3EA31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6A62A440">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DC76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DA5DCB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6BDF321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673F1C9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7F76297B">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1961A4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3E0A480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18DA2D0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6A4F415E">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19AF952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735C0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6465492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4BE23AE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04B2011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25B89A7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6BCB2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9FC6EF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52526E8">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3D94BF8E">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54C52BD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5082F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A419940">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1940E21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516DED4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6C53C6C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327F2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79A0B18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3885A85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4EF29D8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47905C0B">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04F47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537AD82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755903F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4F7FD53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079D99E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1111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6EF7D5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EEC8DC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721D91B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7CE6D482">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27BFF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0FD5C74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7DECB40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74C6C2E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60E90F73">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7BD64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043408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05F134C">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080C6346">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0F57A92B">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51755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11470F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047827A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73B26344">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24F7A01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796DB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6D55B65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76879D5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5FD1C2BA">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176BAD3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40BCC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24BA8A5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E4BD76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1096756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1852EEA9">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3CA8B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30E37DB">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7CD09E8C">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7030A4B7">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2BB5D1E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4BAFA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5A4592D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984" w:type="dxa"/>
            <w:noWrap w:val="0"/>
            <w:vAlign w:val="top"/>
          </w:tcPr>
          <w:p w14:paraId="2DA66F71">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4678" w:type="dxa"/>
            <w:noWrap w:val="0"/>
            <w:vAlign w:val="top"/>
          </w:tcPr>
          <w:p w14:paraId="046D980F">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c>
          <w:tcPr>
            <w:tcW w:w="1276" w:type="dxa"/>
            <w:noWrap w:val="0"/>
            <w:vAlign w:val="top"/>
          </w:tcPr>
          <w:p w14:paraId="32247CCD">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p>
        </w:tc>
      </w:tr>
      <w:tr w14:paraId="3BACD8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817" w:type="dxa"/>
            <w:gridSpan w:val="4"/>
            <w:noWrap w:val="0"/>
            <w:vAlign w:val="top"/>
          </w:tcPr>
          <w:p w14:paraId="7EFAF325">
            <w:pPr>
              <w:keepNext/>
              <w:widowControl w:val="0"/>
              <w:spacing w:after="0" w:line="440" w:lineRule="exact"/>
              <w:ind w:left="63" w:right="63"/>
              <w:jc w:val="both"/>
              <w:rPr>
                <w:rFonts w:ascii="Times New Roman" w:hAnsi="Times New Roman" w:eastAsia="宋体" w:cs="Times New Roman"/>
                <w:color w:val="000000"/>
                <w:kern w:val="2"/>
                <w:sz w:val="21"/>
                <w:szCs w:val="21"/>
                <w:lang w:val="en-US" w:eastAsia="zh-CN" w:bidi="ar-SA"/>
              </w:rPr>
            </w:pPr>
            <w:r>
              <w:rPr>
                <w:rFonts w:ascii="Times New Roman" w:hAnsi="Times New Roman" w:eastAsia="仿宋_GB2312" w:cs="Times New Roman"/>
                <w:color w:val="000000"/>
                <w:kern w:val="2"/>
                <w:sz w:val="28"/>
                <w:szCs w:val="30"/>
                <w:lang w:val="en-US" w:eastAsia="zh-CN" w:bidi="ar-SA"/>
              </w:rPr>
              <w:t>小计</w:t>
            </w:r>
          </w:p>
        </w:tc>
      </w:tr>
    </w:tbl>
    <w:p w14:paraId="4437F7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89613">
    <w:pPr>
      <w:spacing w:line="240" w:lineRule="auto"/>
      <w:ind w:left="0"/>
      <w:rPr>
        <w:rFonts w:ascii="宋体" w:hAnsi="宋体" w:eastAsia="宋体" w:cs="宋体"/>
        <w:sz w:val="18"/>
        <w:szCs w:val="18"/>
      </w:rPr>
    </w:pPr>
    <w:r>
      <w:rPr>
        <w:rFonts w:ascii="Times New Roman" w:hAnsi="Times New Roman" w:eastAsia="宋体" w:cs="Times New Roman"/>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4BDA2F9">
                          <w:pPr>
                            <w:widowControl w:val="0"/>
                            <w:tabs>
                              <w:tab w:val="center" w:pos="4153"/>
                              <w:tab w:val="right" w:pos="8306"/>
                            </w:tabs>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6</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HNwfrNIBAACjAwAADgAAAAAAAAABACAAAAAi&#10;AQAAZHJzL2Uyb0RvYy54bWxQSwUGAAAAAAYABgBZAQAAZgUAAAAA&#10;">
              <v:fill on="f" focussize="0,0"/>
              <v:stroke on="f" weight="1.25pt"/>
              <v:imagedata o:title=""/>
              <o:lock v:ext="edit" aspectratio="f"/>
              <v:textbox inset="0mm,0mm,0mm,0mm" style="mso-fit-shape-to-text:t;">
                <w:txbxContent>
                  <w:p w14:paraId="74BDA2F9">
                    <w:pPr>
                      <w:widowControl w:val="0"/>
                      <w:tabs>
                        <w:tab w:val="center" w:pos="4153"/>
                        <w:tab w:val="right" w:pos="8306"/>
                      </w:tabs>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6</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369159A1"/>
    <w:multiLevelType w:val="singleLevel"/>
    <w:tmpl w:val="369159A1"/>
    <w:lvl w:ilvl="0" w:tentative="0">
      <w:start w:val="2"/>
      <w:numFmt w:val="decimal"/>
      <w:suff w:val="space"/>
      <w:lvlText w:val="%1."/>
      <w:lvlJc w:val="left"/>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84552"/>
    <w:rsid w:val="18484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金山软件</Company>
  <Pages>90</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2026-08-20T05:17:00Z</dcterms:created>
  <dc:creator>熊掌孙</dc:creator>
  <cp:lastModifiedBy>熊掌孙</cp:lastModifiedBy>
  <dcterms:modified xsi:type="dcterms:W3CDTF">2026-08-20T05:20:20Z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75B06D2F814C4CAC8AC77ED1D3466759_11</vt:lpwstr>
  </property>
  <property fmtid="{D5CDD505-2E9C-101B-9397-08002B2CF9AE}" pid="4" name="KSOTemplateDocerSaveRecord">
    <vt:lpwstr>eyJoZGlkIjoiZGI0ZGIzYmI2OWViZTMxZTU3NzUxZjAzNDk3YTI1NDQiLCJ1c2VySWQiOiIzMTA4NTYyNDIifQ==</vt:lpwstr>
  </property>
</Properties>
</file>