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版本号：ZSJC-ZFCG-20260602.1B120260617001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镇巴人民医院医疗责任险采购项目(二次)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ZSJC-ZFCG-20260602.1B1</w:t>
      </w:r>
      <w:r>
        <w:br/>
      </w:r>
      <w:r>
        <w:br/>
      </w:r>
      <w:r>
        <w:br/>
      </w:r>
    </w:p>
    <w:p>
      <w:pPr>
        <w:pStyle w:val="null3"/>
        <w:jc w:val="center"/>
        <w:outlineLvl w:val="2"/>
      </w:pPr>
      <w:r>
        <w:rPr>
          <w:rFonts w:ascii="仿宋_GB2312" w:hAnsi="仿宋_GB2312" w:cs="仿宋_GB2312" w:eastAsia="仿宋_GB2312"/>
          <w:sz w:val="28"/>
          <w:b/>
        </w:rPr>
        <w:t>镇巴县人民医院</w:t>
      </w:r>
    </w:p>
    <w:p>
      <w:pPr>
        <w:pStyle w:val="null3"/>
        <w:jc w:val="center"/>
        <w:outlineLvl w:val="2"/>
      </w:pPr>
      <w:r>
        <w:rPr>
          <w:rFonts w:ascii="仿宋_GB2312" w:hAnsi="仿宋_GB2312" w:cs="仿宋_GB2312" w:eastAsia="仿宋_GB2312"/>
          <w:sz w:val="28"/>
          <w:b/>
        </w:rPr>
        <w:t>中盛精诚工程项目管理有限公司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中盛精诚工程项目管理有限公司</w:t>
      </w:r>
      <w:r>
        <w:rPr>
          <w:rFonts w:ascii="仿宋_GB2312" w:hAnsi="仿宋_GB2312" w:cs="仿宋_GB2312" w:eastAsia="仿宋_GB2312"/>
        </w:rPr>
        <w:t>（以下简称“代理机构”）受</w:t>
      </w:r>
      <w:r>
        <w:rPr>
          <w:rFonts w:ascii="仿宋_GB2312" w:hAnsi="仿宋_GB2312" w:cs="仿宋_GB2312" w:eastAsia="仿宋_GB2312"/>
        </w:rPr>
        <w:t>镇巴县人民医院</w:t>
      </w:r>
      <w:r>
        <w:rPr>
          <w:rFonts w:ascii="仿宋_GB2312" w:hAnsi="仿宋_GB2312" w:cs="仿宋_GB2312" w:eastAsia="仿宋_GB2312"/>
        </w:rPr>
        <w:t>委托，拟对</w:t>
      </w:r>
      <w:r>
        <w:rPr>
          <w:rFonts w:ascii="仿宋_GB2312" w:hAnsi="仿宋_GB2312" w:cs="仿宋_GB2312" w:eastAsia="仿宋_GB2312"/>
        </w:rPr>
        <w:t>镇巴人民医院医疗责任险采购项目(二次)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ZSJC-ZFCG-20260602.1B1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镇巴人民医院医疗责任险采购项目(二次)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镇巴县人民医院医疗责任险采购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或授权委托人身份证明：供应商应授权合法的在职人员参加投标，其中法定代表人直接参加的，须提供法定代表人身份证，并与营业执照上信息一致；授权代表参加的，须出具法定代表人授权书及被授权 人身份证；</w:t>
      </w:r>
    </w:p>
    <w:p>
      <w:pPr>
        <w:pStyle w:val="null3"/>
      </w:pPr>
      <w:r>
        <w:rPr>
          <w:rFonts w:ascii="仿宋_GB2312" w:hAnsi="仿宋_GB2312" w:cs="仿宋_GB2312" w:eastAsia="仿宋_GB2312"/>
        </w:rPr>
        <w:t>3、供应商资格条件：具有保险监督管理机构颁发的经营责任保险业务资格的《保险许可证》(总公司取得的相关资和指标，分支机构经总公司有效授权视为拥有同等资质和指标，总公司只允许授权1家分支机构参与投标，且不能与分支机构同时参与)</w:t>
      </w:r>
    </w:p>
    <w:p>
      <w:pPr>
        <w:pStyle w:val="null3"/>
      </w:pPr>
      <w:r>
        <w:rPr>
          <w:rFonts w:ascii="仿宋_GB2312" w:hAnsi="仿宋_GB2312" w:cs="仿宋_GB2312" w:eastAsia="仿宋_GB2312"/>
        </w:rPr>
        <w:t>4、供应商资格承诺函：供应商须具有健全的财务会计制度、具有履行合同所必需的设备和专业技术能力、具有依法缴纳税收和社会保障资金的良好记录，以及参加本项目采购活动前三年内在经营活动中无重大违法活动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13909167767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中盛精诚工程项目管理有限公司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陕西省镇巴县水保站对面二楼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程胜建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13992659725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采购包1：448,120.00元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代理服务费收费标准：成交价1.5%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镇巴县人民医院</w:t>
      </w:r>
      <w:r>
        <w:rPr>
          <w:rFonts w:ascii="仿宋_GB2312" w:hAnsi="仿宋_GB2312" w:cs="仿宋_GB2312" w:eastAsia="仿宋_GB2312"/>
        </w:rPr>
        <w:t>和</w:t>
      </w:r>
      <w:r>
        <w:rPr>
          <w:rFonts w:ascii="仿宋_GB2312" w:hAnsi="仿宋_GB2312" w:cs="仿宋_GB2312" w:eastAsia="仿宋_GB2312"/>
        </w:rPr>
        <w:t>中盛精诚工程项目管理有限公司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中盛精诚工程项目管理有限公司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中盛精诚工程项目管理有限公司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中盛精诚工程项目管理有限公司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联系人：程胜建</w:t>
      </w:r>
    </w:p>
    <w:p>
      <w:pPr>
        <w:pStyle w:val="null3"/>
      </w:pPr>
      <w:r>
        <w:rPr>
          <w:rFonts w:ascii="仿宋_GB2312" w:hAnsi="仿宋_GB2312" w:cs="仿宋_GB2312" w:eastAsia="仿宋_GB2312"/>
        </w:rPr>
        <w:t>联系电话：13992659725</w:t>
      </w:r>
    </w:p>
    <w:p>
      <w:pPr>
        <w:pStyle w:val="null3"/>
      </w:pPr>
      <w:r>
        <w:rPr>
          <w:rFonts w:ascii="仿宋_GB2312" w:hAnsi="仿宋_GB2312" w:cs="仿宋_GB2312" w:eastAsia="仿宋_GB2312"/>
        </w:rPr>
        <w:t>地址：中盛精诚工程项目管理有限公司</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镇巴县人民医院医疗责任保险项目采购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448,120.00</w:t>
      </w:r>
    </w:p>
    <w:p>
      <w:pPr>
        <w:pStyle w:val="null3"/>
      </w:pPr>
      <w:r>
        <w:rPr>
          <w:rFonts w:ascii="仿宋_GB2312" w:hAnsi="仿宋_GB2312" w:cs="仿宋_GB2312" w:eastAsia="仿宋_GB2312"/>
        </w:rPr>
        <w:t>采购包最高限价（元）: 448,120.00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医疗责任险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448,120.00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标的名称：医疗责任险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jc w:val="center"/>
            </w:pPr>
            <w:r>
              <w:rPr>
                <w:rFonts w:ascii="仿宋_GB2312" w:hAnsi="仿宋_GB2312" w:cs="仿宋_GB2312" w:eastAsia="仿宋_GB2312"/>
                <w:sz w:val="28"/>
                <w:b/>
                <w:color w:val="000000"/>
              </w:rPr>
              <w:t>医疗责任保险采购参数</w:t>
            </w:r>
          </w:p>
          <w:p>
            <w:pPr>
              <w:pStyle w:val="null3"/>
              <w:spacing w:after="195"/>
            </w:pPr>
            <w:r>
              <w:rPr>
                <w:rFonts w:ascii="仿宋_GB2312" w:hAnsi="仿宋_GB2312" w:cs="仿宋_GB2312" w:eastAsia="仿宋_GB2312"/>
                <w:sz w:val="28"/>
                <w:color w:val="000000"/>
              </w:rPr>
              <w:t>一、 年度理赔额度： 200万元.</w:t>
            </w:r>
          </w:p>
          <w:p>
            <w:pPr>
              <w:pStyle w:val="null3"/>
              <w:spacing w:after="195"/>
            </w:pPr>
            <w:r>
              <w:rPr>
                <w:rFonts w:ascii="仿宋_GB2312" w:hAnsi="仿宋_GB2312" w:cs="仿宋_GB2312" w:eastAsia="仿宋_GB2312"/>
                <w:sz w:val="28"/>
                <w:color w:val="000000"/>
              </w:rPr>
              <w:t>二、 服务期： 一年</w:t>
            </w:r>
          </w:p>
          <w:p>
            <w:pPr>
              <w:pStyle w:val="null3"/>
              <w:spacing w:after="195"/>
            </w:pPr>
            <w:r>
              <w:rPr>
                <w:rFonts w:ascii="仿宋_GB2312" w:hAnsi="仿宋_GB2312" w:cs="仿宋_GB2312" w:eastAsia="仿宋_GB2312"/>
                <w:sz w:val="28"/>
                <w:color w:val="000000"/>
              </w:rPr>
              <w:t>三、 追溯期： 三年按照国家相关规定执行。</w:t>
            </w:r>
          </w:p>
          <w:p>
            <w:pPr>
              <w:pStyle w:val="null3"/>
              <w:spacing w:after="195"/>
            </w:pPr>
            <w:r>
              <w:rPr>
                <w:rFonts w:ascii="仿宋_GB2312" w:hAnsi="仿宋_GB2312" w:cs="仿宋_GB2312" w:eastAsia="仿宋_GB2312"/>
                <w:sz w:val="28"/>
                <w:color w:val="000000"/>
              </w:rPr>
              <w:t>四、 付款方式： 每年度采购合同签订后 1 月内一次性支付本年度保费。</w:t>
            </w:r>
          </w:p>
          <w:p>
            <w:pPr>
              <w:pStyle w:val="null3"/>
              <w:spacing w:after="195"/>
            </w:pPr>
            <w:r>
              <w:rPr>
                <w:rFonts w:ascii="仿宋_GB2312" w:hAnsi="仿宋_GB2312" w:cs="仿宋_GB2312" w:eastAsia="仿宋_GB2312"/>
                <w:sz w:val="28"/>
                <w:color w:val="000000"/>
              </w:rPr>
              <w:t>五、 理赔认定：</w:t>
            </w:r>
          </w:p>
          <w:p>
            <w:pPr>
              <w:pStyle w:val="null3"/>
              <w:spacing w:after="195"/>
            </w:pPr>
            <w:r>
              <w:rPr>
                <w:rFonts w:ascii="仿宋_GB2312" w:hAnsi="仿宋_GB2312" w:cs="仿宋_GB2312" w:eastAsia="仿宋_GB2312"/>
                <w:sz w:val="28"/>
                <w:color w:val="000000"/>
              </w:rPr>
              <w:t>1</w:t>
            </w:r>
            <w:r>
              <w:rPr>
                <w:rFonts w:ascii="仿宋_GB2312" w:hAnsi="仿宋_GB2312" w:cs="仿宋_GB2312" w:eastAsia="仿宋_GB2312"/>
                <w:sz w:val="28"/>
                <w:color w:val="000000"/>
              </w:rPr>
              <w:t>、 在投保有效期内， 医疗机构在诊疗过程中因诊疗过错导致的一切经济赔偿均应理赔。</w:t>
            </w:r>
          </w:p>
          <w:p>
            <w:pPr>
              <w:pStyle w:val="null3"/>
              <w:spacing w:after="195"/>
            </w:pPr>
            <w:r>
              <w:rPr>
                <w:rFonts w:ascii="仿宋_GB2312" w:hAnsi="仿宋_GB2312" w:cs="仿宋_GB2312" w:eastAsia="仿宋_GB2312"/>
                <w:sz w:val="28"/>
                <w:color w:val="000000"/>
              </w:rPr>
              <w:t>2</w:t>
            </w:r>
            <w:r>
              <w:rPr>
                <w:rFonts w:ascii="仿宋_GB2312" w:hAnsi="仿宋_GB2312" w:cs="仿宋_GB2312" w:eastAsia="仿宋_GB2312"/>
                <w:sz w:val="28"/>
                <w:color w:val="000000"/>
              </w:rPr>
              <w:t>、 经医患双方达成的调解理赔； 由上级部门或医调委主持达成的调解理赔； 由司法机构调解或判定的理赔。</w:t>
            </w:r>
          </w:p>
          <w:p>
            <w:pPr>
              <w:pStyle w:val="null3"/>
              <w:spacing w:after="195"/>
            </w:pPr>
            <w:r>
              <w:rPr>
                <w:rFonts w:ascii="仿宋_GB2312" w:hAnsi="仿宋_GB2312" w:cs="仿宋_GB2312" w:eastAsia="仿宋_GB2312"/>
                <w:sz w:val="28"/>
                <w:color w:val="000000"/>
              </w:rPr>
              <w:t>六、 理赔标准：</w:t>
            </w:r>
          </w:p>
          <w:p>
            <w:pPr>
              <w:pStyle w:val="null3"/>
              <w:spacing w:after="195"/>
            </w:pPr>
            <w:r>
              <w:rPr>
                <w:rFonts w:ascii="仿宋_GB2312" w:hAnsi="仿宋_GB2312" w:cs="仿宋_GB2312" w:eastAsia="仿宋_GB2312"/>
                <w:sz w:val="28"/>
                <w:color w:val="000000"/>
              </w:rPr>
              <w:t>1</w:t>
            </w:r>
            <w:r>
              <w:rPr>
                <w:rFonts w:ascii="仿宋_GB2312" w:hAnsi="仿宋_GB2312" w:cs="仿宋_GB2312" w:eastAsia="仿宋_GB2312"/>
                <w:sz w:val="28"/>
                <w:color w:val="000000"/>
              </w:rPr>
              <w:t>、 赔偿金额在50 万元(含)以内的， 承保公司据实赔付；赔偿金额在50万元以上的，承保公司赔付金额不少于50万元。</w:t>
            </w:r>
          </w:p>
          <w:p>
            <w:pPr>
              <w:pStyle w:val="null3"/>
              <w:spacing w:after="195"/>
            </w:pPr>
            <w:r>
              <w:rPr>
                <w:rFonts w:ascii="仿宋_GB2312" w:hAnsi="仿宋_GB2312" w:cs="仿宋_GB2312" w:eastAsia="仿宋_GB2312"/>
                <w:sz w:val="28"/>
                <w:color w:val="000000"/>
              </w:rPr>
              <w:t>2</w:t>
            </w:r>
            <w:r>
              <w:rPr>
                <w:rFonts w:ascii="仿宋_GB2312" w:hAnsi="仿宋_GB2312" w:cs="仿宋_GB2312" w:eastAsia="仿宋_GB2312"/>
                <w:sz w:val="28"/>
                <w:color w:val="000000"/>
              </w:rPr>
              <w:t>、 法律费用 (包括但不仅限于尸体病理解剖费、 鉴定费、查勘费、 取证费、 诉讼费及律师费等),支付金额在10万元(含)以内的， 承保公司据实支付； 支付金额在10万元以上的，承保公司支付金额不少于 10 万元。</w:t>
            </w:r>
          </w:p>
          <w:p>
            <w:pPr>
              <w:pStyle w:val="null3"/>
              <w:spacing w:after="195"/>
            </w:pPr>
            <w:r>
              <w:rPr>
                <w:rFonts w:ascii="仿宋_GB2312" w:hAnsi="仿宋_GB2312" w:cs="仿宋_GB2312" w:eastAsia="仿宋_GB2312"/>
                <w:sz w:val="28"/>
                <w:color w:val="000000"/>
              </w:rPr>
              <w:t>七、 理赔时限：</w:t>
            </w:r>
          </w:p>
          <w:p>
            <w:pPr>
              <w:pStyle w:val="null3"/>
              <w:spacing w:after="195"/>
            </w:pPr>
            <w:r>
              <w:rPr>
                <w:rFonts w:ascii="仿宋_GB2312" w:hAnsi="仿宋_GB2312" w:cs="仿宋_GB2312" w:eastAsia="仿宋_GB2312"/>
                <w:sz w:val="28"/>
                <w:color w:val="000000"/>
              </w:rPr>
              <w:t>承保公司在接到理赔资料后，属于保险公司县支公司审批权限内的赔案， 在5个工作日内理算赔付；属于市分公司审批权限内的赔案，在7个工作日内理算、审批、赔付；属于省公司审批权限内的赔案，在10个工作日理算、上报审批、赔付。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根据项目具体情况，配备专属项目负责人、专职法务、理赔专员等配置充足。</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根据项目具体情况，供应商自行配备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1、中标（成交）供应商在领取中标（成交）通知书时提供纸质版响应文件一正一副、电子版一份，需与投标时内容一致。 2、本项目不专门面向中小企业采购。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拒绝政府采购领域商业贿赂承诺</w:t>
            </w:r>
          </w:p>
        </w:tc>
        <w:tc>
          <w:tcPr>
            <w:tcW w:type="dxa" w:w="3322"/>
          </w:tcPr>
          <w:p>
            <w:pPr>
              <w:pStyle w:val="null3"/>
            </w:pPr>
            <w:r>
              <w:rPr>
                <w:rFonts w:ascii="仿宋_GB2312" w:hAnsi="仿宋_GB2312" w:cs="仿宋_GB2312" w:eastAsia="仿宋_GB2312"/>
              </w:rPr>
              <w:t>陕西省政府采购供应商拒绝政府采购领域商业贿赂承诺书并签章</w:t>
            </w:r>
          </w:p>
        </w:tc>
        <w:tc>
          <w:tcPr>
            <w:tcW w:type="dxa" w:w="1661"/>
          </w:tcPr>
          <w:p>
            <w:pPr>
              <w:pStyle w:val="null3"/>
            </w:pPr>
            <w:r>
              <w:rPr>
                <w:rFonts w:ascii="仿宋_GB2312" w:hAnsi="仿宋_GB2312" w:cs="仿宋_GB2312" w:eastAsia="仿宋_GB2312"/>
              </w:rPr>
              <w:t>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 其他材料.docx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法定代表人或授权委托人身份证明</w:t>
            </w:r>
          </w:p>
        </w:tc>
        <w:tc>
          <w:tcPr>
            <w:tcW w:type="dxa" w:w="3322"/>
          </w:tcPr>
          <w:p>
            <w:pPr>
              <w:pStyle w:val="null3"/>
            </w:pPr>
            <w:r>
              <w:rPr>
                <w:rFonts w:ascii="仿宋_GB2312" w:hAnsi="仿宋_GB2312" w:cs="仿宋_GB2312" w:eastAsia="仿宋_GB2312"/>
              </w:rPr>
              <w:t>供应商应授权合法的在职人员参加投标，其中法定代表人直接参加的，须提供法定代表人身份证，并与营业执照上信息一致；授权代表参加的，须出具法定代表人授权书及被授权 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供应商资格条件</w:t>
            </w:r>
          </w:p>
        </w:tc>
        <w:tc>
          <w:tcPr>
            <w:tcW w:type="dxa" w:w="3322"/>
          </w:tcPr>
          <w:p>
            <w:pPr>
              <w:pStyle w:val="null3"/>
            </w:pPr>
            <w:r>
              <w:rPr>
                <w:rFonts w:ascii="仿宋_GB2312" w:hAnsi="仿宋_GB2312" w:cs="仿宋_GB2312" w:eastAsia="仿宋_GB2312"/>
              </w:rPr>
              <w:t>具有保险监督管理机构颁发的经营责任保险业务资格的《保险许可证》(总公司取得的相关资和指标，分支机构经总公司有效授权视为拥有同等资质和指标，总公司只允许授权1家分支机构参与投标，且不能与分支机构同时参与)</w:t>
            </w:r>
          </w:p>
        </w:tc>
        <w:tc>
          <w:tcPr>
            <w:tcW w:type="dxa" w:w="1661"/>
          </w:tcPr>
          <w:p>
            <w:pPr>
              <w:pStyle w:val="null3"/>
            </w:pPr>
            <w:r>
              <w:rPr>
                <w:rFonts w:ascii="仿宋_GB2312" w:hAnsi="仿宋_GB2312" w:cs="仿宋_GB2312" w:eastAsia="仿宋_GB2312"/>
              </w:rPr>
              <w:t>供应商应提交的相关资格证明材料 其他材料.docx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1661"/>
          </w:tcPr>
          <w:p>
            <w:pPr>
              <w:pStyle w:val="null3"/>
            </w:pPr>
            <w:r>
              <w:rPr>
                <w:rFonts w:ascii="仿宋_GB2312" w:hAnsi="仿宋_GB2312" w:cs="仿宋_GB2312" w:eastAsia="仿宋_GB2312"/>
              </w:rPr>
              <w:t>其他材料.docx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响应文件上法定代表人或其委托代理人的签字 齐全落款处加盖单位公章</w:t>
            </w:r>
          </w:p>
        </w:tc>
        <w:tc>
          <w:tcPr>
            <w:tcW w:type="dxa" w:w="1661"/>
          </w:tcPr>
          <w:p>
            <w:pPr>
              <w:pStyle w:val="null3"/>
            </w:pPr>
            <w:r>
              <w:rPr>
                <w:rFonts w:ascii="仿宋_GB2312" w:hAnsi="仿宋_GB2312" w:cs="仿宋_GB2312" w:eastAsia="仿宋_GB2312"/>
              </w:rPr>
              <w:t>业绩一览表.docx 中小企业声明函 供应商应提交的相关资格证明材料 服务内容及服务要求应答表 报价表 汉中市政府采购供应商资格承诺函.docx 响应文件封面 主要人员简历表.docx 残疾人福利性单位声明函 拒绝政府采购领域商业贿赂承诺书.docx 服务方案 标的清单 其他材料.docx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磋商小组对供应商提供的针对本项目完整服务方案，包含但不局限于：①承保方案，针对本项目服务期内工作的重点难点给出相应的解决方案、②风险防控、③纠纷处置、④理赔服务、⑤突发事件应急处置进行综合打分； 二、评审标准： 1.完整性：方案必须全⾯，对评审内容中的各项要求有详细描述； 2.可实施性：切合本项⽬实际情况提出步骤清晰、合理的⽅案; 3.针对性：⽅案能够紧扣项⽬实际情况，内容科学合理。 三、赋分依据：①承保方案：满足一个评分标准得1分，共3分； ②风险防控：满足一个评分标准得1分，共3分； ③纠纷处置：满足一个评分标准得1分，共3分； ④理赔服务：满足一个评分标准得1分，共3分； ⑤突发事件应急处置：满足一个评分标准得1分，共3分； 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一、磋商小组根据供应商提供的理赔服务方案，包括但不限于：①报案响应，响应时效、②理赔各环节流程（涵盖从报案到赔款支付全流程）、③ 理赔各环节服务时效、④理赔所需相关资料明细、⑤单证简化进行综合打分； 二、评审标准：1.完整性：方案必须全⾯，对评审内容中的各项要求有详细描述； 2.可实施性：切合本项⽬实际情况提出步骤清晰、合理的⽅案; 3.针对性：⽅案能够紧扣项⽬实际情况，内容科学合理； 三、赋分依据：①报案响应，响应时效：满足一个评分标准得1分，共3分； ②理赔各环节流程（涵盖从报案到赔款支付全流程）：满足一个评分标准得1分，共3分； ③ 理赔各环节服务时效：满足一个评分标准得1分，共3分； ④理赔所需相关资料明细：满足一个评分标准得1分，共3分； ⑤单证简化：满足一个评分标准得1分，共3分； 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一、磋商小组根据供应商提供的方案，包括但不限于：①具备7×24小时响应、②快速报案机制、③现场勘查、④先行垫付、⑤诉讼协助、限时赔付等全流程成熟体系，流程清晰、时效量化进行综合打分； 二、评审标准：1.完整性：方案必须全⾯，对评审内容中的各项要求有详细描述； 2.可实施性：切合本项⽬实际情况提出步骤清晰、合理的⽅案; 3.针对性：⽅案能够紧扣项⽬实际情况，内容科学合理； 三、赋分依据：①具备7×24小时响应：满足一个评分标准得1分，共3分； ②快速报案机制：满足一个评分标准得1分，共3分； ③现场勘查：满足一个评分标准得1分，共3分； ④先行垫付：满足一个评分标准得1分，共3分； ⑤诉讼协助、限时赔付等全流程成熟体系，流程清晰、时效量化：满足一个评分标准得1分，共3分； 方案中每有一项内容缺失扣3分，方案内容要素中每存在一处缺陷扣0.5分，该分项分值扣完为止。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综合偿付能力充足率</w:t>
            </w:r>
          </w:p>
        </w:tc>
        <w:tc>
          <w:tcPr>
            <w:tcW w:type="dxa" w:w="2492"/>
          </w:tcPr>
          <w:p>
            <w:pPr>
              <w:pStyle w:val="null3"/>
            </w:pPr>
            <w:r>
              <w:rPr>
                <w:rFonts w:ascii="仿宋_GB2312" w:hAnsi="仿宋_GB2312" w:cs="仿宋_GB2312" w:eastAsia="仿宋_GB2312"/>
              </w:rPr>
              <w:t>依据《保险公司偿付能力管理规定》（银保监会2021年第1号令）最新一期公开披露数据，同时考核核心偿付能力充足率、综合偿付能力充足率、风险综合评级三项法定监管指标； ①A 类（低风险稳健型）：综合风险评分85 分（含）—100 分，偿付能力指标全部达标，四类风险整体较小；得7分； ②B 类（正常合规型）：综合风险评分70 分（含）—85 分，偿付能力达标、风险可控；得5分； ③C 类（较高风险型）：综合风险评分60 分（含）—70 分，风险偏高、监管重点关注；得3分； ④D 类（重大风险型）：综合风险评分60 分以下，属于高风险机构存在重大风险；不得分；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团队与职责</w:t>
            </w:r>
          </w:p>
        </w:tc>
        <w:tc>
          <w:tcPr>
            <w:tcW w:type="dxa" w:w="2492"/>
          </w:tcPr>
          <w:p>
            <w:pPr>
              <w:pStyle w:val="null3"/>
            </w:pPr>
            <w:r>
              <w:rPr>
                <w:rFonts w:ascii="仿宋_GB2312" w:hAnsi="仿宋_GB2312" w:cs="仿宋_GB2312" w:eastAsia="仿宋_GB2312"/>
              </w:rPr>
              <w:t>一、针对本承保服务和理赔服务成立专门小组：①配备专属项目负责人、专职法务、理赔专员等配置充足，分工明确，资质齐全，提供具体成员名单，包括姓名、职务、职称、工作职责、联系方式等；②承诺配备具有法律知识背景的专业接待人员，积极协调保险纠纷，有效控制服务对象的投诉、③安排专人指导被保险人全程办理相关的索赔手续进行综合打分。 二、评审标准：1.完整性：人员配备须全⾯，对评审内容中的各项要求有详细描述； 2.可实施性：切合本项⽬实际情况提出步骤清晰、合理; 3.针对性：⽅案能够紧扣项⽬实际情况，内容科学合理； 三、赋分依据：①配备专属项目负责人、专职法务、理赔专员等配置充足，分工明确，资质齐全，提供具体成员名单，包括姓名、职务、职称、工作职责、联系方式等：满足一个评分标准得1分，共3分； ②承诺配备具有法律知识背景的专业接待人员，积极协调保险纠纷，有效控制服务对象的投诉：满足一个评分标准得1分，共3分； ③安排专人指导被保险人全程办理相关的索赔手续：满足一个评分标准得1分，共3分； 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风险防控与培训</w:t>
            </w:r>
          </w:p>
        </w:tc>
        <w:tc>
          <w:tcPr>
            <w:tcW w:type="dxa" w:w="2492"/>
          </w:tcPr>
          <w:p>
            <w:pPr>
              <w:pStyle w:val="null3"/>
            </w:pPr>
            <w:r>
              <w:rPr>
                <w:rFonts w:ascii="仿宋_GB2312" w:hAnsi="仿宋_GB2312" w:cs="仿宋_GB2312" w:eastAsia="仿宋_GB2312"/>
              </w:rPr>
              <w:t>一、供应商提供防控方案与培训计划，方案应包括但不限于：①事前预防、纠纷管控、事后理赔；②培训方案、风险预警、高风险科室专项培训；③能够协助医院做好对被保险对象的培训和风险管理工作，并提供详细的培训方案。 二、评审标准：1.完整性：方案必须全⾯，对评审内容中的各项要求有详细描述； 2.可实施性：切合本项⽬实际情况提出步骤清晰、合理的⽅案; 3.针对性：⽅案能够紧扣项⽬实际情况，内容科学合理； 三、赋分依据：①事前预防、纠纷管控、事后理赔：满足一个评分标准得1分，共3分； ②培训方案、风险预警、高风险科室专项培训：满足一个评分标准得1分，共3分； ③能够协助医院做好对被保险对象的培训和风险管理工作，并提供详细的培训方案：满足一个评分标准得1分，共3分； 方案中每有一项内容缺失扣3分，方案内容要素中每存在一处缺陷扣1分，该分项分值扣完为止。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一、根据供应商提供售后服务方案进行评审，包括但不限于①售后服务保障措施及保密措施；②人员稳定性承诺进行综合打分； 二、评审标准：1.完整性：方案须全⾯，对评审内容中的各项要求有详细描述； 2.可实施性：切合本项⽬实际情况提出步骤清晰、合理； 三、赋分依据：①售后服务保障措施及保密措施：满足一个评分标准得1分，共2分； ②人员稳定性承诺：满足一个评分标准得1分，共2分； 方案中每有一项内容缺失扣2分，方案内容要素中每存在一处缺陷扣1分，该分项分值扣完为止。 注：缺陷是指：存在项目名称错误、地点区域错误、内容与本项目需求无关、仅有框架或标题内容过于简单、适用的标准（方法）错误、内容错误表述前后不一致，明显复制其他项目内容、出现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供应商或供应商总公司近三年（2023-2025）响应截止时间前在开展医疗责任险种保险业务业绩，每提供 1 份得 2分，最高6分。 注：须提供相应业绩保单、合同或合作协议复印件并加盖供应商公章，未提供或提供不符的不得分。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满足磋商文件要求且最终磋商报价最低的供应商的价格为评标基准价，其价格分为满分。其他供应商的价格分统一按照下列公式计算： 磋商报价得分=（评标基准价/最终磋商报价）×价格权值×100最低报价不是中标的唯一依据。因落实政府采购政策进行价格调整的，以调整后的价格计算评标基准价和投标报价。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详见附件：医疗保险合同范本（通用标准版）.docx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