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35A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bookmarkEnd w:id="0"/>
    </w:p>
    <w:p w14:paraId="7A00977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3EB8DA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3FB3831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学生终端、教师终端、电子教室管理软件、机房还原系统、机柜、交换机、稳压器、教师桌椅、双人学生桌凳等教学设施设备一批及配套室内改造，用于教学品质改善与能力提升，要求所有货物(产品)质量标准符合国家、省、市(行业)强制性标准及采购人要求的合格标准、安装调试到位、验收合格达到交钥匙条件。</w:t>
      </w:r>
    </w:p>
    <w:p w14:paraId="7E730CD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68C3684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61133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350,000.00</w:t>
      </w:r>
    </w:p>
    <w:p w14:paraId="33C4961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350,000.00</w:t>
      </w:r>
    </w:p>
    <w:p w14:paraId="18802C1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40AB1DE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4"/>
        <w:gridCol w:w="3061"/>
        <w:gridCol w:w="481"/>
        <w:gridCol w:w="963"/>
        <w:gridCol w:w="481"/>
        <w:gridCol w:w="481"/>
        <w:gridCol w:w="481"/>
        <w:gridCol w:w="481"/>
        <w:gridCol w:w="481"/>
        <w:gridCol w:w="481"/>
        <w:gridCol w:w="481"/>
      </w:tblGrid>
      <w:tr w14:paraId="4D2BCF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BB665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DCC8F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51906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B2B32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B51E6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308EB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ED6F5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E8E9D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AC071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D53B4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6D052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5BA060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012A7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FA069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计算机教室设施设备及配套室内改造</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0584D0">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2A3C1F">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350,000.00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5D365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2D969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85E16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58646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19992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12892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A0357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3C481C1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28D8C12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3CC58A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标的名称：计算机教室设施设备及配套室内改造</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42C9C20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84B61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81BF5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4C9FC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491F24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03BBA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BB0DFF">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F1BF4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1"/>
                <w:rFonts w:ascii="仿宋" w:hAnsi="仿宋" w:eastAsia="仿宋" w:cs="仿宋"/>
                <w:color w:val="000000"/>
                <w:sz w:val="26"/>
                <w:szCs w:val="26"/>
                <w:bdr w:val="none" w:color="auto" w:sz="0" w:space="0"/>
              </w:rPr>
              <w:t>1.</w:t>
            </w:r>
            <w:r>
              <w:rPr>
                <w:rStyle w:val="11"/>
                <w:rFonts w:hint="eastAsia" w:ascii="仿宋" w:hAnsi="仿宋" w:eastAsia="仿宋" w:cs="仿宋"/>
                <w:color w:val="000000"/>
                <w:sz w:val="26"/>
                <w:szCs w:val="26"/>
                <w:bdr w:val="none" w:color="auto" w:sz="0" w:space="0"/>
              </w:rPr>
              <w:t>采购需求及要求</w:t>
            </w:r>
          </w:p>
          <w:p w14:paraId="63D8404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1.1采购需求清单：详见附件：计算机教室设备采购需求一览表。</w:t>
            </w:r>
          </w:p>
          <w:p w14:paraId="1064F0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55CB476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3552BF1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053FFC5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3165CFE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3D87866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实际性能指标、功能等与响应内容不相符，一律按虚假应标处理，由成交供应商承担因此产生的一切后果和责任。</w:t>
            </w:r>
          </w:p>
          <w:p w14:paraId="566FCF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的资料内容真实、完整、准确；如存在相关第三方书面声明、相关检测报告等任意资料虚假情形，监管部门有权根据调查情形认定其是否属于提供虚假材料谋取中标(成交)，如属于将虚假应标情形，按照相关处罚条例进行严肃处理，由成交供应商承担因此产生的一切后果和责任。</w:t>
            </w:r>
          </w:p>
          <w:p w14:paraId="5D2D011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3B71071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000ACA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3194E61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61BCBAF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74CE5FA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6C114C3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41100C9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0350D05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0EBCF90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63C650B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改造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63CC244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27D3468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265DA5D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产品(主要标的物)属于强制性产品认证目录范围内的16大类96种产品，响应文件中应附产品的3C认证证书或国家市场监督管理总局全国认证认可信息公共服务平台的查询截。证书或截图载明的产品信息必须包含所投产品(主要标的物)，信息不一致或未包含所投产品信息或认证过期的，按未提供强制性产品认证处理。</w:t>
            </w:r>
          </w:p>
          <w:p w14:paraId="094AA47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宋体" w:hAnsi="宋体" w:eastAsia="宋体" w:cs="宋体"/>
                <w:sz w:val="18"/>
                <w:szCs w:val="18"/>
                <w:bdr w:val="none" w:color="auto" w:sz="0" w:space="0"/>
              </w:rPr>
              <w:t> </w:t>
            </w:r>
          </w:p>
        </w:tc>
      </w:tr>
    </w:tbl>
    <w:p w14:paraId="36842A6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0F8981E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7D8F164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DC4116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交货时间为自合同签订生效之日起30日内完成部室改造、供货、安装、调试、验收；合同履行期限为自合同签订之日起至质保期结束。</w:t>
      </w:r>
    </w:p>
    <w:p w14:paraId="6520AED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44D0195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9A5F24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西安市航空六一八中学(具体按采购人指定地点)</w:t>
      </w:r>
    </w:p>
    <w:p w14:paraId="6DD6A2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41BBC36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65645C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6AF7DDA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3D18094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866D06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 所有货物交货完成，验收合格 (付款前成交供应商应出具等值发票交至采购人，采购人以银行转账方式支付；其他具体按拟签订采购合同相关条款执行)后，达到付款条件起10个工作日内，支付合同总金额的100.0%</w:t>
      </w:r>
    </w:p>
    <w:p w14:paraId="510B78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78014C6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39D2F7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 (二)成交供应商完成全部设备供货、安装调试工作后，向采购人提交书面履约验收申请及全套验收资料。采购人审核资料无误后，组织开展正式验收工作。核查供应商提交资料的完整性、真实性、有效性，资料不全不予开展现场验收。主要包含：履约验收申请书、采购(招标)文件、响应(投标)文件、成交(中标)通知书、采购合同、设备送货清单、产品合格证、出厂检测报告、设备使用说明书、原厂质保承诺书、安装调试记录、培训记录（如有)及采购文件要求的其他佐证材料。（1）对照设备清单，逐一核对所有设备名称、品牌、规格型号、数量、序列号，确保无缺漏、无替换、无短缺；设备外观完好，无破损、变形、划痕、锈蚀，包装及配件齐全；（2）对照采购文件及合同约定技术参数，重点核查星号实质性条款，对设备逐一进行通电测试、功能调试。所有设备运行稳定、功能齐全，各项技术指标达标，可正常满足日常使用需求，无功能缺陷、参数不达标等问题；（3）设备按规范完成安装、布局、调试，设备摆放规范、安装牢固，线路排布整齐、安全合规，整体运行状态良好，可直接投入使用。 (三)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 (四)有关验收的其他事宜按拟签订采购合同文本中相关条款执行。</w:t>
      </w:r>
    </w:p>
    <w:p w14:paraId="634BC50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397B588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128F87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083CFDB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77E63B5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CC858F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(一)本项目整体质保期≥24个月，供应商承诺超过采购文件要求的，按其承诺的质保期进行质保，质保期起始时间为终验合格之日。 (二)成交供应商应保证在要求时间内完成全部供货、安装、调试、验收和培训工作(或其他伴随服务)等工作，并按其承诺的质量保修范围和内容(售后服务等)进行免费质保，且符合国家标准、行业规范和合同等相关文件的要求。</w:t>
      </w:r>
    </w:p>
    <w:p w14:paraId="44E0D88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400479F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9AAB25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按拟签订采购合同文本中相关条款执行</w:t>
      </w:r>
    </w:p>
    <w:p w14:paraId="02391B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11F7660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463083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r>
        <w:rPr>
          <w:rFonts w:hint="eastAsia" w:ascii="宋体" w:hAnsi="宋体" w:cs="宋体"/>
          <w:b/>
          <w:bCs/>
          <w:color w:val="000000" w:themeColor="text1"/>
          <w:sz w:val="28"/>
          <w:szCs w:val="28"/>
          <w:highlight w:val="none"/>
          <w:lang w:val="en-US" w:eastAsia="zh-CN"/>
          <w14:textFill>
            <w14:solidFill>
              <w14:schemeClr w14:val="tx1"/>
            </w14:solidFill>
          </w14:textFill>
        </w:rPr>
        <w:br w:type="page"/>
      </w:r>
    </w:p>
    <w:p w14:paraId="2BDB11C0">
      <w:pPr>
        <w:pStyle w:val="6"/>
        <w:adjustRightInd w:val="0"/>
        <w:snapToGrid w:val="0"/>
        <w:spacing w:line="360" w:lineRule="auto"/>
        <w:jc w:val="left"/>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附件：</w:t>
      </w:r>
    </w:p>
    <w:p w14:paraId="08CD763A">
      <w:pPr>
        <w:spacing w:line="300" w:lineRule="auto"/>
        <w:jc w:val="center"/>
        <w:rPr>
          <w:rFonts w:hint="eastAsia" w:ascii="仿宋" w:hAnsi="仿宋" w:eastAsia="仿宋" w:cs="仿宋"/>
          <w:b/>
          <w:bCs w:val="0"/>
          <w:color w:val="000000" w:themeColor="text1"/>
          <w:sz w:val="26"/>
          <w:szCs w:val="26"/>
          <w:highlight w:val="none"/>
          <w14:textFill>
            <w14:solidFill>
              <w14:schemeClr w14:val="tx1"/>
            </w14:solidFill>
          </w14:textFill>
        </w:rPr>
      </w:pPr>
      <w:r>
        <w:rPr>
          <w:rFonts w:hint="eastAsia" w:ascii="仿宋" w:hAnsi="仿宋" w:eastAsia="仿宋" w:cs="仿宋"/>
          <w:b/>
          <w:bCs w:val="0"/>
          <w:color w:val="000000" w:themeColor="text1"/>
          <w:sz w:val="26"/>
          <w:szCs w:val="26"/>
          <w:highlight w:val="none"/>
          <w:lang w:eastAsia="zh-CN"/>
          <w14:textFill>
            <w14:solidFill>
              <w14:schemeClr w14:val="tx1"/>
            </w14:solidFill>
          </w14:textFill>
        </w:rPr>
        <w:t>计算机教室设备采购项目</w:t>
      </w:r>
      <w:r>
        <w:rPr>
          <w:rFonts w:hint="eastAsia" w:ascii="仿宋" w:hAnsi="仿宋" w:eastAsia="仿宋" w:cs="仿宋"/>
          <w:b/>
          <w:bCs w:val="0"/>
          <w:color w:val="000000" w:themeColor="text1"/>
          <w:sz w:val="26"/>
          <w:szCs w:val="26"/>
          <w:highlight w:val="none"/>
          <w14:textFill>
            <w14:solidFill>
              <w14:schemeClr w14:val="tx1"/>
            </w14:solidFill>
          </w14:textFill>
        </w:rPr>
        <w:t>采购需求一览表</w:t>
      </w:r>
    </w:p>
    <w:tbl>
      <w:tblPr>
        <w:tblStyle w:val="9"/>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426"/>
        <w:gridCol w:w="6122"/>
        <w:gridCol w:w="786"/>
        <w:gridCol w:w="751"/>
      </w:tblGrid>
      <w:tr w14:paraId="6C83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09" w:type="dxa"/>
            <w:noWrap w:val="0"/>
            <w:vAlign w:val="center"/>
          </w:tcPr>
          <w:p w14:paraId="6CA8834B">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p>
        </w:tc>
        <w:tc>
          <w:tcPr>
            <w:tcW w:w="8334" w:type="dxa"/>
            <w:gridSpan w:val="3"/>
            <w:noWrap w:val="0"/>
            <w:vAlign w:val="center"/>
          </w:tcPr>
          <w:p w14:paraId="14348EB2">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主要标的：</w:t>
            </w:r>
          </w:p>
        </w:tc>
        <w:tc>
          <w:tcPr>
            <w:tcW w:w="751" w:type="dxa"/>
            <w:noWrap w:val="0"/>
            <w:vAlign w:val="center"/>
          </w:tcPr>
          <w:p w14:paraId="51AF2198">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p>
        </w:tc>
      </w:tr>
      <w:tr w14:paraId="14E6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809" w:type="dxa"/>
            <w:noWrap w:val="0"/>
            <w:vAlign w:val="center"/>
          </w:tcPr>
          <w:p w14:paraId="1F2757A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序号</w:t>
            </w:r>
          </w:p>
        </w:tc>
        <w:tc>
          <w:tcPr>
            <w:tcW w:w="1426" w:type="dxa"/>
            <w:noWrap w:val="0"/>
            <w:vAlign w:val="center"/>
          </w:tcPr>
          <w:p w14:paraId="767AC5B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标的名称</w:t>
            </w:r>
          </w:p>
        </w:tc>
        <w:tc>
          <w:tcPr>
            <w:tcW w:w="6122" w:type="dxa"/>
            <w:noWrap w:val="0"/>
            <w:vAlign w:val="center"/>
          </w:tcPr>
          <w:p w14:paraId="12A6020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参数指标要求</w:t>
            </w:r>
          </w:p>
        </w:tc>
        <w:tc>
          <w:tcPr>
            <w:tcW w:w="786" w:type="dxa"/>
            <w:noWrap w:val="0"/>
            <w:vAlign w:val="center"/>
          </w:tcPr>
          <w:p w14:paraId="22364F88">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数量</w:t>
            </w:r>
          </w:p>
        </w:tc>
        <w:tc>
          <w:tcPr>
            <w:tcW w:w="751" w:type="dxa"/>
            <w:noWrap w:val="0"/>
            <w:vAlign w:val="center"/>
          </w:tcPr>
          <w:p w14:paraId="7E560C6C">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单位</w:t>
            </w:r>
          </w:p>
        </w:tc>
      </w:tr>
      <w:tr w14:paraId="2181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7" w:hRule="atLeast"/>
          <w:jc w:val="center"/>
        </w:trPr>
        <w:tc>
          <w:tcPr>
            <w:tcW w:w="809" w:type="dxa"/>
            <w:noWrap w:val="0"/>
            <w:vAlign w:val="center"/>
          </w:tcPr>
          <w:p w14:paraId="5931AF0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w:t>
            </w:r>
          </w:p>
        </w:tc>
        <w:tc>
          <w:tcPr>
            <w:tcW w:w="1426" w:type="dxa"/>
            <w:noWrap w:val="0"/>
            <w:vAlign w:val="center"/>
          </w:tcPr>
          <w:p w14:paraId="7832AF43">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学生终端</w:t>
            </w:r>
          </w:p>
        </w:tc>
        <w:tc>
          <w:tcPr>
            <w:tcW w:w="6122" w:type="dxa"/>
            <w:noWrap w:val="0"/>
            <w:vAlign w:val="center"/>
          </w:tcPr>
          <w:p w14:paraId="33EE998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1.CPU:国产X86架构，主频≥2.7Ghz,≥8核8线程。</w:t>
            </w:r>
          </w:p>
          <w:p w14:paraId="51191BA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2.内存：≥8GB DDR4，最大支持32GB。</w:t>
            </w:r>
          </w:p>
          <w:p w14:paraId="1607C77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3.硬盘：≥512G固态硬盘。</w:t>
            </w:r>
          </w:p>
          <w:p w14:paraId="00EECFB2">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4.接口:正面：≥耳机*1个，≥麦克风*1个，≥USB3.0*2个；背面：≥耳机输出*1个，≥耳机输入*1个，≥麦克风*1个，≥RJ-45千兆网口*1个，≥USB3.0*2个，≥USB2.0*2个。</w:t>
            </w:r>
          </w:p>
          <w:p w14:paraId="17BB4C68">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5.显示接口：≥HDMI*1个，≥VGA*1个。</w:t>
            </w:r>
          </w:p>
          <w:p w14:paraId="6B7A5E0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6.显示器：≥23.</w:t>
            </w:r>
            <w:r>
              <w:rPr>
                <w:rFonts w:hint="eastAsia" w:ascii="仿宋" w:hAnsi="仿宋" w:eastAsia="仿宋" w:cs="仿宋"/>
                <w:color w:val="000000" w:themeColor="text1"/>
                <w:sz w:val="24"/>
                <w:szCs w:val="24"/>
                <w:highlight w:val="none"/>
                <w:lang w:val="en-US" w:eastAsia="zh-CN"/>
                <w14:textFill>
                  <w14:solidFill>
                    <w14:schemeClr w14:val="tx1"/>
                  </w14:solidFill>
                </w14:textFill>
              </w:rPr>
              <w:t>8英</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寸，支持VGA、HDMI接口，分辨率≥1920x1080,支持低蓝光无频闪，刷新率≥60Hz，显示屏响应时间≤15ms。</w:t>
            </w:r>
          </w:p>
          <w:p w14:paraId="1E1D8914">
            <w:pPr>
              <w:keepNext w:val="0"/>
              <w:keepLines w:val="0"/>
              <w:pageBreakBefore w:val="0"/>
              <w:kinsoku/>
              <w:wordWrap/>
              <w:overflowPunct/>
              <w:topLinePunct w:val="0"/>
              <w:autoSpaceDE/>
              <w:autoSpaceDN/>
              <w:bidi w:val="0"/>
              <w:adjustRightInd/>
              <w:snapToGrid/>
              <w:spacing w:line="216" w:lineRule="auto"/>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7.操作系统:预装国产正版操作系统(银河麒麟、统信、中科方德等通过安全测评操作系统均可）。</w:t>
            </w:r>
          </w:p>
        </w:tc>
        <w:tc>
          <w:tcPr>
            <w:tcW w:w="786" w:type="dxa"/>
            <w:noWrap w:val="0"/>
            <w:vAlign w:val="center"/>
          </w:tcPr>
          <w:p w14:paraId="6897DDA9">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w:t>
            </w:r>
          </w:p>
        </w:tc>
        <w:tc>
          <w:tcPr>
            <w:tcW w:w="751" w:type="dxa"/>
            <w:noWrap w:val="0"/>
            <w:vAlign w:val="center"/>
          </w:tcPr>
          <w:p w14:paraId="487AE44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5FE9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atLeast"/>
          <w:jc w:val="center"/>
        </w:trPr>
        <w:tc>
          <w:tcPr>
            <w:tcW w:w="809" w:type="dxa"/>
            <w:noWrap w:val="0"/>
            <w:vAlign w:val="center"/>
          </w:tcPr>
          <w:p w14:paraId="612D27E7">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2</w:t>
            </w:r>
          </w:p>
        </w:tc>
        <w:tc>
          <w:tcPr>
            <w:tcW w:w="1426" w:type="dxa"/>
            <w:noWrap w:val="0"/>
            <w:vAlign w:val="center"/>
          </w:tcPr>
          <w:p w14:paraId="6D6435FC">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教师终端</w:t>
            </w:r>
          </w:p>
        </w:tc>
        <w:tc>
          <w:tcPr>
            <w:tcW w:w="6122" w:type="dxa"/>
            <w:noWrap w:val="0"/>
            <w:vAlign w:val="center"/>
          </w:tcPr>
          <w:p w14:paraId="1328BDD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1.CPU:国产X86架构，主频≥2.7Ghz,≥于8核8线程。</w:t>
            </w:r>
          </w:p>
          <w:p w14:paraId="4B75EAD9">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2.内存:≥16GB DDR4，支持双通道，最大支持32G。</w:t>
            </w:r>
          </w:p>
          <w:p w14:paraId="00EC150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3.硬盘：≥SSD 512G M.2固态。</w:t>
            </w:r>
          </w:p>
          <w:p w14:paraId="7A2D9CA9">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4.网络接口:集成100/1000M千兆以太网端口*1个(RJ45)。</w:t>
            </w:r>
          </w:p>
          <w:p w14:paraId="03C67AC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5.USB端口:侧端接口：≥USB3.0*2个、≥USB2.0*2个、≥Type-C*1个、≥3.5mm音频口输入*1个；背端接口：≥USB2.0*2个、≥Type-C*1个、≥VGA*1个、≥HDMI*1个。</w:t>
            </w:r>
          </w:p>
          <w:p w14:paraId="047BF582">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★6.显示屏:≥27.0英寸，分辨率≥2K(2560*1440)。</w:t>
            </w:r>
          </w:p>
          <w:p w14:paraId="66021BED">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7.操作系统:预装国产正版操作系统(银河麒麟、统信、中科方德等通过安全测评操作系统均可）。</w:t>
            </w:r>
          </w:p>
          <w:p w14:paraId="5B25DF4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★8.机型类型：一体机机型，不接受分体式(显示器+miniPC、云桌面+瘦终端等)方案。</w:t>
            </w:r>
          </w:p>
          <w:p w14:paraId="14597B40">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★10.为了软、硬件产品兼容性，学生终端、教师终端、机房还原系统须为同一品牌。</w:t>
            </w:r>
          </w:p>
        </w:tc>
        <w:tc>
          <w:tcPr>
            <w:tcW w:w="786" w:type="dxa"/>
            <w:noWrap w:val="0"/>
            <w:vAlign w:val="center"/>
          </w:tcPr>
          <w:p w14:paraId="64EC86B9">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39D6DD19">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3EBB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noWrap w:val="0"/>
            <w:vAlign w:val="center"/>
          </w:tcPr>
          <w:p w14:paraId="194F8373">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3</w:t>
            </w:r>
          </w:p>
        </w:tc>
        <w:tc>
          <w:tcPr>
            <w:tcW w:w="1426" w:type="dxa"/>
            <w:noWrap w:val="0"/>
            <w:vAlign w:val="center"/>
          </w:tcPr>
          <w:p w14:paraId="55BD546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电子教室管理软件</w:t>
            </w:r>
          </w:p>
        </w:tc>
        <w:tc>
          <w:tcPr>
            <w:tcW w:w="6122" w:type="dxa"/>
            <w:noWrap w:val="0"/>
            <w:vAlign w:val="center"/>
          </w:tcPr>
          <w:p w14:paraId="2AD74253">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1.支持同版本同时兼容国产操作系统(银河麒麟、统信、中科方德等)、Windows等多种操作系统；使用时，支持教师端可选任意操作系统，学生端也是任意操作系统。</w:t>
            </w:r>
          </w:p>
          <w:p w14:paraId="3D3A29D2">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支持屏幕广播：支持将教师终端的屏幕和声音广播给单一、部分或全体学生终端，支持全屏或窗口方式；屏幕广播过程中，支持教师选定一台学生终端来远程控制教师终端，代替教师来完成相关教学功能的操作；支持4K画质的屏幕广播；支持屏幕笔进行批注，插入文本、线条和图形。</w:t>
            </w:r>
          </w:p>
          <w:p w14:paraId="16F7A2B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3.支持学生演示：支持教师选定一台学生终端作为示范进行演示。</w:t>
            </w:r>
          </w:p>
          <w:p w14:paraId="323F6DD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4.支持网络影院实现教师终端播放的视频同步无延时广播到学生终端，支持720p、1080p、4K高清视频。</w:t>
            </w:r>
          </w:p>
          <w:p w14:paraId="5DD479F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支持多种文件交互功能，包含文件分发、文件提交、文件收集、文件共享等功能；支持对正在发送的文件进行暂停、撤销；支持对已发送的文件进行删除和清空学生端文件夹；支持预定义多个文件收集任务，并支持教师预设学生文件收集类型、收集路径、收集后保存路径；支持通过课件点播实现教师上传文件供学生查看和下载；支持通过共享中心实现教师和学生上传文件，供全体师生查看和下载。（提供功能截图）</w:t>
            </w:r>
          </w:p>
          <w:p w14:paraId="0F25324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6.支持教师发起分组讨论或主题讨论，支持教师发送文字、画布、图片、文件等与学生进行讨论。</w:t>
            </w:r>
          </w:p>
          <w:p w14:paraId="66955C9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7.支持共享白板：支持教师共享白板、图片或截图与选定的学生共同完成相同的学习任务或绘画作品，并提供多种不同的工具，如画笔、图形等供教师和学生绘制时使用；支持历史记录，可以查看过往绘制的白板；支持批量导入和导出白板记录。（提供功能截图）</w:t>
            </w:r>
          </w:p>
          <w:p w14:paraId="56D7BBF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8.支持互动功能，支持教师实时截屏、添加本地图片、手动输入问题等方式发起互动答题，答题类型支持单选、多选、判断、算数、简答、投票、演示等，答题模式支持全体作答、挑人、抢答；支持教师查看正在进行课堂和已结束课堂的参与人数、发起答题数、答题正确率、答题详情、答案分布等信息。（提供功能截图）</w:t>
            </w:r>
          </w:p>
          <w:p w14:paraId="015C833C">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9.支持考试：支持对全体学生发起统一的考试，支持添加多种试卷卷对不同组别的学生发送不同试卷；支持教师实时查看学生答题进度。</w:t>
            </w:r>
          </w:p>
          <w:p w14:paraId="613703C1">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10.支持全体遥控：支持教师端实时遥控所有学生终端的操作，可同时执行应用程序、打开网页、安装卸载应用甚至绘图、代码编写等。</w:t>
            </w:r>
          </w:p>
          <w:p w14:paraId="349C932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11.支持各种上机策略，包括U盘限制、网页限制、程序限制等，U盘访问权限支持全部开放、只读、完全阻止三种策略。</w:t>
            </w:r>
          </w:p>
          <w:p w14:paraId="3B76366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12.支持教师远程查看学生终端登录名、IP地址、系统类型、MAC地址、磁盘空间、进程、CPU使用情况、内存使用情况、网络利用率等信息。</w:t>
            </w:r>
          </w:p>
          <w:p w14:paraId="1B83202A">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★13.支持控制中心面板，支持通过控制中心快速一键执行黑屏安静、联网权限、举手权限、发送消息、发送文件、键鼠、U盘等使用权限的开关控制；支持调整扬声器音量、麦克风音量。（提供功能截图）</w:t>
            </w:r>
          </w:p>
          <w:p w14:paraId="5471968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14、支持远程命令：支持教师进行远程开机、关机、重启、注销、自定义命令等操作。</w:t>
            </w:r>
          </w:p>
          <w:p w14:paraId="4FF03D2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★15.支持图标监看：支持显示学生终端</w:t>
            </w:r>
            <w:r>
              <w:rPr>
                <w:rStyle w:val="12"/>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桌面</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的缩略图，缩略图显示大小也可自由设定；缩略图可显示正在被应用的状态，状态包含联网、举手、发送消息、发送文件、键鼠、U盘等使用权限。（提供功能截图）</w:t>
            </w:r>
          </w:p>
          <w:p w14:paraId="0DE4A50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16.支持远程设置学生端密码、是否显示学生端浮动工具栏、断网锁屏、远程消息、学生举手、学生签到、屏幕监看等功能。</w:t>
            </w:r>
          </w:p>
        </w:tc>
        <w:tc>
          <w:tcPr>
            <w:tcW w:w="786" w:type="dxa"/>
            <w:noWrap w:val="0"/>
            <w:vAlign w:val="center"/>
          </w:tcPr>
          <w:p w14:paraId="2A21E56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w:t>
            </w:r>
          </w:p>
        </w:tc>
        <w:tc>
          <w:tcPr>
            <w:tcW w:w="751" w:type="dxa"/>
            <w:noWrap w:val="0"/>
            <w:vAlign w:val="center"/>
          </w:tcPr>
          <w:p w14:paraId="08FA2A3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点位</w:t>
            </w:r>
          </w:p>
        </w:tc>
      </w:tr>
      <w:tr w14:paraId="50BA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09" w:type="dxa"/>
            <w:noWrap w:val="0"/>
            <w:vAlign w:val="center"/>
          </w:tcPr>
          <w:p w14:paraId="65F2B6A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4</w:t>
            </w:r>
          </w:p>
        </w:tc>
        <w:tc>
          <w:tcPr>
            <w:tcW w:w="1426" w:type="dxa"/>
            <w:noWrap w:val="0"/>
            <w:vAlign w:val="center"/>
          </w:tcPr>
          <w:p w14:paraId="7A8F648E">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机房还原系统</w:t>
            </w:r>
          </w:p>
        </w:tc>
        <w:tc>
          <w:tcPr>
            <w:tcW w:w="6122" w:type="dxa"/>
            <w:noWrap w:val="0"/>
            <w:vAlign w:val="center"/>
          </w:tcPr>
          <w:p w14:paraId="5B8BE78A">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1.支持同版本同时兼容国产(兆芯、海光、龙芯、飞腾、麒麟等)、Intel、AMD等硬件平台；兼容国产操作系统(银河麒麟、统信、中科方德等)、Windows等多种操作系统。</w:t>
            </w:r>
          </w:p>
          <w:p w14:paraId="41A3A63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支持同界面可分别独立设置操作系统的开机还原、手动还原、每天还原、每周还原、每月还原、定时还原及不还原等多种数据还原方式；支持在操作系统下对所有终端批量设置还原参数，也可对单台还原参数独立设置。</w:t>
            </w:r>
          </w:p>
          <w:p w14:paraId="43346EE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3.支持BIOS底层和国产操作系统(银河麒麟、统信、中科方德等)下两种方式对管理员模式、还原模式、考试模式进行一键自由切换。</w:t>
            </w:r>
          </w:p>
          <w:p w14:paraId="056C9B9D">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支持多系统启动功能，提供国产操作系统(银河麒麟、统信、中科方德等)多系统同时安装启动，每个操作系统都可以设置自己私有的IP和终端名称；具备每个系统的数据相互隔离，支持用户可自由切换到需要使用的系统；支持每个系统的启动界面可根据需要选择是否隐藏。</w:t>
            </w:r>
          </w:p>
          <w:p w14:paraId="7DBA682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支持智慧对拷功能，支持将教师终端数据同步到所有学生端，支持对拷前可根据数据量大小预设广播、组播、单播等对拷数据发送方式；支持可根据网络状况预设全速、高速、快速、流畅等延时时间以及是否启用断点续传、数据加密传输功能，对拷过程中可实时查看当前对拷速度、对拷分区类型、分区大小、总剩余数据量、已用时间、剩余时间和所有参与对拷终端的详情；支持对终端进行智慧排序、IP分配、参数对拷等功能。</w:t>
            </w:r>
          </w:p>
          <w:p w14:paraId="53EE22E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★6.支持UEFI PXE和Legacy PXE双模式自动连线；支持三种数据同步方式：同步所有资料、仅同步第一个系统分区、仅同步机房运维管理系统。（提供功能截图）</w:t>
            </w:r>
          </w:p>
          <w:p w14:paraId="71DE8A20">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7.支持分区管理功能，BIOS底层对硬盘进行分区新建、删除、编辑等操作，无需借助第三方分区工具，根据需要自由划分硬盘分区；分区类型包括系统分区/数据分区；支持系统分区可设置是否隐藏，支持数据分区可设置所属系统。</w:t>
            </w:r>
          </w:p>
          <w:p w14:paraId="30C8AF5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8.支持系统对拷功能，将已安装的系统克隆出相同的系统，如用户需要多个相同系统无需逐个安装，只需要将现有系统通过系统对拷即可。</w:t>
            </w:r>
          </w:p>
          <w:p w14:paraId="01F527A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9.支持虚拟系统功能，每个真实的系统最多可建立≥50个虚拟系统，虚拟系统的数据和真实系统相互隔离。</w:t>
            </w:r>
          </w:p>
        </w:tc>
        <w:tc>
          <w:tcPr>
            <w:tcW w:w="786" w:type="dxa"/>
            <w:noWrap w:val="0"/>
            <w:vAlign w:val="center"/>
          </w:tcPr>
          <w:p w14:paraId="17E6C341">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01505D91">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3AF00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2" w:hRule="atLeast"/>
          <w:jc w:val="center"/>
        </w:trPr>
        <w:tc>
          <w:tcPr>
            <w:tcW w:w="809" w:type="dxa"/>
            <w:noWrap w:val="0"/>
            <w:vAlign w:val="center"/>
          </w:tcPr>
          <w:p w14:paraId="699A56BB">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5</w:t>
            </w:r>
          </w:p>
        </w:tc>
        <w:tc>
          <w:tcPr>
            <w:tcW w:w="1426" w:type="dxa"/>
            <w:noWrap w:val="0"/>
            <w:vAlign w:val="center"/>
          </w:tcPr>
          <w:p w14:paraId="693E193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机柜</w:t>
            </w:r>
          </w:p>
        </w:tc>
        <w:tc>
          <w:tcPr>
            <w:tcW w:w="6122" w:type="dxa"/>
            <w:noWrap w:val="0"/>
            <w:vAlign w:val="center"/>
          </w:tcPr>
          <w:p w14:paraId="0A4BEBCA">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1.机柜外形整体规格(约)：600mm*600mm*1000mm。</w:t>
            </w:r>
          </w:p>
          <w:p w14:paraId="10DEBBF0">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2.采用SPCC级冷轧钢板制作，表面经静电喷塑工艺处理，具备良好的防锈、耐腐蚀性能，机柜防护等级≥IP20。</w:t>
            </w:r>
          </w:p>
          <w:p w14:paraId="41473AE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3.安装立柱板材厚度≥2.0mm，前后门、侧板、托板、横梁板材厚度≥1.2mm，板材厚度：≥1.2mm。帽底、框架板材厚度：≥1.0mm，机柜静态承重≥300kg。</w:t>
            </w:r>
          </w:p>
          <w:p w14:paraId="6DE4C4C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4.前门为网孔前门和高密度透气网孔后门，同时满足设备保护、通风散热、外部观察机器运行状态等要求。</w:t>
            </w:r>
          </w:p>
          <w:p w14:paraId="161F3BC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5.支持落地式安装，支持根据使用场景选配支撑脚或移动脚轮。</w:t>
            </w:r>
          </w:p>
          <w:p w14:paraId="0AA8EE53">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6.标配电源排插、移动脚轮、固定地脚，支持走线通道规格调节。</w:t>
            </w:r>
          </w:p>
        </w:tc>
        <w:tc>
          <w:tcPr>
            <w:tcW w:w="786" w:type="dxa"/>
            <w:noWrap w:val="0"/>
            <w:vAlign w:val="center"/>
          </w:tcPr>
          <w:p w14:paraId="2A89CE08">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0683FD00">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60B9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2" w:hRule="atLeast"/>
          <w:jc w:val="center"/>
        </w:trPr>
        <w:tc>
          <w:tcPr>
            <w:tcW w:w="809" w:type="dxa"/>
            <w:noWrap w:val="0"/>
            <w:vAlign w:val="center"/>
          </w:tcPr>
          <w:p w14:paraId="52506C4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6</w:t>
            </w:r>
          </w:p>
        </w:tc>
        <w:tc>
          <w:tcPr>
            <w:tcW w:w="1426" w:type="dxa"/>
            <w:noWrap w:val="0"/>
            <w:vAlign w:val="center"/>
          </w:tcPr>
          <w:p w14:paraId="344A82D5">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交换机</w:t>
            </w:r>
          </w:p>
        </w:tc>
        <w:tc>
          <w:tcPr>
            <w:tcW w:w="6122" w:type="dxa"/>
            <w:noWrap w:val="0"/>
            <w:vAlign w:val="center"/>
          </w:tcPr>
          <w:p w14:paraId="1719457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1.交换容量≥336Gbps，包转发率≥43.5Mpps；≥24个10/100/1000Mbps自适应电口，≥2个千兆光口。</w:t>
            </w:r>
          </w:p>
          <w:p w14:paraId="238ABD29">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2.支持准交换、端口隔离、汇聚上联、防环路四种模式切换，支持优先转发端口。</w:t>
            </w:r>
          </w:p>
          <w:p w14:paraId="409AF8B1">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3.支持云管模式下，支持防环路、防私接、风暴抑制，支持远程管理 。</w:t>
            </w:r>
          </w:p>
        </w:tc>
        <w:tc>
          <w:tcPr>
            <w:tcW w:w="786" w:type="dxa"/>
            <w:noWrap w:val="0"/>
            <w:vAlign w:val="center"/>
          </w:tcPr>
          <w:p w14:paraId="78D49F1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751" w:type="dxa"/>
            <w:noWrap w:val="0"/>
            <w:vAlign w:val="center"/>
          </w:tcPr>
          <w:p w14:paraId="4F9C7713">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台</w:t>
            </w:r>
          </w:p>
        </w:tc>
      </w:tr>
      <w:tr w14:paraId="35CC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jc w:val="center"/>
        </w:trPr>
        <w:tc>
          <w:tcPr>
            <w:tcW w:w="809" w:type="dxa"/>
            <w:noWrap w:val="0"/>
            <w:vAlign w:val="center"/>
          </w:tcPr>
          <w:p w14:paraId="249FAD1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7</w:t>
            </w:r>
          </w:p>
        </w:tc>
        <w:tc>
          <w:tcPr>
            <w:tcW w:w="1426" w:type="dxa"/>
            <w:noWrap w:val="0"/>
            <w:vAlign w:val="center"/>
          </w:tcPr>
          <w:p w14:paraId="08257B1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稳压器</w:t>
            </w:r>
          </w:p>
        </w:tc>
        <w:tc>
          <w:tcPr>
            <w:tcW w:w="6122" w:type="dxa"/>
            <w:noWrap w:val="0"/>
            <w:vAlign w:val="center"/>
          </w:tcPr>
          <w:p w14:paraId="1A2A3C7C">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1.输出功率：≥30KVA/24000W。</w:t>
            </w:r>
          </w:p>
          <w:p w14:paraId="1076AC2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2.稳压范围：275V-430V；</w:t>
            </w:r>
          </w:p>
          <w:p w14:paraId="5715121C">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3.输出电压：380V±3%。</w:t>
            </w:r>
          </w:p>
          <w:p w14:paraId="6CD10B9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4.频率：50/60Hz。</w:t>
            </w:r>
          </w:p>
          <w:p w14:paraId="0C54D7CD">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5.过压保护：246V±4V。</w:t>
            </w:r>
          </w:p>
          <w:p w14:paraId="7A3397D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6.调整时间：≤1秒。</w:t>
            </w:r>
          </w:p>
          <w:p w14:paraId="3BE0AD21">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7.绝缘电阻：≥2MΩ。</w:t>
            </w:r>
          </w:p>
        </w:tc>
        <w:tc>
          <w:tcPr>
            <w:tcW w:w="786" w:type="dxa"/>
            <w:noWrap w:val="0"/>
            <w:vAlign w:val="center"/>
          </w:tcPr>
          <w:p w14:paraId="2B86E046">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1878BFD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67624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09" w:type="dxa"/>
            <w:noWrap w:val="0"/>
            <w:vAlign w:val="center"/>
          </w:tcPr>
          <w:p w14:paraId="0CD6A9DC">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8</w:t>
            </w:r>
          </w:p>
        </w:tc>
        <w:tc>
          <w:tcPr>
            <w:tcW w:w="1426" w:type="dxa"/>
            <w:noWrap w:val="0"/>
            <w:vAlign w:val="center"/>
          </w:tcPr>
          <w:p w14:paraId="5B176C1E">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网线</w:t>
            </w:r>
          </w:p>
        </w:tc>
        <w:tc>
          <w:tcPr>
            <w:tcW w:w="6122" w:type="dxa"/>
            <w:noWrap w:val="0"/>
            <w:vAlign w:val="center"/>
          </w:tcPr>
          <w:p w14:paraId="3BBEFF9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不低于国标的六类网线，每箱≥300米。</w:t>
            </w:r>
          </w:p>
        </w:tc>
        <w:tc>
          <w:tcPr>
            <w:tcW w:w="786" w:type="dxa"/>
            <w:noWrap w:val="0"/>
            <w:vAlign w:val="center"/>
          </w:tcPr>
          <w:p w14:paraId="08AD51A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w:t>
            </w:r>
          </w:p>
        </w:tc>
        <w:tc>
          <w:tcPr>
            <w:tcW w:w="751" w:type="dxa"/>
            <w:noWrap w:val="0"/>
            <w:vAlign w:val="center"/>
          </w:tcPr>
          <w:p w14:paraId="06A210E5">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箱</w:t>
            </w:r>
          </w:p>
        </w:tc>
      </w:tr>
      <w:tr w14:paraId="19A3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6" w:hRule="atLeast"/>
          <w:jc w:val="center"/>
        </w:trPr>
        <w:tc>
          <w:tcPr>
            <w:tcW w:w="809" w:type="dxa"/>
            <w:noWrap w:val="0"/>
            <w:vAlign w:val="center"/>
          </w:tcPr>
          <w:p w14:paraId="4A17F31A">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9</w:t>
            </w:r>
          </w:p>
        </w:tc>
        <w:tc>
          <w:tcPr>
            <w:tcW w:w="1426" w:type="dxa"/>
            <w:noWrap w:val="0"/>
            <w:vAlign w:val="center"/>
          </w:tcPr>
          <w:p w14:paraId="32143190">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教师桌椅</w:t>
            </w:r>
          </w:p>
        </w:tc>
        <w:tc>
          <w:tcPr>
            <w:tcW w:w="6122" w:type="dxa"/>
            <w:noWrap w:val="0"/>
            <w:vAlign w:val="center"/>
          </w:tcPr>
          <w:p w14:paraId="2D328B14">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一、教师桌：</w:t>
            </w:r>
          </w:p>
          <w:p w14:paraId="027BAA0C">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1.桌子整体规格</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color w:val="000000" w:themeColor="text1"/>
                <w:sz w:val="24"/>
                <w:szCs w:val="24"/>
                <w:highlight w:val="none"/>
                <w:lang w:eastAsia="zh-CN" w:bidi="ar"/>
                <w14:textFill>
                  <w14:solidFill>
                    <w14:schemeClr w14:val="tx1"/>
                  </w14:solidFill>
                </w14:textFill>
              </w:rPr>
              <w:t>：1200mm*600mm*750mm。</w:t>
            </w:r>
          </w:p>
          <w:p w14:paraId="00C64650">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2.板材采用中密度纤维板。</w:t>
            </w:r>
          </w:p>
          <w:p w14:paraId="47C06DC0">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3.台面贴厚度≥0.6mm胡桃木皮。</w:t>
            </w:r>
          </w:p>
          <w:p w14:paraId="56738946">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4.所有木质材料经过杀菌、杀虫处理，干燥率低于9%含水率。</w:t>
            </w:r>
          </w:p>
          <w:p w14:paraId="57336E3C">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5.采用A级油漆,油漆面无颗粒，无气泡，无渣点，颜色均匀，硬度高。</w:t>
            </w:r>
          </w:p>
          <w:p w14:paraId="7470089B">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6.</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配备</w:t>
            </w:r>
            <w:r>
              <w:rPr>
                <w:rFonts w:hint="eastAsia" w:ascii="仿宋" w:hAnsi="仿宋" w:eastAsia="仿宋" w:cs="仿宋"/>
                <w:color w:val="000000" w:themeColor="text1"/>
                <w:sz w:val="24"/>
                <w:szCs w:val="24"/>
                <w:highlight w:val="none"/>
                <w:lang w:eastAsia="zh-CN" w:bidi="ar"/>
                <w14:textFill>
                  <w14:solidFill>
                    <w14:schemeClr w14:val="tx1"/>
                  </w14:solidFill>
                </w14:textFill>
              </w:rPr>
              <w:t>优质五金配件，所有五金配件均经防锈、防腐处理。</w:t>
            </w:r>
          </w:p>
          <w:p w14:paraId="1CFF93F8">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7</w:t>
            </w:r>
            <w:r>
              <w:rPr>
                <w:rFonts w:hint="eastAsia" w:ascii="仿宋" w:hAnsi="仿宋" w:eastAsia="仿宋" w:cs="仿宋"/>
                <w:color w:val="000000" w:themeColor="text1"/>
                <w:sz w:val="24"/>
                <w:szCs w:val="24"/>
                <w:highlight w:val="none"/>
                <w:lang w:eastAsia="zh-CN" w:bidi="ar"/>
                <w14:textFill>
                  <w14:solidFill>
                    <w14:schemeClr w14:val="tx1"/>
                  </w14:solidFill>
                </w14:textFill>
              </w:rPr>
              <w:t>.</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配备</w:t>
            </w:r>
            <w:r>
              <w:rPr>
                <w:rFonts w:hint="eastAsia" w:ascii="仿宋" w:hAnsi="仿宋" w:eastAsia="仿宋" w:cs="仿宋"/>
                <w:color w:val="000000" w:themeColor="text1"/>
                <w:sz w:val="24"/>
                <w:szCs w:val="24"/>
                <w:highlight w:val="none"/>
                <w:lang w:eastAsia="zh-CN" w:bidi="ar"/>
                <w14:textFill>
                  <w14:solidFill>
                    <w14:schemeClr w14:val="tx1"/>
                  </w14:solidFill>
                </w14:textFill>
              </w:rPr>
              <w:t>塑料静音防滑胶垫。</w:t>
            </w:r>
          </w:p>
          <w:p w14:paraId="44DC3E4E">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二、教师椅：</w:t>
            </w:r>
          </w:p>
          <w:p w14:paraId="67362A3E">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8</w:t>
            </w:r>
            <w:r>
              <w:rPr>
                <w:rFonts w:hint="eastAsia" w:ascii="仿宋" w:hAnsi="仿宋" w:eastAsia="仿宋" w:cs="仿宋"/>
                <w:color w:val="000000" w:themeColor="text1"/>
                <w:sz w:val="24"/>
                <w:szCs w:val="24"/>
                <w:highlight w:val="none"/>
                <w:lang w:eastAsia="zh-CN" w:bidi="ar"/>
                <w14:textFill>
                  <w14:solidFill>
                    <w14:schemeClr w14:val="tx1"/>
                  </w14:solidFill>
                </w14:textFill>
              </w:rPr>
              <w:t>.椅子整体规格</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color w:val="000000" w:themeColor="text1"/>
                <w:sz w:val="24"/>
                <w:szCs w:val="24"/>
                <w:highlight w:val="none"/>
                <w:lang w:eastAsia="zh-CN" w:bidi="ar"/>
                <w14:textFill>
                  <w14:solidFill>
                    <w14:schemeClr w14:val="tx1"/>
                  </w14:solidFill>
                </w14:textFill>
              </w:rPr>
              <w:t>：590mm*970mm*510mm。</w:t>
            </w:r>
          </w:p>
          <w:p w14:paraId="130CC683">
            <w:pPr>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9</w:t>
            </w:r>
            <w:r>
              <w:rPr>
                <w:rFonts w:hint="eastAsia" w:ascii="仿宋" w:hAnsi="仿宋" w:eastAsia="仿宋" w:cs="仿宋"/>
                <w:color w:val="000000" w:themeColor="text1"/>
                <w:sz w:val="24"/>
                <w:szCs w:val="24"/>
                <w:highlight w:val="none"/>
                <w:lang w:eastAsia="zh-CN" w:bidi="ar"/>
                <w14:textFill>
                  <w14:solidFill>
                    <w14:schemeClr w14:val="tx1"/>
                  </w14:solidFill>
                </w14:textFill>
              </w:rPr>
              <w:t>.材质：</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采用</w:t>
            </w:r>
            <w:r>
              <w:rPr>
                <w:rFonts w:hint="eastAsia" w:ascii="仿宋" w:hAnsi="仿宋" w:eastAsia="仿宋" w:cs="仿宋"/>
                <w:color w:val="000000" w:themeColor="text1"/>
                <w:sz w:val="24"/>
                <w:szCs w:val="24"/>
                <w:highlight w:val="none"/>
                <w:lang w:eastAsia="zh-CN" w:bidi="ar"/>
                <w14:textFill>
                  <w14:solidFill>
                    <w14:schemeClr w14:val="tx1"/>
                  </w14:solidFill>
                </w14:textFill>
              </w:rPr>
              <w:t>高透气网布、耐磨座布、高透气网布靠背、高密度定型海棉带座壳、PP加纤扶手。</w:t>
            </w:r>
          </w:p>
        </w:tc>
        <w:tc>
          <w:tcPr>
            <w:tcW w:w="786" w:type="dxa"/>
            <w:noWrap w:val="0"/>
            <w:vAlign w:val="center"/>
          </w:tcPr>
          <w:p w14:paraId="5659F9F6">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558B3F3B">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1C5EE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6" w:hRule="atLeast"/>
          <w:jc w:val="center"/>
        </w:trPr>
        <w:tc>
          <w:tcPr>
            <w:tcW w:w="809" w:type="dxa"/>
            <w:noWrap w:val="0"/>
            <w:vAlign w:val="center"/>
          </w:tcPr>
          <w:p w14:paraId="1596DD56">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10</w:t>
            </w:r>
          </w:p>
        </w:tc>
        <w:tc>
          <w:tcPr>
            <w:tcW w:w="1426" w:type="dxa"/>
            <w:noWrap w:val="0"/>
            <w:vAlign w:val="center"/>
          </w:tcPr>
          <w:p w14:paraId="2A4AABB8">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双人学生桌凳</w:t>
            </w:r>
          </w:p>
        </w:tc>
        <w:tc>
          <w:tcPr>
            <w:tcW w:w="6122" w:type="dxa"/>
            <w:noWrap w:val="0"/>
            <w:vAlign w:val="center"/>
          </w:tcPr>
          <w:p w14:paraId="2423B835">
            <w:pPr>
              <w:keepNext w:val="0"/>
              <w:keepLines w:val="0"/>
              <w:widowControl/>
              <w:suppressLineNumbers w:val="0"/>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一、学生桌：</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1.桌子</w:t>
            </w:r>
            <w:r>
              <w:rPr>
                <w:rFonts w:hint="eastAsia" w:ascii="仿宋" w:hAnsi="仿宋" w:eastAsia="仿宋" w:cs="仿宋"/>
                <w:color w:val="000000" w:themeColor="text1"/>
                <w:sz w:val="24"/>
                <w:szCs w:val="24"/>
                <w:highlight w:val="none"/>
                <w:lang w:eastAsia="zh-CN" w:bidi="ar"/>
                <w14:textFill>
                  <w14:solidFill>
                    <w14:schemeClr w14:val="tx1"/>
                  </w14:solidFill>
                </w14:textFill>
              </w:rPr>
              <w:t>整体规格</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：1200mm*600mm*750mm。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2.材料:桌面采用厚度≥25mm中密度板；支架采用≥50mm*15mm管材，管材厚度≥1.2mm，钢材表面经静电喷塑处理；桌子档板为≥0.6mm钢板冲压成型；桌架带可调节地脚。</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3.桌面板采用环保材料制作，具有耐磨，耐热、耐酸碱，耐烟灼，耐撞击等性能，色彩鲜艳，花式逼真。</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4.配备塑料静音防滑胶垫。</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二、学生凳：</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5.结构：全钢架构焊接小方凳。。</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6.凳面整体尺寸</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：340mm*240mm。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7.凳面采用厚度≥25mm三聚氰胺板。</w:t>
            </w:r>
          </w:p>
        </w:tc>
        <w:tc>
          <w:tcPr>
            <w:tcW w:w="786" w:type="dxa"/>
            <w:noWrap w:val="0"/>
            <w:vAlign w:val="center"/>
          </w:tcPr>
          <w:p w14:paraId="4178031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w:t>
            </w:r>
          </w:p>
        </w:tc>
        <w:tc>
          <w:tcPr>
            <w:tcW w:w="751" w:type="dxa"/>
            <w:noWrap w:val="0"/>
            <w:vAlign w:val="center"/>
          </w:tcPr>
          <w:p w14:paraId="3B366B1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6A73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7" w:hRule="atLeast"/>
          <w:jc w:val="center"/>
        </w:trPr>
        <w:tc>
          <w:tcPr>
            <w:tcW w:w="809" w:type="dxa"/>
            <w:noWrap w:val="0"/>
            <w:vAlign w:val="center"/>
          </w:tcPr>
          <w:p w14:paraId="7E610AF2">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11</w:t>
            </w:r>
          </w:p>
        </w:tc>
        <w:tc>
          <w:tcPr>
            <w:tcW w:w="1426" w:type="dxa"/>
            <w:noWrap w:val="0"/>
            <w:vAlign w:val="center"/>
          </w:tcPr>
          <w:p w14:paraId="5196C665">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防静电地板</w:t>
            </w:r>
          </w:p>
        </w:tc>
        <w:tc>
          <w:tcPr>
            <w:tcW w:w="6122" w:type="dxa"/>
            <w:noWrap w:val="0"/>
            <w:vAlign w:val="center"/>
          </w:tcPr>
          <w:p w14:paraId="2F8219A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1.整体规格(约)：600mm*600mm*35mm。</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2.全钢基材，钢板壳结构，内腔填充425发泡水泥，表面为陶瓷面层，四周经导电边条封边。</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3.中心载荷：≥1960N。</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4.全钢材质支架，经镀锌防锈处理，上托板≥68mm*68mm*3mm、下托板≥85mm*85mm*2mm、管径≥25mm、高度支持100mm-300mm可调节。</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5.横梁≥570mm*20mm*30mm，壁厚≥0.8mm。</w:t>
            </w:r>
          </w:p>
        </w:tc>
        <w:tc>
          <w:tcPr>
            <w:tcW w:w="786" w:type="dxa"/>
            <w:noWrap w:val="0"/>
            <w:vAlign w:val="center"/>
          </w:tcPr>
          <w:p w14:paraId="42FD1CA3">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75</w:t>
            </w:r>
          </w:p>
        </w:tc>
        <w:tc>
          <w:tcPr>
            <w:tcW w:w="751" w:type="dxa"/>
            <w:noWrap w:val="0"/>
            <w:vAlign w:val="center"/>
          </w:tcPr>
          <w:p w14:paraId="617B4A0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w:t>
            </w:r>
          </w:p>
        </w:tc>
      </w:tr>
      <w:tr w14:paraId="051D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09" w:type="dxa"/>
            <w:noWrap w:val="0"/>
            <w:vAlign w:val="center"/>
          </w:tcPr>
          <w:p w14:paraId="613F4F7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p>
        </w:tc>
        <w:tc>
          <w:tcPr>
            <w:tcW w:w="8334" w:type="dxa"/>
            <w:gridSpan w:val="3"/>
            <w:noWrap w:val="0"/>
            <w:vAlign w:val="center"/>
          </w:tcPr>
          <w:p w14:paraId="37FD01A6">
            <w:pPr>
              <w:keepNext w:val="0"/>
              <w:keepLines w:val="0"/>
              <w:widowControl/>
              <w:suppressLineNumbers w:val="0"/>
              <w:jc w:val="both"/>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配套标的：</w:t>
            </w:r>
          </w:p>
        </w:tc>
        <w:tc>
          <w:tcPr>
            <w:tcW w:w="751" w:type="dxa"/>
            <w:noWrap w:val="0"/>
            <w:vAlign w:val="center"/>
          </w:tcPr>
          <w:p w14:paraId="29899EF3">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14:paraId="42F69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809" w:type="dxa"/>
            <w:noWrap w:val="0"/>
            <w:vAlign w:val="center"/>
          </w:tcPr>
          <w:p w14:paraId="1858C427">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12</w:t>
            </w:r>
          </w:p>
        </w:tc>
        <w:tc>
          <w:tcPr>
            <w:tcW w:w="1426" w:type="dxa"/>
            <w:noWrap w:val="0"/>
            <w:vAlign w:val="center"/>
          </w:tcPr>
          <w:p w14:paraId="25F56CD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室内改造</w:t>
            </w:r>
          </w:p>
        </w:tc>
        <w:tc>
          <w:tcPr>
            <w:tcW w:w="6122" w:type="dxa"/>
            <w:noWrap w:val="0"/>
            <w:vAlign w:val="center"/>
          </w:tcPr>
          <w:p w14:paraId="65927BA3">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1.顶、地面原涂层局部铲除、修补。</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2.顶、地面局部刮白。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3.地面设备用电、网络通讯布线</w:t>
            </w:r>
            <w:r>
              <w:rPr>
                <w:rStyle w:val="12"/>
                <w:rFonts w:hint="eastAsia" w:ascii="仿宋" w:hAnsi="仿宋" w:eastAsia="仿宋" w:cs="仿宋"/>
                <w:color w:val="000000" w:themeColor="text1"/>
                <w:sz w:val="24"/>
                <w:szCs w:val="24"/>
                <w:highlight w:val="none"/>
                <w:lang w:val="en-US" w:eastAsia="zh-CN" w:bidi="ar"/>
                <w14:textFill>
                  <w14:solidFill>
                    <w14:schemeClr w14:val="tx1"/>
                  </w14:solidFill>
                </w14:textFill>
              </w:rPr>
              <w:t>。</w:t>
            </w:r>
          </w:p>
        </w:tc>
        <w:tc>
          <w:tcPr>
            <w:tcW w:w="786" w:type="dxa"/>
            <w:noWrap w:val="0"/>
            <w:vAlign w:val="center"/>
          </w:tcPr>
          <w:p w14:paraId="283FF174">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75</w:t>
            </w:r>
          </w:p>
        </w:tc>
        <w:tc>
          <w:tcPr>
            <w:tcW w:w="751" w:type="dxa"/>
            <w:noWrap w:val="0"/>
            <w:vAlign w:val="center"/>
          </w:tcPr>
          <w:p w14:paraId="2B5303BA">
            <w:pPr>
              <w:jc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w:t>
            </w:r>
          </w:p>
        </w:tc>
      </w:tr>
      <w:tr w14:paraId="6B6CB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94" w:type="dxa"/>
            <w:gridSpan w:val="5"/>
            <w:noWrap w:val="0"/>
            <w:vAlign w:val="center"/>
          </w:tcPr>
          <w:p w14:paraId="1E15A163">
            <w:pPr>
              <w:keepNext w:val="0"/>
              <w:keepLines w:val="0"/>
              <w:widowControl/>
              <w:suppressLineNumbers w:val="0"/>
              <w:jc w:val="both"/>
              <w:textAlignment w:val="cente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t>说明：1.需求清单中带“★”的参数指标均应以要求的形式提供相应的证明材料。任意一条带“★”的参数指标未响应或者不满足的，将按无效响应处理。(如“★”的参数指标无形式要求的，可提供不限于产品说明书、制造商官方网站截图、第三方机构检验报告、带标识(说明)的功能截图等任意形式的证明材料)</w:t>
            </w:r>
          </w:p>
          <w:p w14:paraId="39318977">
            <w:pPr>
              <w:keepNext w:val="0"/>
              <w:keepLines w:val="0"/>
              <w:widowControl/>
              <w:suppressLineNumbers w:val="0"/>
              <w:jc w:val="both"/>
              <w:textAlignment w:val="cente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t>2.需求清单中有关标的的整体规格、尺寸、体积、面积等表述要求，供应商所投产品整体的偏差应符合行业通用公差要求并满足实际使用需求。</w:t>
            </w:r>
          </w:p>
          <w:p w14:paraId="3717B438">
            <w:pPr>
              <w:keepNext w:val="0"/>
              <w:keepLines w:val="0"/>
              <w:widowControl/>
              <w:suppressLineNumbers w:val="0"/>
              <w:jc w:val="both"/>
              <w:textAlignment w:val="center"/>
              <w:rPr>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t>3.需求清单中的</w:t>
            </w:r>
            <w:r>
              <w:rPr>
                <w:rFonts w:hint="eastAsia" w:ascii="仿宋" w:hAnsi="仿宋" w:eastAsia="仿宋" w:cs="仿宋"/>
                <w:b w:val="0"/>
                <w:bCs/>
                <w:color w:val="000000" w:themeColor="text1"/>
                <w:kern w:val="2"/>
                <w:sz w:val="22"/>
                <w:szCs w:val="22"/>
                <w:highlight w:val="none"/>
                <w:lang w:val="en-CA" w:eastAsia="zh-CN" w:bidi="ar-SA"/>
                <w14:textFill>
                  <w14:solidFill>
                    <w14:schemeClr w14:val="tx1"/>
                  </w14:solidFill>
                </w14:textFill>
              </w:rPr>
              <w:t>“支持...；具备...；配备...”等描述，为已具备的功能要求，且后期使用费用包含在响应报价中。</w:t>
            </w:r>
          </w:p>
        </w:tc>
      </w:tr>
    </w:tbl>
    <w:p w14:paraId="1BBD939E">
      <w:pPr>
        <w:rPr>
          <w:color w:val="000000" w:themeColor="text1"/>
          <w:highlight w:val="none"/>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0F2D18"/>
    <w:rsid w:val="001155A2"/>
    <w:rsid w:val="00887535"/>
    <w:rsid w:val="009E70F5"/>
    <w:rsid w:val="00D70859"/>
    <w:rsid w:val="019B53E2"/>
    <w:rsid w:val="01AC75F0"/>
    <w:rsid w:val="020B6A0C"/>
    <w:rsid w:val="0284056C"/>
    <w:rsid w:val="03062D2F"/>
    <w:rsid w:val="03FE7EAB"/>
    <w:rsid w:val="04051239"/>
    <w:rsid w:val="04243DB5"/>
    <w:rsid w:val="04267B2D"/>
    <w:rsid w:val="04310280"/>
    <w:rsid w:val="05850883"/>
    <w:rsid w:val="05A625A8"/>
    <w:rsid w:val="06FF6413"/>
    <w:rsid w:val="087F780C"/>
    <w:rsid w:val="08C16076"/>
    <w:rsid w:val="09C83435"/>
    <w:rsid w:val="0A6E5D8A"/>
    <w:rsid w:val="0A886720"/>
    <w:rsid w:val="0A90639B"/>
    <w:rsid w:val="0ADD6A6C"/>
    <w:rsid w:val="0AE147AE"/>
    <w:rsid w:val="0BFA53FB"/>
    <w:rsid w:val="0D735465"/>
    <w:rsid w:val="0DF93BBD"/>
    <w:rsid w:val="0F474DFC"/>
    <w:rsid w:val="0F751969"/>
    <w:rsid w:val="0FA47B58"/>
    <w:rsid w:val="101C1DE4"/>
    <w:rsid w:val="103510F8"/>
    <w:rsid w:val="11D33230"/>
    <w:rsid w:val="125515DD"/>
    <w:rsid w:val="13250FB0"/>
    <w:rsid w:val="13871C6A"/>
    <w:rsid w:val="13BA3DEE"/>
    <w:rsid w:val="14397409"/>
    <w:rsid w:val="14CB5B87"/>
    <w:rsid w:val="163F05DA"/>
    <w:rsid w:val="179B3F36"/>
    <w:rsid w:val="18133ACD"/>
    <w:rsid w:val="18243F2D"/>
    <w:rsid w:val="184E71FB"/>
    <w:rsid w:val="18DA45EA"/>
    <w:rsid w:val="191C2E55"/>
    <w:rsid w:val="1988673C"/>
    <w:rsid w:val="1A2521DD"/>
    <w:rsid w:val="1A400DC5"/>
    <w:rsid w:val="1AC45552"/>
    <w:rsid w:val="1B177D78"/>
    <w:rsid w:val="1B99078D"/>
    <w:rsid w:val="1BBE4697"/>
    <w:rsid w:val="1C112A19"/>
    <w:rsid w:val="1D2F75FB"/>
    <w:rsid w:val="1D37200B"/>
    <w:rsid w:val="1E4C7D38"/>
    <w:rsid w:val="1E8F5E77"/>
    <w:rsid w:val="1EB458DE"/>
    <w:rsid w:val="1EFF124F"/>
    <w:rsid w:val="1F15637C"/>
    <w:rsid w:val="20983709"/>
    <w:rsid w:val="210668C5"/>
    <w:rsid w:val="21494A03"/>
    <w:rsid w:val="222334A6"/>
    <w:rsid w:val="22714212"/>
    <w:rsid w:val="228C23B4"/>
    <w:rsid w:val="22A53EBB"/>
    <w:rsid w:val="22E42C35"/>
    <w:rsid w:val="23931F66"/>
    <w:rsid w:val="239F4DAE"/>
    <w:rsid w:val="23B56380"/>
    <w:rsid w:val="257C53A7"/>
    <w:rsid w:val="268838D8"/>
    <w:rsid w:val="26A34BB6"/>
    <w:rsid w:val="27246A32"/>
    <w:rsid w:val="276C31F9"/>
    <w:rsid w:val="27952750"/>
    <w:rsid w:val="279664C8"/>
    <w:rsid w:val="279F35CF"/>
    <w:rsid w:val="28EA2F04"/>
    <w:rsid w:val="29175712"/>
    <w:rsid w:val="29361D11"/>
    <w:rsid w:val="293660B8"/>
    <w:rsid w:val="29B33362"/>
    <w:rsid w:val="29E4351B"/>
    <w:rsid w:val="29FF65A7"/>
    <w:rsid w:val="2A8B3997"/>
    <w:rsid w:val="2AA50EFC"/>
    <w:rsid w:val="2AD92954"/>
    <w:rsid w:val="2B9F3B9D"/>
    <w:rsid w:val="2BF13CCD"/>
    <w:rsid w:val="2D285E15"/>
    <w:rsid w:val="2D6329A9"/>
    <w:rsid w:val="2DBE22D5"/>
    <w:rsid w:val="2E156399"/>
    <w:rsid w:val="2EDA313F"/>
    <w:rsid w:val="2F7013AD"/>
    <w:rsid w:val="2F880DEC"/>
    <w:rsid w:val="2FA06136"/>
    <w:rsid w:val="2FCA6D0F"/>
    <w:rsid w:val="2FD25A98"/>
    <w:rsid w:val="302503E9"/>
    <w:rsid w:val="30405223"/>
    <w:rsid w:val="307153DD"/>
    <w:rsid w:val="30977539"/>
    <w:rsid w:val="30A9726C"/>
    <w:rsid w:val="31230DCD"/>
    <w:rsid w:val="31800827"/>
    <w:rsid w:val="31CA749A"/>
    <w:rsid w:val="31F27AA9"/>
    <w:rsid w:val="32B1065A"/>
    <w:rsid w:val="332130EA"/>
    <w:rsid w:val="33242BDA"/>
    <w:rsid w:val="33E67E90"/>
    <w:rsid w:val="340B78F6"/>
    <w:rsid w:val="35262C3A"/>
    <w:rsid w:val="3529272A"/>
    <w:rsid w:val="358E6A31"/>
    <w:rsid w:val="361231BE"/>
    <w:rsid w:val="37461371"/>
    <w:rsid w:val="375F68D7"/>
    <w:rsid w:val="38507FCD"/>
    <w:rsid w:val="38A26A7B"/>
    <w:rsid w:val="38C033A5"/>
    <w:rsid w:val="38E76B84"/>
    <w:rsid w:val="39137979"/>
    <w:rsid w:val="393873DF"/>
    <w:rsid w:val="397C551E"/>
    <w:rsid w:val="399A1E48"/>
    <w:rsid w:val="39D54C2E"/>
    <w:rsid w:val="3AF86E26"/>
    <w:rsid w:val="3B673FAC"/>
    <w:rsid w:val="3BDB4052"/>
    <w:rsid w:val="3C7626F9"/>
    <w:rsid w:val="3C8446EA"/>
    <w:rsid w:val="3C925059"/>
    <w:rsid w:val="3D3103CE"/>
    <w:rsid w:val="3DE9514C"/>
    <w:rsid w:val="3E5F71BC"/>
    <w:rsid w:val="3E691DE9"/>
    <w:rsid w:val="3E8B1D5F"/>
    <w:rsid w:val="3EBC016B"/>
    <w:rsid w:val="3F340649"/>
    <w:rsid w:val="3FDD2A8F"/>
    <w:rsid w:val="40477F08"/>
    <w:rsid w:val="407A02DD"/>
    <w:rsid w:val="40CD2B03"/>
    <w:rsid w:val="41E225DE"/>
    <w:rsid w:val="42AB29D0"/>
    <w:rsid w:val="43452E25"/>
    <w:rsid w:val="434A21E9"/>
    <w:rsid w:val="43E02B4D"/>
    <w:rsid w:val="450665E4"/>
    <w:rsid w:val="45237196"/>
    <w:rsid w:val="47024B89"/>
    <w:rsid w:val="475E44B5"/>
    <w:rsid w:val="47FE35A2"/>
    <w:rsid w:val="480F57AF"/>
    <w:rsid w:val="483B0352"/>
    <w:rsid w:val="48967C7F"/>
    <w:rsid w:val="489F05CB"/>
    <w:rsid w:val="48AC2FFE"/>
    <w:rsid w:val="49284D7B"/>
    <w:rsid w:val="49543DC1"/>
    <w:rsid w:val="495C2C76"/>
    <w:rsid w:val="49FF7EF9"/>
    <w:rsid w:val="4A835FE1"/>
    <w:rsid w:val="4ADB7BCB"/>
    <w:rsid w:val="4B2E0642"/>
    <w:rsid w:val="4C213D03"/>
    <w:rsid w:val="4C2537F3"/>
    <w:rsid w:val="4C5440D8"/>
    <w:rsid w:val="4CF65190"/>
    <w:rsid w:val="4CFF2296"/>
    <w:rsid w:val="4D1A0E7E"/>
    <w:rsid w:val="4DA1334D"/>
    <w:rsid w:val="4DA60964"/>
    <w:rsid w:val="4E4D5283"/>
    <w:rsid w:val="4EB470B0"/>
    <w:rsid w:val="4F0E056F"/>
    <w:rsid w:val="4FA9473B"/>
    <w:rsid w:val="4FBC446F"/>
    <w:rsid w:val="4FBD3D43"/>
    <w:rsid w:val="4FC96B8B"/>
    <w:rsid w:val="501F0559"/>
    <w:rsid w:val="50355FCF"/>
    <w:rsid w:val="503C55AF"/>
    <w:rsid w:val="505C7A00"/>
    <w:rsid w:val="50746AF7"/>
    <w:rsid w:val="50812FC2"/>
    <w:rsid w:val="514B3CFC"/>
    <w:rsid w:val="519136D9"/>
    <w:rsid w:val="52CB1D75"/>
    <w:rsid w:val="52F12681"/>
    <w:rsid w:val="535B7AFB"/>
    <w:rsid w:val="53AF7E46"/>
    <w:rsid w:val="54BC6CBF"/>
    <w:rsid w:val="54CC5154"/>
    <w:rsid w:val="54D264E2"/>
    <w:rsid w:val="55546EF7"/>
    <w:rsid w:val="55713605"/>
    <w:rsid w:val="567809C3"/>
    <w:rsid w:val="56794E67"/>
    <w:rsid w:val="57144B90"/>
    <w:rsid w:val="573A3ECB"/>
    <w:rsid w:val="575907F5"/>
    <w:rsid w:val="57AE0B41"/>
    <w:rsid w:val="57F64296"/>
    <w:rsid w:val="5960230F"/>
    <w:rsid w:val="59D2488F"/>
    <w:rsid w:val="5A3F0176"/>
    <w:rsid w:val="5B0D2022"/>
    <w:rsid w:val="5B64531F"/>
    <w:rsid w:val="5BD963A8"/>
    <w:rsid w:val="5C013209"/>
    <w:rsid w:val="5C5D0D87"/>
    <w:rsid w:val="5CC46711"/>
    <w:rsid w:val="5CED3EB9"/>
    <w:rsid w:val="5D414205"/>
    <w:rsid w:val="5DBE5856"/>
    <w:rsid w:val="5E361890"/>
    <w:rsid w:val="5E512226"/>
    <w:rsid w:val="5E9465B6"/>
    <w:rsid w:val="5F5F0972"/>
    <w:rsid w:val="5FBC4017"/>
    <w:rsid w:val="5FC86518"/>
    <w:rsid w:val="5FD72BFF"/>
    <w:rsid w:val="5FFF5CB2"/>
    <w:rsid w:val="60687CFB"/>
    <w:rsid w:val="611F660B"/>
    <w:rsid w:val="613D1187"/>
    <w:rsid w:val="61A30FEA"/>
    <w:rsid w:val="61EE5FDE"/>
    <w:rsid w:val="63273E9D"/>
    <w:rsid w:val="63957059"/>
    <w:rsid w:val="63BA261B"/>
    <w:rsid w:val="64B259E8"/>
    <w:rsid w:val="64B81251"/>
    <w:rsid w:val="65387C9C"/>
    <w:rsid w:val="659F7D1B"/>
    <w:rsid w:val="65AE4402"/>
    <w:rsid w:val="65BB267B"/>
    <w:rsid w:val="65C15EE3"/>
    <w:rsid w:val="663568D1"/>
    <w:rsid w:val="668D2269"/>
    <w:rsid w:val="669E7FD2"/>
    <w:rsid w:val="67050051"/>
    <w:rsid w:val="689F0032"/>
    <w:rsid w:val="68B27D65"/>
    <w:rsid w:val="68D45F2D"/>
    <w:rsid w:val="69034A64"/>
    <w:rsid w:val="6A18009C"/>
    <w:rsid w:val="6A366774"/>
    <w:rsid w:val="6ABC577D"/>
    <w:rsid w:val="6AE0505D"/>
    <w:rsid w:val="6AF6662F"/>
    <w:rsid w:val="6B6A4927"/>
    <w:rsid w:val="6BBF1117"/>
    <w:rsid w:val="6BE07DC5"/>
    <w:rsid w:val="6BFB5EC7"/>
    <w:rsid w:val="6C787517"/>
    <w:rsid w:val="6CF46B9E"/>
    <w:rsid w:val="6D0F2D18"/>
    <w:rsid w:val="6DA22A9E"/>
    <w:rsid w:val="6E4771A1"/>
    <w:rsid w:val="6F103A37"/>
    <w:rsid w:val="701D465E"/>
    <w:rsid w:val="7036571F"/>
    <w:rsid w:val="705A7660"/>
    <w:rsid w:val="708E730A"/>
    <w:rsid w:val="70B52AE8"/>
    <w:rsid w:val="736B1B84"/>
    <w:rsid w:val="73A66718"/>
    <w:rsid w:val="75AB6268"/>
    <w:rsid w:val="761402B1"/>
    <w:rsid w:val="763E0E8A"/>
    <w:rsid w:val="77EF4B32"/>
    <w:rsid w:val="780600CD"/>
    <w:rsid w:val="788E2ADA"/>
    <w:rsid w:val="78CC43CD"/>
    <w:rsid w:val="78D83818"/>
    <w:rsid w:val="79983E26"/>
    <w:rsid w:val="79CB28AC"/>
    <w:rsid w:val="79EE2BC7"/>
    <w:rsid w:val="7A4F7B0A"/>
    <w:rsid w:val="7A6A4943"/>
    <w:rsid w:val="7A747570"/>
    <w:rsid w:val="7A8F43AA"/>
    <w:rsid w:val="7BE10C35"/>
    <w:rsid w:val="7C5E5DE2"/>
    <w:rsid w:val="7CE54755"/>
    <w:rsid w:val="7D2A660C"/>
    <w:rsid w:val="7E6873EC"/>
    <w:rsid w:val="7F0D7F93"/>
    <w:rsid w:val="7F1D01D6"/>
    <w:rsid w:val="7F967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Plain Text"/>
    <w:basedOn w:val="1"/>
    <w:qFormat/>
    <w:uiPriority w:val="0"/>
    <w:rPr>
      <w:rFonts w:ascii="宋体" w:hAnsi="Courier New" w:cs="Courier New"/>
      <w:szCs w:val="21"/>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rPr>
  </w:style>
  <w:style w:type="character" w:customStyle="1" w:styleId="12">
    <w:name w:val="font41"/>
    <w:basedOn w:val="1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3895</Words>
  <Characters>4525</Characters>
  <Lines>0</Lines>
  <Paragraphs>0</Paragraphs>
  <TotalTime>19</TotalTime>
  <ScaleCrop>false</ScaleCrop>
  <LinksUpToDate>false</LinksUpToDate>
  <CharactersWithSpaces>4532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2026-09-03T06:32:00Z</dcterms:created>
  <dc:creator>杜航</dc:creator>
  <cp:lastModifiedBy>杜航</cp:lastModifiedBy>
  <dcterms:modified xsi:type="dcterms:W3CDTF">2026-10-08T06:16:26Z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E1A3AA2A70144A62B58B18471BDD7248_11</vt:lpwstr>
  </property>
  <property fmtid="{D5CDD505-2E9C-101B-9397-08002B2CF9AE}" pid="4" name="KSOTemplateDocerSaveRecord">
    <vt:lpwstr>eyJoZGlkIjoiNGVjNGI1ZWQxMDUyODY5ZDAxOTAyNjljNjE1NWUwNGQiLCJ1c2VySWQiOiIzMDgwODY2MDYifQ==</vt:lpwstr>
  </property>
</Properties>
</file>