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版本号：SDX-CS-G-26（0415）20260827001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富平县2026年住宅小区老旧电梯更新改造工程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SDX-CS-G-26（0415）</w:t>
      </w:r>
      <w:r>
        <w:br/>
      </w:r>
      <w:r>
        <w:br/>
      </w:r>
      <w:r>
        <w:br/>
      </w:r>
    </w:p>
    <w:p>
      <w:pPr>
        <w:pStyle w:val="null3"/>
        <w:jc w:val="center"/>
        <w:outlineLvl w:val="2"/>
      </w:pPr>
      <w:r>
        <w:rPr>
          <w:rFonts w:ascii="仿宋_GB2312" w:hAnsi="仿宋_GB2312" w:cs="仿宋_GB2312" w:eastAsia="仿宋_GB2312"/>
          <w:sz w:val="28"/>
          <w:b/>
        </w:rPr>
        <w:t>富平县住房和城乡建设局（本级）</w:t>
      </w:r>
    </w:p>
    <w:p>
      <w:pPr>
        <w:pStyle w:val="null3"/>
        <w:jc w:val="center"/>
        <w:outlineLvl w:val="2"/>
      </w:pPr>
      <w:r>
        <w:rPr>
          <w:rFonts w:ascii="仿宋_GB2312" w:hAnsi="仿宋_GB2312" w:cs="仿宋_GB2312" w:eastAsia="仿宋_GB2312"/>
          <w:sz w:val="28"/>
          <w:b/>
        </w:rPr>
        <w:t>陕西电通兴达咨询管理有限责任公司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陕西电通兴达咨询管理有限责任公司</w:t>
      </w:r>
      <w:r>
        <w:rPr>
          <w:rFonts w:ascii="仿宋_GB2312" w:hAnsi="仿宋_GB2312" w:cs="仿宋_GB2312" w:eastAsia="仿宋_GB2312"/>
        </w:rPr>
        <w:t>（以下简称“代理机构”）受</w:t>
      </w:r>
      <w:r>
        <w:rPr>
          <w:rFonts w:ascii="仿宋_GB2312" w:hAnsi="仿宋_GB2312" w:cs="仿宋_GB2312" w:eastAsia="仿宋_GB2312"/>
        </w:rPr>
        <w:t>富平县住房和城乡建设局（本级）</w:t>
      </w:r>
      <w:r>
        <w:rPr>
          <w:rFonts w:ascii="仿宋_GB2312" w:hAnsi="仿宋_GB2312" w:cs="仿宋_GB2312" w:eastAsia="仿宋_GB2312"/>
        </w:rPr>
        <w:t>委托，拟对</w:t>
      </w:r>
      <w:r>
        <w:rPr>
          <w:rFonts w:ascii="仿宋_GB2312" w:hAnsi="仿宋_GB2312" w:cs="仿宋_GB2312" w:eastAsia="仿宋_GB2312"/>
        </w:rPr>
        <w:t>富平县2026年住宅小区老旧电梯更新改造工程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SDX-CS-G-26（0415）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富平县2026年住宅小区老旧电梯更新改造工程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更新改造10部电梯等工程，涉及富平县怡和名居、香榭茗府2个老旧小区。</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采购包1（电梯采购与安装工程）：属于专门面向中小企业采购。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提供2024年度或2025年度财务审计报告（成立时间至提交投标文件截止时间不足一年的可提供成立后任意时段的资产负债表），或其基本存款账户开户银行出具的资信证明（三个月内）及基本存款账户开户许可证（或基本账户备案证明）</w:t>
      </w:r>
    </w:p>
    <w:p>
      <w:pPr>
        <w:pStyle w:val="null3"/>
      </w:pPr>
      <w:r>
        <w:rPr>
          <w:rFonts w:ascii="仿宋_GB2312" w:hAnsi="仿宋_GB2312" w:cs="仿宋_GB2312" w:eastAsia="仿宋_GB2312"/>
        </w:rPr>
        <w:t>3、税收缴纳证明：须提供依法缴纳税收的良好记录：提供投标截止时间前一年内已缴纳的至少一个月纳税凭证或完税证明，依法免税的单位应提供相关证明材料</w:t>
      </w:r>
    </w:p>
    <w:p>
      <w:pPr>
        <w:pStyle w:val="null3"/>
      </w:pPr>
      <w:r>
        <w:rPr>
          <w:rFonts w:ascii="仿宋_GB2312" w:hAnsi="仿宋_GB2312" w:cs="仿宋_GB2312" w:eastAsia="仿宋_GB2312"/>
        </w:rPr>
        <w:t>4、社保缴纳证明：须提供依法社会保障资金的良好记录：提供投标截止时间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5、无重大违法记录的书面声明：提供近三年内在经营活动中无重大违法记录的书面声明</w:t>
      </w:r>
    </w:p>
    <w:p>
      <w:pPr>
        <w:pStyle w:val="null3"/>
      </w:pPr>
      <w:r>
        <w:rPr>
          <w:rFonts w:ascii="仿宋_GB2312" w:hAnsi="仿宋_GB2312" w:cs="仿宋_GB2312" w:eastAsia="仿宋_GB2312"/>
        </w:rPr>
        <w:t>6、专业技术能力的承诺函：提供具备履行本合同所必需的设备和专业技术能力的说明及承诺</w:t>
      </w:r>
    </w:p>
    <w:p>
      <w:pPr>
        <w:pStyle w:val="null3"/>
      </w:pPr>
      <w:r>
        <w:rPr>
          <w:rFonts w:ascii="仿宋_GB2312" w:hAnsi="仿宋_GB2312" w:cs="仿宋_GB2312" w:eastAsia="仿宋_GB2312"/>
        </w:rPr>
        <w:t>7、法定代表人授权委托书：提供法定代表人授权委托书原件（附法定代表人、被授权人身份证复印件）及被授权人身份证原件（法定代表人参会只须提供其身份证原件）</w:t>
      </w:r>
    </w:p>
    <w:p>
      <w:pPr>
        <w:pStyle w:val="null3"/>
      </w:pPr>
      <w:r>
        <w:rPr>
          <w:rFonts w:ascii="仿宋_GB2312" w:hAnsi="仿宋_GB2312" w:cs="仿宋_GB2312" w:eastAsia="仿宋_GB2312"/>
        </w:rPr>
        <w:t>8、信用中国等网站信用查询截图：供应商在投标截止日前未被列入失信被执行人、重大税收违法案件当事人名单、政府采购严重违法失信行为记录名单（处罚期限届满的除外（以“信用中国”网站（www.creditchina.gov.cn）查询结果为准）；中国政府采购网（www.ccgp.gov.cn）提供政府采购严重违法失信行为记录名单（处罚期限届满的除外）网站截图并加盖单位公章</w:t>
      </w:r>
    </w:p>
    <w:p>
      <w:pPr>
        <w:pStyle w:val="null3"/>
      </w:pPr>
      <w:r>
        <w:rPr>
          <w:rFonts w:ascii="仿宋_GB2312" w:hAnsi="仿宋_GB2312" w:cs="仿宋_GB2312" w:eastAsia="仿宋_GB2312"/>
        </w:rPr>
        <w:t>9、控股管理关系声明函：单位负责人为同一人或者存在直接控股、管理关系的不同供应商，不得参加同一合同项下的政府采购活动的书面声明</w:t>
      </w:r>
    </w:p>
    <w:p>
      <w:pPr>
        <w:pStyle w:val="null3"/>
      </w:pPr>
      <w:r>
        <w:rPr>
          <w:rFonts w:ascii="仿宋_GB2312" w:hAnsi="仿宋_GB2312" w:cs="仿宋_GB2312" w:eastAsia="仿宋_GB2312"/>
        </w:rPr>
        <w:t>10、供应商资质要求：供应商为电梯生产制造商的，须提供《中华人民共和国特种设备生产许可证》电梯制造（含安装、修理、改造）或有效期内的旧证，许可项目类别包含曳引驱动乘客电梯（含消防员电梯）B 级（额定速度≤2.5m/s）及以上资质； 供应商为电梯经销商（代理商）的，须提供《中华人民共和国特种设备生产许可证》电梯安装（含修理）及电梯生产制造商的《中华人民共和国特种设备生产许可证》电梯制造（含安装、修理、改造）或有效期内的旧证，许可项目类别包含曳引驱动乘客电梯（含消防员电梯）B 级（额定速度≤2.5m/s）及以上资质。</w:t>
      </w:r>
    </w:p>
    <w:p>
      <w:pPr>
        <w:pStyle w:val="null3"/>
      </w:pPr>
      <w:r>
        <w:rPr>
          <w:rFonts w:ascii="仿宋_GB2312" w:hAnsi="仿宋_GB2312" w:cs="仿宋_GB2312" w:eastAsia="仿宋_GB2312"/>
        </w:rPr>
        <w:t>11、项目负责人要求：须具备【特种设备管理人员】及以上,或【特种设备作业人员】及以上证书（电梯专业）。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富平县住房和城乡建设局（本级）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富平县车站大街143号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富平县住房和城乡建设局（本级）经办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0913-8221295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陕西电通兴达咨询管理有限责任公司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陕西省西安市莲湖区陕西省西安市莲湖区南二环西段395号亚美伟博广场8楼810室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张妮妮、党艳红、王卉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029-89850151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开户名称：陕西电通兴达咨询管理有限责任公司</w:t>
            </w:r>
          </w:p>
          <w:p>
            <w:pPr>
              <w:pStyle w:val="null3"/>
            </w:pPr>
            <w:r>
              <w:rPr>
                <w:rFonts w:ascii="仿宋_GB2312" w:hAnsi="仿宋_GB2312" w:cs="仿宋_GB2312" w:eastAsia="仿宋_GB2312"/>
              </w:rPr>
              <w:t>开户银行：中国民生银行股份有限公司西安分行营业部</w:t>
            </w:r>
          </w:p>
          <w:p>
            <w:pPr>
              <w:pStyle w:val="null3"/>
            </w:pPr>
            <w:r>
              <w:rPr>
                <w:rFonts w:ascii="仿宋_GB2312" w:hAnsi="仿宋_GB2312" w:cs="仿宋_GB2312" w:eastAsia="仿宋_GB2312"/>
              </w:rPr>
              <w:t>银行账号：644422105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前国家计委颁布的«招标代理服务收费管理暂行办法»（计价格[2002]1980号）和国家发改委办公厅颁布的«国家发改委办公厅关于招标代理服务收费有关问题的通知»（发改办价格[2011]534号）的规定标准下浮20%计取。支付方式：在领取成交通知书前一次性支付。</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富平县住房和城乡建设局（本级）</w:t>
      </w:r>
      <w:r>
        <w:rPr>
          <w:rFonts w:ascii="仿宋_GB2312" w:hAnsi="仿宋_GB2312" w:cs="仿宋_GB2312" w:eastAsia="仿宋_GB2312"/>
        </w:rPr>
        <w:t>和</w:t>
      </w:r>
      <w:r>
        <w:rPr>
          <w:rFonts w:ascii="仿宋_GB2312" w:hAnsi="仿宋_GB2312" w:cs="仿宋_GB2312" w:eastAsia="仿宋_GB2312"/>
        </w:rPr>
        <w:t>陕西电通兴达咨询管理有限责任公司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富平县住房和城乡建设局（本级）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陕西电通兴达咨询管理有限责任公司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富平县住房和城乡建设局（本级）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陕西电通兴达咨询管理有限责任公司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陕西电通兴达咨询管理有限责任公司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陕西电通兴达咨询管理有限责任公司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陕西电通兴达咨询管理有限责任公司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 张妮妮、党艳红</w:t>
      </w:r>
    </w:p>
    <w:p>
      <w:pPr>
        <w:pStyle w:val="null3"/>
      </w:pPr>
      <w:r>
        <w:rPr>
          <w:rFonts w:ascii="仿宋_GB2312" w:hAnsi="仿宋_GB2312" w:cs="仿宋_GB2312" w:eastAsia="仿宋_GB2312"/>
        </w:rPr>
        <w:t>联系电话： 029-89850151</w:t>
      </w:r>
    </w:p>
    <w:p>
      <w:pPr>
        <w:pStyle w:val="null3"/>
      </w:pPr>
      <w:r>
        <w:rPr>
          <w:rFonts w:ascii="仿宋_GB2312" w:hAnsi="仿宋_GB2312" w:cs="仿宋_GB2312" w:eastAsia="仿宋_GB2312"/>
        </w:rPr>
        <w:t>地址：西安市莲湖区南二环西段395号亚美伟博广场8楼808室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1,350,000.00</w:t>
      </w:r>
    </w:p>
    <w:p>
      <w:pPr>
        <w:pStyle w:val="null3"/>
      </w:pPr>
      <w:r>
        <w:rPr>
          <w:rFonts w:ascii="仿宋_GB2312" w:hAnsi="仿宋_GB2312" w:cs="仿宋_GB2312" w:eastAsia="仿宋_GB2312"/>
        </w:rPr>
        <w:t>采购包最高限价（元）: 1,350,000.00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电梯更新工程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标的名称：电梯更新工程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一、项目名称：</w:t>
            </w:r>
            <w:r>
              <w:rPr>
                <w:rFonts w:ascii="仿宋_GB2312" w:hAnsi="仿宋_GB2312" w:cs="仿宋_GB2312" w:eastAsia="仿宋_GB2312"/>
                <w:sz w:val="21"/>
              </w:rPr>
              <w:t>富平县</w:t>
            </w:r>
            <w:r>
              <w:rPr>
                <w:rFonts w:ascii="仿宋_GB2312" w:hAnsi="仿宋_GB2312" w:cs="仿宋_GB2312" w:eastAsia="仿宋_GB2312"/>
                <w:sz w:val="21"/>
              </w:rPr>
              <w:t>2026</w:t>
            </w:r>
            <w:r>
              <w:rPr>
                <w:rFonts w:ascii="仿宋_GB2312" w:hAnsi="仿宋_GB2312" w:cs="仿宋_GB2312" w:eastAsia="仿宋_GB2312"/>
                <w:sz w:val="21"/>
              </w:rPr>
              <w:t>年住宅小区老旧电梯更新改造工程</w:t>
            </w:r>
          </w:p>
          <w:p>
            <w:pPr>
              <w:pStyle w:val="null3"/>
              <w:jc w:val="both"/>
            </w:pPr>
            <w:r>
              <w:rPr>
                <w:rFonts w:ascii="仿宋_GB2312" w:hAnsi="仿宋_GB2312" w:cs="仿宋_GB2312" w:eastAsia="仿宋_GB2312"/>
                <w:sz w:val="21"/>
              </w:rPr>
              <w:t>二、项目概况：更新改造</w:t>
            </w:r>
            <w:r>
              <w:rPr>
                <w:rFonts w:ascii="仿宋_GB2312" w:hAnsi="仿宋_GB2312" w:cs="仿宋_GB2312" w:eastAsia="仿宋_GB2312"/>
                <w:sz w:val="21"/>
              </w:rPr>
              <w:t>10</w:t>
            </w:r>
            <w:r>
              <w:rPr>
                <w:rFonts w:ascii="仿宋_GB2312" w:hAnsi="仿宋_GB2312" w:cs="仿宋_GB2312" w:eastAsia="仿宋_GB2312"/>
                <w:sz w:val="21"/>
              </w:rPr>
              <w:t>部电梯等工程，涉及富平县怡和名居、香榭茗府</w:t>
            </w:r>
            <w:r>
              <w:rPr>
                <w:rFonts w:ascii="仿宋_GB2312" w:hAnsi="仿宋_GB2312" w:cs="仿宋_GB2312" w:eastAsia="仿宋_GB2312"/>
                <w:sz w:val="21"/>
              </w:rPr>
              <w:t>2</w:t>
            </w:r>
            <w:r>
              <w:rPr>
                <w:rFonts w:ascii="仿宋_GB2312" w:hAnsi="仿宋_GB2312" w:cs="仿宋_GB2312" w:eastAsia="仿宋_GB2312"/>
                <w:sz w:val="21"/>
              </w:rPr>
              <w:t>个老旧小区。</w:t>
            </w:r>
          </w:p>
          <w:p>
            <w:pPr>
              <w:pStyle w:val="null3"/>
              <w:jc w:val="both"/>
            </w:pPr>
            <w:r>
              <w:rPr>
                <w:rFonts w:ascii="仿宋_GB2312" w:hAnsi="仿宋_GB2312" w:cs="仿宋_GB2312" w:eastAsia="仿宋_GB2312"/>
                <w:sz w:val="21"/>
              </w:rPr>
              <w:t>三、采购预算：</w:t>
            </w:r>
            <w:r>
              <w:rPr>
                <w:rFonts w:ascii="仿宋_GB2312" w:hAnsi="仿宋_GB2312" w:cs="仿宋_GB2312" w:eastAsia="仿宋_GB2312"/>
                <w:sz w:val="21"/>
              </w:rPr>
              <w:t>135</w:t>
            </w:r>
            <w:r>
              <w:rPr>
                <w:rFonts w:ascii="仿宋_GB2312" w:hAnsi="仿宋_GB2312" w:cs="仿宋_GB2312" w:eastAsia="仿宋_GB2312"/>
                <w:sz w:val="21"/>
              </w:rPr>
              <w:t>万元，其中超长期特别国债</w:t>
            </w:r>
            <w:r>
              <w:rPr>
                <w:rFonts w:ascii="仿宋_GB2312" w:hAnsi="仿宋_GB2312" w:cs="仿宋_GB2312" w:eastAsia="仿宋_GB2312"/>
                <w:sz w:val="21"/>
              </w:rPr>
              <w:t>115</w:t>
            </w:r>
            <w:r>
              <w:rPr>
                <w:rFonts w:ascii="仿宋_GB2312" w:hAnsi="仿宋_GB2312" w:cs="仿宋_GB2312" w:eastAsia="仿宋_GB2312"/>
                <w:sz w:val="21"/>
              </w:rPr>
              <w:t>万元，自筹资金</w:t>
            </w:r>
            <w:r>
              <w:rPr>
                <w:rFonts w:ascii="仿宋_GB2312" w:hAnsi="仿宋_GB2312" w:cs="仿宋_GB2312" w:eastAsia="仿宋_GB2312"/>
                <w:sz w:val="21"/>
              </w:rPr>
              <w:t>20</w:t>
            </w:r>
            <w:r>
              <w:rPr>
                <w:rFonts w:ascii="仿宋_GB2312" w:hAnsi="仿宋_GB2312" w:cs="仿宋_GB2312" w:eastAsia="仿宋_GB2312"/>
                <w:sz w:val="21"/>
              </w:rPr>
              <w:t>万元。</w:t>
            </w:r>
          </w:p>
          <w:p>
            <w:pPr>
              <w:pStyle w:val="null3"/>
              <w:jc w:val="both"/>
            </w:pPr>
            <w:r>
              <w:rPr>
                <w:rFonts w:ascii="仿宋_GB2312" w:hAnsi="仿宋_GB2312" w:cs="仿宋_GB2312" w:eastAsia="仿宋_GB2312"/>
                <w:sz w:val="21"/>
              </w:rPr>
              <w:t>四、工期：合同签订后</w:t>
            </w:r>
            <w:r>
              <w:rPr>
                <w:rFonts w:ascii="仿宋_GB2312" w:hAnsi="仿宋_GB2312" w:cs="仿宋_GB2312" w:eastAsia="仿宋_GB2312"/>
                <w:sz w:val="21"/>
              </w:rPr>
              <w:t>90</w:t>
            </w:r>
            <w:r>
              <w:rPr>
                <w:rFonts w:ascii="仿宋_GB2312" w:hAnsi="仿宋_GB2312" w:cs="仿宋_GB2312" w:eastAsia="仿宋_GB2312"/>
                <w:sz w:val="21"/>
              </w:rPr>
              <w:t>日历天内完成。</w:t>
            </w:r>
          </w:p>
          <w:p>
            <w:pPr>
              <w:pStyle w:val="null3"/>
              <w:jc w:val="both"/>
            </w:pPr>
            <w:r>
              <w:rPr>
                <w:rFonts w:ascii="仿宋_GB2312" w:hAnsi="仿宋_GB2312" w:cs="仿宋_GB2312" w:eastAsia="仿宋_GB2312"/>
                <w:sz w:val="21"/>
              </w:rPr>
              <w:t>五、采购清单：</w:t>
            </w:r>
          </w:p>
          <w:tbl>
            <w:tblPr>
              <w:tblBorders>
                <w:top w:val="none" w:color="000000" w:sz="4"/>
                <w:left w:val="none" w:color="000000" w:sz="4"/>
                <w:bottom w:val="none" w:color="000000" w:sz="4"/>
                <w:right w:val="none" w:color="000000" w:sz="4"/>
                <w:insideH w:val="none"/>
                <w:insideV w:val="none"/>
              </w:tblBorders>
            </w:tblPr>
            <w:tblGrid>
              <w:gridCol w:w="113"/>
              <w:gridCol w:w="232"/>
              <w:gridCol w:w="296"/>
              <w:gridCol w:w="102"/>
              <w:gridCol w:w="215"/>
              <w:gridCol w:w="204"/>
              <w:gridCol w:w="204"/>
              <w:gridCol w:w="210"/>
              <w:gridCol w:w="204"/>
              <w:gridCol w:w="204"/>
              <w:gridCol w:w="204"/>
              <w:gridCol w:w="182"/>
              <w:gridCol w:w="182"/>
            </w:tblGrid>
            <w:tr>
              <w:tc>
                <w:tcPr>
                  <w:tcW w:type="dxa" w:w="1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梯号</w:t>
                  </w:r>
                </w:p>
              </w:tc>
              <w:tc>
                <w:tcPr>
                  <w:tcW w:type="dxa" w:w="2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电梯类别</w:t>
                  </w:r>
                </w:p>
              </w:tc>
              <w:tc>
                <w:tcPr>
                  <w:tcW w:type="dxa" w:w="1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载重（</w:t>
                  </w:r>
                  <w:r>
                    <w:rPr>
                      <w:rFonts w:ascii="仿宋_GB2312" w:hAnsi="仿宋_GB2312" w:cs="仿宋_GB2312" w:eastAsia="仿宋_GB2312"/>
                      <w:sz w:val="21"/>
                      <w:b/>
                      <w:color w:val="000000"/>
                    </w:rPr>
                    <w:t>kg）</w:t>
                  </w:r>
                </w:p>
              </w:tc>
              <w:tc>
                <w:tcPr>
                  <w:tcW w:type="dxa" w:w="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速度（</w:t>
                  </w:r>
                  <w:r>
                    <w:rPr>
                      <w:rFonts w:ascii="仿宋_GB2312" w:hAnsi="仿宋_GB2312" w:cs="仿宋_GB2312" w:eastAsia="仿宋_GB2312"/>
                      <w:sz w:val="21"/>
                      <w:b/>
                      <w:color w:val="000000"/>
                    </w:rPr>
                    <w:t>m/s）</w:t>
                  </w:r>
                </w:p>
              </w:tc>
              <w:tc>
                <w:tcPr>
                  <w:tcW w:type="dxa" w:w="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层站</w:t>
                  </w:r>
                </w:p>
              </w:tc>
              <w:tc>
                <w:tcPr>
                  <w:tcW w:type="dxa" w:w="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井道宽深（</w:t>
                  </w:r>
                  <w:r>
                    <w:rPr>
                      <w:rFonts w:ascii="仿宋_GB2312" w:hAnsi="仿宋_GB2312" w:cs="仿宋_GB2312" w:eastAsia="仿宋_GB2312"/>
                      <w:sz w:val="21"/>
                      <w:b/>
                      <w:color w:val="000000"/>
                    </w:rPr>
                    <w:t>mm）</w:t>
                  </w:r>
                </w:p>
              </w:tc>
              <w:tc>
                <w:tcPr>
                  <w:tcW w:type="dxa" w:w="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开门方式</w:t>
                  </w:r>
                </w:p>
              </w:tc>
              <w:tc>
                <w:tcPr>
                  <w:tcW w:type="dxa" w:w="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开门尺寸（</w:t>
                  </w:r>
                  <w:r>
                    <w:rPr>
                      <w:rFonts w:ascii="仿宋_GB2312" w:hAnsi="仿宋_GB2312" w:cs="仿宋_GB2312" w:eastAsia="仿宋_GB2312"/>
                      <w:sz w:val="21"/>
                      <w:b/>
                      <w:color w:val="000000"/>
                    </w:rPr>
                    <w:t>mm）</w:t>
                  </w:r>
                </w:p>
              </w:tc>
              <w:tc>
                <w:tcPr>
                  <w:tcW w:type="dxa" w:w="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轿厢高度（</w:t>
                  </w:r>
                  <w:r>
                    <w:rPr>
                      <w:rFonts w:ascii="仿宋_GB2312" w:hAnsi="仿宋_GB2312" w:cs="仿宋_GB2312" w:eastAsia="仿宋_GB2312"/>
                      <w:sz w:val="21"/>
                      <w:b/>
                      <w:color w:val="000000"/>
                    </w:rPr>
                    <w:t>mm）</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提升高度</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r>
                    <w:rPr>
                      <w:rFonts w:ascii="仿宋_GB2312" w:hAnsi="仿宋_GB2312" w:cs="仿宋_GB2312" w:eastAsia="仿宋_GB2312"/>
                      <w:sz w:val="21"/>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香榭茗府东塔楼西梯</w:t>
                  </w:r>
                </w:p>
              </w:tc>
              <w:tc>
                <w:tcPr>
                  <w:tcW w:type="dxa" w:w="29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小机房乘客电梯</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1050kg</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1.0m/s</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3</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2000*2150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单侧中分门</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900*2100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≥2300</w:t>
                  </w:r>
                </w:p>
              </w:tc>
              <w:tc>
                <w:tcPr>
                  <w:tcW w:type="dxa" w:w="18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以现场测量为准</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香榭茗府东塔楼东梯</w:t>
                  </w:r>
                </w:p>
              </w:tc>
              <w:tc>
                <w:tcPr>
                  <w:tcW w:type="dxa" w:w="29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小机房乘客电梯</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1050kg</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1.0m/s</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2</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2000*2150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单侧中分门</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900*2100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≥2300</w:t>
                  </w:r>
                </w:p>
              </w:tc>
              <w:tc>
                <w:tcPr>
                  <w:tcW w:type="dxa" w:w="182"/>
                  <w:vMerge/>
                  <w:tcBorders>
                    <w:top w:val="none" w:color="000000" w:sz="4"/>
                    <w:left w:val="none" w:color="000000" w:sz="4"/>
                    <w:bottom w:val="none" w:color="000000" w:sz="4"/>
                    <w:right w:val="single" w:color="000000" w:sz="4"/>
                  </w:tcBorders>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03</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香榭茗府北楼西单元</w:t>
                  </w:r>
                </w:p>
              </w:tc>
              <w:tc>
                <w:tcPr>
                  <w:tcW w:type="dxa" w:w="29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小机房乘客电梯</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630kg</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1.75m/s</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10</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1950*2150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单侧中分门</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800*2100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≥2300</w:t>
                  </w:r>
                </w:p>
              </w:tc>
              <w:tc>
                <w:tcPr>
                  <w:tcW w:type="dxa" w:w="182"/>
                  <w:vMerge/>
                  <w:tcBorders>
                    <w:top w:val="none" w:color="000000" w:sz="4"/>
                    <w:left w:val="none" w:color="000000" w:sz="4"/>
                    <w:bottom w:val="none" w:color="000000" w:sz="4"/>
                    <w:right w:val="single" w:color="000000" w:sz="4"/>
                  </w:tcBorders>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配置对重安全钳</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04</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香榭茗府北楼中单元</w:t>
                  </w:r>
                </w:p>
              </w:tc>
              <w:tc>
                <w:tcPr>
                  <w:tcW w:type="dxa" w:w="29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小机房乘客电梯</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630kg</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1.75m/s</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10</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1950*2150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单侧中分门</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800*2100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≥2300</w:t>
                  </w:r>
                </w:p>
              </w:tc>
              <w:tc>
                <w:tcPr>
                  <w:tcW w:type="dxa" w:w="182"/>
                  <w:vMerge/>
                  <w:tcBorders>
                    <w:top w:val="none" w:color="000000" w:sz="4"/>
                    <w:left w:val="none" w:color="000000" w:sz="4"/>
                    <w:bottom w:val="none" w:color="000000" w:sz="4"/>
                    <w:right w:val="single" w:color="000000" w:sz="4"/>
                  </w:tcBorders>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配置对重安全钳</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05</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香榭茗府北楼东单元</w:t>
                  </w:r>
                </w:p>
              </w:tc>
              <w:tc>
                <w:tcPr>
                  <w:tcW w:type="dxa" w:w="29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小机房乘客电梯</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630kg</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1.75m/s</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10</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1950*2150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单侧中分门</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800*2100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≥2300</w:t>
                  </w:r>
                </w:p>
              </w:tc>
              <w:tc>
                <w:tcPr>
                  <w:tcW w:type="dxa" w:w="182"/>
                  <w:vMerge/>
                  <w:tcBorders>
                    <w:top w:val="none" w:color="000000" w:sz="4"/>
                    <w:left w:val="none" w:color="000000" w:sz="4"/>
                    <w:bottom w:val="none" w:color="000000" w:sz="4"/>
                    <w:right w:val="single" w:color="000000" w:sz="4"/>
                  </w:tcBorders>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配置对重安全钳</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06</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香榭茗府南楼西单元</w:t>
                  </w:r>
                </w:p>
              </w:tc>
              <w:tc>
                <w:tcPr>
                  <w:tcW w:type="dxa" w:w="29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小机房乘客电梯</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630kg</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1.75m/s</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11</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1950*2150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单侧中分门</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800*2100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≥2300</w:t>
                  </w:r>
                </w:p>
              </w:tc>
              <w:tc>
                <w:tcPr>
                  <w:tcW w:type="dxa" w:w="182"/>
                  <w:vMerge/>
                  <w:tcBorders>
                    <w:top w:val="none" w:color="000000" w:sz="4"/>
                    <w:left w:val="none" w:color="000000" w:sz="4"/>
                    <w:bottom w:val="none" w:color="000000" w:sz="4"/>
                    <w:right w:val="single" w:color="000000" w:sz="4"/>
                  </w:tcBorders>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配置对重安全钳</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07</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香榭茗府南楼中单元</w:t>
                  </w:r>
                </w:p>
              </w:tc>
              <w:tc>
                <w:tcPr>
                  <w:tcW w:type="dxa" w:w="29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小机房乘客电梯</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630kg</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1.75m/s</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11</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1950*2150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单侧中分门</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800*2100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≥2300</w:t>
                  </w:r>
                </w:p>
              </w:tc>
              <w:tc>
                <w:tcPr>
                  <w:tcW w:type="dxa" w:w="182"/>
                  <w:vMerge/>
                  <w:tcBorders>
                    <w:top w:val="none" w:color="000000" w:sz="4"/>
                    <w:left w:val="none" w:color="000000" w:sz="4"/>
                    <w:bottom w:val="none" w:color="000000" w:sz="4"/>
                    <w:right w:val="single" w:color="000000" w:sz="4"/>
                  </w:tcBorders>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配置对重安全钳</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08</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香榭茗府南楼东单元</w:t>
                  </w:r>
                </w:p>
              </w:tc>
              <w:tc>
                <w:tcPr>
                  <w:tcW w:type="dxa" w:w="29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小机房乘客电梯</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630kg</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1.75m/s</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11</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1950*2150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单侧中分门</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800*2100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≥2300</w:t>
                  </w:r>
                </w:p>
              </w:tc>
              <w:tc>
                <w:tcPr>
                  <w:tcW w:type="dxa" w:w="182"/>
                  <w:vMerge/>
                  <w:tcBorders>
                    <w:top w:val="none" w:color="000000" w:sz="4"/>
                    <w:left w:val="none" w:color="000000" w:sz="4"/>
                    <w:bottom w:val="none" w:color="000000" w:sz="4"/>
                    <w:right w:val="single" w:color="000000" w:sz="4"/>
                  </w:tcBorders>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配置对重安全钳</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09</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怡和名居小区东单元</w:t>
                  </w:r>
                </w:p>
              </w:tc>
              <w:tc>
                <w:tcPr>
                  <w:tcW w:type="dxa" w:w="29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小机房乘客电梯</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630kg</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1.0m/s</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7</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1850*1800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单侧中分门</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800*2100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≥2300</w:t>
                  </w:r>
                </w:p>
              </w:tc>
              <w:tc>
                <w:tcPr>
                  <w:tcW w:type="dxa" w:w="182"/>
                  <w:vMerge/>
                  <w:tcBorders>
                    <w:top w:val="none" w:color="000000" w:sz="4"/>
                    <w:left w:val="none" w:color="000000" w:sz="4"/>
                    <w:bottom w:val="none" w:color="000000" w:sz="4"/>
                    <w:right w:val="single" w:color="000000" w:sz="4"/>
                  </w:tcBorders>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怡和名居小区西单元</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小机房乘客电梯</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630kg</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1.0m/s</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7</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1850*1800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单侧中分门</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800*2100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≥2300</w:t>
                  </w:r>
                </w:p>
              </w:tc>
              <w:tc>
                <w:tcPr>
                  <w:tcW w:type="dxa" w:w="182"/>
                  <w:vMerge/>
                  <w:tcBorders>
                    <w:top w:val="none" w:color="000000" w:sz="4"/>
                    <w:left w:val="none" w:color="000000" w:sz="4"/>
                    <w:bottom w:val="none" w:color="000000" w:sz="4"/>
                    <w:right w:val="single" w:color="000000" w:sz="4"/>
                  </w:tcBorders>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1"/>
                <w:color w:val="000000"/>
              </w:rPr>
              <w:t>六、质保期：在电梯设备安装调试完成后，自经国家有关政府部门检验合格、出具证明检验合格的报告及相关许可证之日起开始计算质量保证期，质量保证期为</w:t>
            </w:r>
            <w:r>
              <w:rPr>
                <w:rFonts w:ascii="仿宋_GB2312" w:hAnsi="仿宋_GB2312" w:cs="仿宋_GB2312" w:eastAsia="仿宋_GB2312"/>
                <w:sz w:val="21"/>
                <w:color w:val="000000"/>
              </w:rPr>
              <w:t>5年，2年免费维保期。</w:t>
            </w:r>
          </w:p>
          <w:p>
            <w:pPr>
              <w:pStyle w:val="null3"/>
              <w:jc w:val="both"/>
            </w:pPr>
            <w:r>
              <w:rPr>
                <w:rFonts w:ascii="仿宋_GB2312" w:hAnsi="仿宋_GB2312" w:cs="仿宋_GB2312" w:eastAsia="仿宋_GB2312"/>
                <w:sz w:val="21"/>
              </w:rPr>
              <w:t>七、装修要求</w:t>
            </w:r>
          </w:p>
          <w:p>
            <w:pPr>
              <w:pStyle w:val="null3"/>
              <w:ind w:firstLine="412"/>
              <w:jc w:val="both"/>
            </w:pPr>
            <w:r>
              <w:rPr>
                <w:rFonts w:ascii="仿宋_GB2312" w:hAnsi="仿宋_GB2312" w:cs="仿宋_GB2312" w:eastAsia="仿宋_GB2312"/>
                <w:sz w:val="21"/>
              </w:rPr>
              <w:t>轿厢：标准型轿顶，高度</w:t>
            </w:r>
            <w:r>
              <w:rPr>
                <w:rFonts w:ascii="仿宋_GB2312" w:hAnsi="仿宋_GB2312" w:cs="仿宋_GB2312" w:eastAsia="仿宋_GB2312"/>
                <w:sz w:val="21"/>
              </w:rPr>
              <w:t>≥2.3m；顶部含灯光和通风扇。轿厢顶部采用 LED 节能日光型照明装置,随行电缆中应附数字监控电缆。</w:t>
            </w:r>
          </w:p>
          <w:p>
            <w:pPr>
              <w:pStyle w:val="null3"/>
              <w:ind w:firstLine="412"/>
              <w:jc w:val="both"/>
            </w:pPr>
            <w:r>
              <w:rPr>
                <w:rFonts w:ascii="仿宋_GB2312" w:hAnsi="仿宋_GB2312" w:cs="仿宋_GB2312" w:eastAsia="仿宋_GB2312"/>
                <w:sz w:val="21"/>
              </w:rPr>
              <w:t>地坎：采用硬质铝合金地坎，如采用现有电梯地坎，中标人需对现有地坎进行清理及修复。</w:t>
            </w:r>
          </w:p>
          <w:p>
            <w:pPr>
              <w:pStyle w:val="null3"/>
              <w:ind w:firstLine="412"/>
              <w:jc w:val="both"/>
            </w:pPr>
            <w:r>
              <w:rPr>
                <w:rFonts w:ascii="仿宋_GB2312" w:hAnsi="仿宋_GB2312" w:cs="仿宋_GB2312" w:eastAsia="仿宋_GB2312"/>
                <w:sz w:val="21"/>
              </w:rPr>
              <w:t>厅门：首层发纹不锈钢板，其余层喷涂钢板。</w:t>
            </w:r>
          </w:p>
          <w:p>
            <w:pPr>
              <w:pStyle w:val="null3"/>
              <w:ind w:firstLine="412"/>
              <w:jc w:val="both"/>
            </w:pPr>
            <w:r>
              <w:rPr>
                <w:rFonts w:ascii="仿宋_GB2312" w:hAnsi="仿宋_GB2312" w:cs="仿宋_GB2312" w:eastAsia="仿宋_GB2312"/>
                <w:sz w:val="21"/>
              </w:rPr>
              <w:t>轿厢壁：四壁选用发纹不锈钢板。</w:t>
            </w:r>
          </w:p>
          <w:p>
            <w:pPr>
              <w:pStyle w:val="null3"/>
              <w:ind w:firstLine="412"/>
              <w:jc w:val="both"/>
            </w:pPr>
            <w:r>
              <w:rPr>
                <w:rFonts w:ascii="仿宋_GB2312" w:hAnsi="仿宋_GB2312" w:cs="仿宋_GB2312" w:eastAsia="仿宋_GB2312"/>
                <w:sz w:val="21"/>
              </w:rPr>
              <w:t>地面：采用</w:t>
            </w:r>
            <w:r>
              <w:rPr>
                <w:rFonts w:ascii="仿宋_GB2312" w:hAnsi="仿宋_GB2312" w:cs="仿宋_GB2312" w:eastAsia="仿宋_GB2312"/>
                <w:sz w:val="21"/>
              </w:rPr>
              <w:t>PVC 真石地板。</w:t>
            </w:r>
          </w:p>
          <w:p>
            <w:pPr>
              <w:pStyle w:val="null3"/>
              <w:ind w:firstLine="412"/>
              <w:jc w:val="both"/>
            </w:pPr>
            <w:r>
              <w:rPr>
                <w:rFonts w:ascii="仿宋_GB2312" w:hAnsi="仿宋_GB2312" w:cs="仿宋_GB2312" w:eastAsia="仿宋_GB2312"/>
                <w:sz w:val="21"/>
              </w:rPr>
              <w:t>轿厢顶：顶部装饰含灯光（选用</w:t>
            </w:r>
            <w:r>
              <w:rPr>
                <w:rFonts w:ascii="仿宋_GB2312" w:hAnsi="仿宋_GB2312" w:cs="仿宋_GB2312" w:eastAsia="仿宋_GB2312"/>
                <w:sz w:val="21"/>
              </w:rPr>
              <w:t>LED 节能灯）、通风扇（出风为横流，手动控制）；轿厢顶需留有摄像机接口（包括至机房连线）及电话线接口。</w:t>
            </w:r>
          </w:p>
          <w:p>
            <w:pPr>
              <w:pStyle w:val="null3"/>
              <w:ind w:firstLine="412"/>
              <w:jc w:val="both"/>
            </w:pPr>
            <w:r>
              <w:rPr>
                <w:rFonts w:ascii="仿宋_GB2312" w:hAnsi="仿宋_GB2312" w:cs="仿宋_GB2312" w:eastAsia="仿宋_GB2312"/>
                <w:sz w:val="21"/>
              </w:rPr>
              <w:t>轿门：自动双扇中分门，发纹不锈钢板，红外线光幕保护。</w:t>
            </w:r>
          </w:p>
          <w:p>
            <w:pPr>
              <w:pStyle w:val="null3"/>
              <w:ind w:firstLine="412"/>
              <w:jc w:val="both"/>
            </w:pPr>
            <w:r>
              <w:rPr>
                <w:rFonts w:ascii="仿宋_GB2312" w:hAnsi="仿宋_GB2312" w:cs="仿宋_GB2312" w:eastAsia="仿宋_GB2312"/>
                <w:sz w:val="21"/>
              </w:rPr>
              <w:t>操纵盘：面板采用发纹不锈钢，微动不锈钢按钮。轿厢采用断码液晶，显示运行方向及当前层站。</w:t>
            </w:r>
          </w:p>
          <w:p>
            <w:pPr>
              <w:pStyle w:val="null3"/>
              <w:ind w:firstLine="412"/>
              <w:jc w:val="both"/>
            </w:pPr>
            <w:r>
              <w:rPr>
                <w:rFonts w:ascii="仿宋_GB2312" w:hAnsi="仿宋_GB2312" w:cs="仿宋_GB2312" w:eastAsia="仿宋_GB2312"/>
                <w:sz w:val="21"/>
              </w:rPr>
              <w:t>门套：首层发纹不锈钢，其它层喷涂钢板标准小门套，如采用现有电梯门套，中标人需对现有门套进行清理及修复。</w:t>
            </w:r>
          </w:p>
          <w:p>
            <w:pPr>
              <w:pStyle w:val="null3"/>
              <w:ind w:firstLine="412"/>
              <w:jc w:val="both"/>
            </w:pPr>
            <w:r>
              <w:rPr>
                <w:rFonts w:ascii="仿宋_GB2312" w:hAnsi="仿宋_GB2312" w:cs="仿宋_GB2312" w:eastAsia="仿宋_GB2312"/>
                <w:sz w:val="21"/>
              </w:rPr>
              <w:t>门厅按钮及显示：门厅楼层显示器与按钮装在同一标准面板上，显示器采用段码显示楼层、运行方向。</w:t>
            </w:r>
          </w:p>
          <w:p>
            <w:pPr>
              <w:pStyle w:val="null3"/>
              <w:ind w:firstLine="412"/>
              <w:jc w:val="left"/>
            </w:pPr>
            <w:r>
              <w:rPr>
                <w:rFonts w:ascii="仿宋_GB2312" w:hAnsi="仿宋_GB2312" w:cs="仿宋_GB2312" w:eastAsia="仿宋_GB2312"/>
                <w:sz w:val="21"/>
              </w:rPr>
              <w:t>导轨：如保留现有电梯导轨，对其进行校正，确保电梯平稳运行。</w:t>
            </w:r>
          </w:p>
          <w:p>
            <w:pPr>
              <w:pStyle w:val="null3"/>
              <w:ind w:firstLine="412"/>
              <w:jc w:val="left"/>
            </w:pPr>
            <w:r>
              <w:rPr>
                <w:rFonts w:ascii="仿宋_GB2312" w:hAnsi="仿宋_GB2312" w:cs="仿宋_GB2312" w:eastAsia="仿宋_GB2312"/>
                <w:sz w:val="21"/>
              </w:rPr>
              <w:t>功能要求：</w:t>
            </w:r>
          </w:p>
          <w:tbl>
            <w:tblPr>
              <w:tblInd w:type="dxa" w:w="105"/>
              <w:tblBorders>
                <w:top w:val="none" w:color="000000" w:sz="4"/>
                <w:left w:val="none" w:color="000000" w:sz="4"/>
                <w:bottom w:val="none" w:color="000000" w:sz="4"/>
                <w:right w:val="none" w:color="000000" w:sz="4"/>
                <w:insideH w:val="none"/>
                <w:insideV w:val="none"/>
              </w:tblBorders>
            </w:tblPr>
            <w:tblGrid>
              <w:gridCol w:w="346"/>
              <w:gridCol w:w="924"/>
              <w:gridCol w:w="333"/>
              <w:gridCol w:w="937"/>
            </w:tblGrid>
            <w:tr>
              <w:tc>
                <w:tcPr>
                  <w:tcW w:type="dxa" w:w="34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序号</w:t>
                  </w:r>
                </w:p>
              </w:tc>
              <w:tc>
                <w:tcPr>
                  <w:tcW w:type="dxa" w:w="92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12"/>
                    <w:jc w:val="center"/>
                  </w:pPr>
                </w:p>
              </w:tc>
              <w:tc>
                <w:tcPr>
                  <w:tcW w:type="dxa" w:w="33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93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c>
                <w:tcPr>
                  <w:tcW w:type="dxa" w:w="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12"/>
                    <w:jc w:val="center"/>
                  </w:pPr>
                  <w:r>
                    <w:rPr>
                      <w:rFonts w:ascii="仿宋_GB2312" w:hAnsi="仿宋_GB2312" w:cs="仿宋_GB2312" w:eastAsia="仿宋_GB2312"/>
                      <w:sz w:val="21"/>
                    </w:rPr>
                    <w:t>轿内反向指令消除</w:t>
                  </w:r>
                </w:p>
              </w:tc>
              <w:tc>
                <w:tcPr>
                  <w:tcW w:type="dxa" w:w="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w:t>
                  </w:r>
                </w:p>
              </w:tc>
              <w:tc>
                <w:tcPr>
                  <w:tcW w:type="dxa" w:w="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12"/>
                    <w:jc w:val="center"/>
                  </w:pPr>
                  <w:r>
                    <w:rPr>
                      <w:rFonts w:ascii="仿宋_GB2312" w:hAnsi="仿宋_GB2312" w:cs="仿宋_GB2312" w:eastAsia="仿宋_GB2312"/>
                      <w:sz w:val="21"/>
                    </w:rPr>
                    <w:t>手动应急疏散装置</w:t>
                  </w:r>
                </w:p>
              </w:tc>
            </w:tr>
            <w:tr>
              <w:tc>
                <w:tcPr>
                  <w:tcW w:type="dxa" w:w="3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c>
                <w:tcPr>
                  <w:tcW w:type="dxa" w:w="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12"/>
                    <w:jc w:val="center"/>
                  </w:pPr>
                  <w:r>
                    <w:rPr>
                      <w:rFonts w:ascii="仿宋_GB2312" w:hAnsi="仿宋_GB2312" w:cs="仿宋_GB2312" w:eastAsia="仿宋_GB2312"/>
                      <w:sz w:val="21"/>
                    </w:rPr>
                    <w:t>安全停靠</w:t>
                  </w:r>
                </w:p>
              </w:tc>
              <w:tc>
                <w:tcPr>
                  <w:tcW w:type="dxa" w:w="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31</w:t>
                  </w:r>
                </w:p>
              </w:tc>
              <w:tc>
                <w:tcPr>
                  <w:tcW w:type="dxa" w:w="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12"/>
                    <w:jc w:val="center"/>
                  </w:pPr>
                  <w:r>
                    <w:rPr>
                      <w:rFonts w:ascii="仿宋_GB2312" w:hAnsi="仿宋_GB2312" w:cs="仿宋_GB2312" w:eastAsia="仿宋_GB2312"/>
                      <w:sz w:val="21"/>
                    </w:rPr>
                    <w:t>重新初始化运行</w:t>
                  </w:r>
                </w:p>
              </w:tc>
            </w:tr>
            <w:tr>
              <w:tc>
                <w:tcPr>
                  <w:tcW w:type="dxa" w:w="3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p>
              </w:tc>
              <w:tc>
                <w:tcPr>
                  <w:tcW w:type="dxa" w:w="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12"/>
                    <w:jc w:val="center"/>
                  </w:pPr>
                  <w:r>
                    <w:rPr>
                      <w:rFonts w:ascii="仿宋_GB2312" w:hAnsi="仿宋_GB2312" w:cs="仿宋_GB2312" w:eastAsia="仿宋_GB2312"/>
                      <w:sz w:val="21"/>
                    </w:rPr>
                    <w:t>启动时力矩补偿</w:t>
                  </w:r>
                </w:p>
              </w:tc>
              <w:tc>
                <w:tcPr>
                  <w:tcW w:type="dxa" w:w="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32</w:t>
                  </w:r>
                </w:p>
              </w:tc>
              <w:tc>
                <w:tcPr>
                  <w:tcW w:type="dxa" w:w="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12"/>
                    <w:jc w:val="center"/>
                  </w:pPr>
                  <w:r>
                    <w:rPr>
                      <w:rFonts w:ascii="仿宋_GB2312" w:hAnsi="仿宋_GB2312" w:cs="仿宋_GB2312" w:eastAsia="仿宋_GB2312"/>
                      <w:sz w:val="21"/>
                    </w:rPr>
                    <w:t>马达过热保护</w:t>
                  </w:r>
                </w:p>
              </w:tc>
            </w:tr>
            <w:tr>
              <w:tc>
                <w:tcPr>
                  <w:tcW w:type="dxa" w:w="3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w:t>
                  </w:r>
                </w:p>
              </w:tc>
              <w:tc>
                <w:tcPr>
                  <w:tcW w:type="dxa" w:w="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12"/>
                    <w:jc w:val="center"/>
                  </w:pPr>
                  <w:r>
                    <w:rPr>
                      <w:rFonts w:ascii="仿宋_GB2312" w:hAnsi="仿宋_GB2312" w:cs="仿宋_GB2312" w:eastAsia="仿宋_GB2312"/>
                      <w:sz w:val="21"/>
                    </w:rPr>
                    <w:t>开关门按钮灯</w:t>
                  </w:r>
                </w:p>
              </w:tc>
              <w:tc>
                <w:tcPr>
                  <w:tcW w:type="dxa" w:w="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33</w:t>
                  </w:r>
                </w:p>
              </w:tc>
              <w:tc>
                <w:tcPr>
                  <w:tcW w:type="dxa" w:w="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12"/>
                    <w:jc w:val="center"/>
                  </w:pPr>
                  <w:r>
                    <w:rPr>
                      <w:rFonts w:ascii="仿宋_GB2312" w:hAnsi="仿宋_GB2312" w:cs="仿宋_GB2312" w:eastAsia="仿宋_GB2312"/>
                      <w:sz w:val="21"/>
                    </w:rPr>
                    <w:t>复位救援运行</w:t>
                  </w:r>
                </w:p>
              </w:tc>
            </w:tr>
            <w:tr>
              <w:tc>
                <w:tcPr>
                  <w:tcW w:type="dxa" w:w="3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p>
              </w:tc>
              <w:tc>
                <w:tcPr>
                  <w:tcW w:type="dxa" w:w="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12"/>
                    <w:jc w:val="center"/>
                  </w:pPr>
                  <w:r>
                    <w:rPr>
                      <w:rFonts w:ascii="仿宋_GB2312" w:hAnsi="仿宋_GB2312" w:cs="仿宋_GB2312" w:eastAsia="仿宋_GB2312"/>
                      <w:sz w:val="21"/>
                    </w:rPr>
                    <w:t>轿厢意外移动保护</w:t>
                  </w:r>
                </w:p>
              </w:tc>
              <w:tc>
                <w:tcPr>
                  <w:tcW w:type="dxa" w:w="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34</w:t>
                  </w:r>
                </w:p>
              </w:tc>
              <w:tc>
                <w:tcPr>
                  <w:tcW w:type="dxa" w:w="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12"/>
                    <w:jc w:val="center"/>
                  </w:pPr>
                  <w:r>
                    <w:rPr>
                      <w:rFonts w:ascii="仿宋_GB2312" w:hAnsi="仿宋_GB2312" w:cs="仿宋_GB2312" w:eastAsia="仿宋_GB2312"/>
                      <w:sz w:val="21"/>
                    </w:rPr>
                    <w:t>消防</w:t>
                  </w:r>
                  <w:r>
                    <w:rPr>
                      <w:rFonts w:ascii="仿宋_GB2312" w:hAnsi="仿宋_GB2312" w:cs="仿宋_GB2312" w:eastAsia="仿宋_GB2312"/>
                      <w:sz w:val="21"/>
                    </w:rPr>
                    <w:t>返回</w:t>
                  </w:r>
                  <w:r>
                    <w:rPr>
                      <w:rFonts w:ascii="仿宋_GB2312" w:hAnsi="仿宋_GB2312" w:cs="仿宋_GB2312" w:eastAsia="仿宋_GB2312"/>
                      <w:sz w:val="21"/>
                    </w:rPr>
                    <w:t>功能</w:t>
                  </w:r>
                </w:p>
              </w:tc>
            </w:tr>
            <w:tr>
              <w:tc>
                <w:tcPr>
                  <w:tcW w:type="dxa" w:w="3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w:t>
                  </w:r>
                </w:p>
              </w:tc>
              <w:tc>
                <w:tcPr>
                  <w:tcW w:type="dxa" w:w="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12"/>
                    <w:jc w:val="center"/>
                  </w:pPr>
                  <w:r>
                    <w:rPr>
                      <w:rFonts w:ascii="仿宋_GB2312" w:hAnsi="仿宋_GB2312" w:cs="仿宋_GB2312" w:eastAsia="仿宋_GB2312"/>
                      <w:sz w:val="21"/>
                    </w:rPr>
                    <w:t>自动返回基站</w:t>
                  </w:r>
                </w:p>
              </w:tc>
              <w:tc>
                <w:tcPr>
                  <w:tcW w:type="dxa" w:w="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35</w:t>
                  </w:r>
                </w:p>
              </w:tc>
              <w:tc>
                <w:tcPr>
                  <w:tcW w:type="dxa" w:w="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12"/>
                    <w:jc w:val="center"/>
                  </w:pPr>
                  <w:r>
                    <w:rPr>
                      <w:rFonts w:ascii="仿宋_GB2312" w:hAnsi="仿宋_GB2312" w:cs="仿宋_GB2312" w:eastAsia="仿宋_GB2312"/>
                      <w:sz w:val="21"/>
                    </w:rPr>
                    <w:t>开门动车保护</w:t>
                  </w:r>
                </w:p>
              </w:tc>
            </w:tr>
            <w:tr>
              <w:tc>
                <w:tcPr>
                  <w:tcW w:type="dxa" w:w="3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7</w:t>
                  </w:r>
                </w:p>
              </w:tc>
              <w:tc>
                <w:tcPr>
                  <w:tcW w:type="dxa" w:w="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12"/>
                    <w:jc w:val="center"/>
                  </w:pPr>
                  <w:r>
                    <w:rPr>
                      <w:rFonts w:ascii="仿宋_GB2312" w:hAnsi="仿宋_GB2312" w:cs="仿宋_GB2312" w:eastAsia="仿宋_GB2312"/>
                      <w:sz w:val="21"/>
                    </w:rPr>
                    <w:t>满载直驶</w:t>
                  </w:r>
                </w:p>
              </w:tc>
              <w:tc>
                <w:tcPr>
                  <w:tcW w:type="dxa" w:w="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36</w:t>
                  </w:r>
                </w:p>
              </w:tc>
              <w:tc>
                <w:tcPr>
                  <w:tcW w:type="dxa" w:w="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12"/>
                    <w:jc w:val="center"/>
                  </w:pPr>
                  <w:r>
                    <w:rPr>
                      <w:rFonts w:ascii="仿宋_GB2312" w:hAnsi="仿宋_GB2312" w:cs="仿宋_GB2312" w:eastAsia="仿宋_GB2312"/>
                      <w:sz w:val="21"/>
                    </w:rPr>
                    <w:t>轿内照明和风扇智能控制</w:t>
                  </w:r>
                </w:p>
              </w:tc>
            </w:tr>
            <w:tr>
              <w:tc>
                <w:tcPr>
                  <w:tcW w:type="dxa" w:w="3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w:t>
                  </w:r>
                </w:p>
              </w:tc>
              <w:tc>
                <w:tcPr>
                  <w:tcW w:type="dxa" w:w="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12"/>
                    <w:jc w:val="center"/>
                  </w:pPr>
                  <w:r>
                    <w:rPr>
                      <w:rFonts w:ascii="仿宋_GB2312" w:hAnsi="仿宋_GB2312" w:cs="仿宋_GB2312" w:eastAsia="仿宋_GB2312"/>
                      <w:sz w:val="21"/>
                    </w:rPr>
                    <w:t>全集选</w:t>
                  </w:r>
                </w:p>
              </w:tc>
              <w:tc>
                <w:tcPr>
                  <w:tcW w:type="dxa" w:w="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37</w:t>
                  </w:r>
                </w:p>
              </w:tc>
              <w:tc>
                <w:tcPr>
                  <w:tcW w:type="dxa" w:w="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12"/>
                    <w:jc w:val="center"/>
                  </w:pPr>
                  <w:r>
                    <w:rPr>
                      <w:rFonts w:ascii="仿宋_GB2312" w:hAnsi="仿宋_GB2312" w:cs="仿宋_GB2312" w:eastAsia="仿宋_GB2312"/>
                      <w:sz w:val="21"/>
                    </w:rPr>
                    <w:t>光幕门保护</w:t>
                  </w:r>
                </w:p>
              </w:tc>
            </w:tr>
            <w:tr>
              <w:tc>
                <w:tcPr>
                  <w:tcW w:type="dxa" w:w="3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w:t>
                  </w:r>
                </w:p>
              </w:tc>
              <w:tc>
                <w:tcPr>
                  <w:tcW w:type="dxa" w:w="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12"/>
                    <w:jc w:val="center"/>
                  </w:pPr>
                  <w:r>
                    <w:rPr>
                      <w:rFonts w:ascii="仿宋_GB2312" w:hAnsi="仿宋_GB2312" w:cs="仿宋_GB2312" w:eastAsia="仿宋_GB2312"/>
                      <w:sz w:val="21"/>
                    </w:rPr>
                    <w:t>轿顶检修</w:t>
                  </w:r>
                </w:p>
              </w:tc>
              <w:tc>
                <w:tcPr>
                  <w:tcW w:type="dxa" w:w="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38</w:t>
                  </w:r>
                </w:p>
              </w:tc>
              <w:tc>
                <w:tcPr>
                  <w:tcW w:type="dxa" w:w="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12"/>
                    <w:jc w:val="center"/>
                  </w:pPr>
                  <w:r>
                    <w:rPr>
                      <w:rFonts w:ascii="仿宋_GB2312" w:hAnsi="仿宋_GB2312" w:cs="仿宋_GB2312" w:eastAsia="仿宋_GB2312"/>
                      <w:sz w:val="21"/>
                    </w:rPr>
                    <w:t>厅</w:t>
                  </w:r>
                  <w:r>
                    <w:rPr>
                      <w:rFonts w:ascii="仿宋_GB2312" w:hAnsi="仿宋_GB2312" w:cs="仿宋_GB2312" w:eastAsia="仿宋_GB2312"/>
                      <w:sz w:val="21"/>
                    </w:rPr>
                    <w:t>/轿门分别控制</w:t>
                  </w:r>
                </w:p>
              </w:tc>
            </w:tr>
            <w:tr>
              <w:tc>
                <w:tcPr>
                  <w:tcW w:type="dxa" w:w="3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w:t>
                  </w:r>
                </w:p>
              </w:tc>
              <w:tc>
                <w:tcPr>
                  <w:tcW w:type="dxa" w:w="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12"/>
                    <w:jc w:val="center"/>
                  </w:pPr>
                  <w:r>
                    <w:rPr>
                      <w:rFonts w:ascii="仿宋_GB2312" w:hAnsi="仿宋_GB2312" w:cs="仿宋_GB2312" w:eastAsia="仿宋_GB2312"/>
                      <w:sz w:val="21"/>
                    </w:rPr>
                    <w:t>超载保护报警</w:t>
                  </w:r>
                </w:p>
              </w:tc>
              <w:tc>
                <w:tcPr>
                  <w:tcW w:type="dxa" w:w="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39</w:t>
                  </w:r>
                </w:p>
              </w:tc>
              <w:tc>
                <w:tcPr>
                  <w:tcW w:type="dxa" w:w="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12"/>
                    <w:jc w:val="center"/>
                  </w:pPr>
                  <w:r>
                    <w:rPr>
                      <w:rFonts w:ascii="仿宋_GB2312" w:hAnsi="仿宋_GB2312" w:cs="仿宋_GB2312" w:eastAsia="仿宋_GB2312"/>
                      <w:sz w:val="21"/>
                    </w:rPr>
                    <w:t>本层厅外开门</w:t>
                  </w:r>
                </w:p>
              </w:tc>
            </w:tr>
            <w:tr>
              <w:tc>
                <w:tcPr>
                  <w:tcW w:type="dxa" w:w="3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11</w:t>
                  </w:r>
                </w:p>
              </w:tc>
              <w:tc>
                <w:tcPr>
                  <w:tcW w:type="dxa" w:w="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12"/>
                    <w:jc w:val="center"/>
                  </w:pPr>
                  <w:r>
                    <w:rPr>
                      <w:rFonts w:ascii="仿宋_GB2312" w:hAnsi="仿宋_GB2312" w:cs="仿宋_GB2312" w:eastAsia="仿宋_GB2312"/>
                      <w:sz w:val="21"/>
                    </w:rPr>
                    <w:t>开、关门按钮</w:t>
                  </w:r>
                </w:p>
              </w:tc>
              <w:tc>
                <w:tcPr>
                  <w:tcW w:type="dxa" w:w="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40</w:t>
                  </w:r>
                </w:p>
              </w:tc>
              <w:tc>
                <w:tcPr>
                  <w:tcW w:type="dxa" w:w="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12"/>
                    <w:jc w:val="center"/>
                  </w:pPr>
                  <w:r>
                    <w:rPr>
                      <w:rFonts w:ascii="仿宋_GB2312" w:hAnsi="仿宋_GB2312" w:cs="仿宋_GB2312" w:eastAsia="仿宋_GB2312"/>
                      <w:sz w:val="21"/>
                    </w:rPr>
                    <w:t>关门等待取消</w:t>
                  </w:r>
                </w:p>
              </w:tc>
            </w:tr>
            <w:tr>
              <w:tc>
                <w:tcPr>
                  <w:tcW w:type="dxa" w:w="3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12</w:t>
                  </w:r>
                </w:p>
              </w:tc>
              <w:tc>
                <w:tcPr>
                  <w:tcW w:type="dxa" w:w="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12"/>
                    <w:jc w:val="center"/>
                  </w:pPr>
                  <w:r>
                    <w:rPr>
                      <w:rFonts w:ascii="仿宋_GB2312" w:hAnsi="仿宋_GB2312" w:cs="仿宋_GB2312" w:eastAsia="仿宋_GB2312"/>
                      <w:sz w:val="21"/>
                    </w:rPr>
                    <w:t>内部通话装置</w:t>
                  </w:r>
                </w:p>
              </w:tc>
              <w:tc>
                <w:tcPr>
                  <w:tcW w:type="dxa" w:w="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41</w:t>
                  </w:r>
                </w:p>
              </w:tc>
              <w:tc>
                <w:tcPr>
                  <w:tcW w:type="dxa" w:w="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12"/>
                    <w:jc w:val="center"/>
                  </w:pPr>
                  <w:r>
                    <w:rPr>
                      <w:rFonts w:ascii="仿宋_GB2312" w:hAnsi="仿宋_GB2312" w:cs="仿宋_GB2312" w:eastAsia="仿宋_GB2312"/>
                      <w:sz w:val="21"/>
                    </w:rPr>
                    <w:t>轿厢关门延迟保护</w:t>
                  </w:r>
                </w:p>
              </w:tc>
            </w:tr>
            <w:tr>
              <w:tc>
                <w:tcPr>
                  <w:tcW w:type="dxa" w:w="3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13</w:t>
                  </w:r>
                </w:p>
              </w:tc>
              <w:tc>
                <w:tcPr>
                  <w:tcW w:type="dxa" w:w="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8"/>
                    <w:jc w:val="center"/>
                  </w:pPr>
                  <w:r>
                    <w:rPr>
                      <w:rFonts w:ascii="仿宋_GB2312" w:hAnsi="仿宋_GB2312" w:cs="仿宋_GB2312" w:eastAsia="仿宋_GB2312"/>
                      <w:sz w:val="21"/>
                    </w:rPr>
                    <w:t>警铃</w:t>
                  </w:r>
                </w:p>
              </w:tc>
              <w:tc>
                <w:tcPr>
                  <w:tcW w:type="dxa" w:w="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42</w:t>
                  </w:r>
                </w:p>
              </w:tc>
              <w:tc>
                <w:tcPr>
                  <w:tcW w:type="dxa" w:w="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12"/>
                    <w:jc w:val="center"/>
                  </w:pPr>
                  <w:r>
                    <w:rPr>
                      <w:rFonts w:ascii="仿宋_GB2312" w:hAnsi="仿宋_GB2312" w:cs="仿宋_GB2312" w:eastAsia="仿宋_GB2312"/>
                      <w:sz w:val="21"/>
                    </w:rPr>
                    <w:t>轿厢开门保护</w:t>
                  </w:r>
                </w:p>
              </w:tc>
            </w:tr>
            <w:tr>
              <w:tc>
                <w:tcPr>
                  <w:tcW w:type="dxa" w:w="3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14</w:t>
                  </w:r>
                </w:p>
              </w:tc>
              <w:tc>
                <w:tcPr>
                  <w:tcW w:type="dxa" w:w="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12"/>
                    <w:jc w:val="center"/>
                  </w:pPr>
                  <w:r>
                    <w:rPr>
                      <w:rFonts w:ascii="仿宋_GB2312" w:hAnsi="仿宋_GB2312" w:cs="仿宋_GB2312" w:eastAsia="仿宋_GB2312"/>
                      <w:sz w:val="21"/>
                    </w:rPr>
                    <w:t>反向指令自动消除</w:t>
                  </w:r>
                </w:p>
              </w:tc>
              <w:tc>
                <w:tcPr>
                  <w:tcW w:type="dxa" w:w="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43</w:t>
                  </w:r>
                </w:p>
              </w:tc>
              <w:tc>
                <w:tcPr>
                  <w:tcW w:type="dxa" w:w="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12"/>
                    <w:jc w:val="center"/>
                  </w:pPr>
                  <w:r>
                    <w:rPr>
                      <w:rFonts w:ascii="仿宋_GB2312" w:hAnsi="仿宋_GB2312" w:cs="仿宋_GB2312" w:eastAsia="仿宋_GB2312"/>
                      <w:sz w:val="21"/>
                    </w:rPr>
                    <w:t>轿厢关门保护</w:t>
                  </w:r>
                </w:p>
              </w:tc>
            </w:tr>
            <w:tr>
              <w:tc>
                <w:tcPr>
                  <w:tcW w:type="dxa" w:w="3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15</w:t>
                  </w:r>
                </w:p>
              </w:tc>
              <w:tc>
                <w:tcPr>
                  <w:tcW w:type="dxa" w:w="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12"/>
                    <w:jc w:val="center"/>
                  </w:pPr>
                  <w:r>
                    <w:rPr>
                      <w:rFonts w:ascii="仿宋_GB2312" w:hAnsi="仿宋_GB2312" w:cs="仿宋_GB2312" w:eastAsia="仿宋_GB2312"/>
                      <w:sz w:val="21"/>
                    </w:rPr>
                    <w:t>错误指令取消</w:t>
                  </w:r>
                </w:p>
              </w:tc>
              <w:tc>
                <w:tcPr>
                  <w:tcW w:type="dxa" w:w="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44</w:t>
                  </w:r>
                </w:p>
              </w:tc>
              <w:tc>
                <w:tcPr>
                  <w:tcW w:type="dxa" w:w="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12"/>
                    <w:jc w:val="center"/>
                  </w:pPr>
                  <w:r>
                    <w:rPr>
                      <w:rFonts w:ascii="仿宋_GB2312" w:hAnsi="仿宋_GB2312" w:cs="仿宋_GB2312" w:eastAsia="仿宋_GB2312"/>
                      <w:sz w:val="21"/>
                    </w:rPr>
                    <w:t>关门力矩保护</w:t>
                  </w:r>
                </w:p>
              </w:tc>
            </w:tr>
            <w:tr>
              <w:tc>
                <w:tcPr>
                  <w:tcW w:type="dxa" w:w="3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16</w:t>
                  </w:r>
                </w:p>
              </w:tc>
              <w:tc>
                <w:tcPr>
                  <w:tcW w:type="dxa" w:w="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12"/>
                    <w:jc w:val="center"/>
                  </w:pPr>
                  <w:r>
                    <w:rPr>
                      <w:rFonts w:ascii="仿宋_GB2312" w:hAnsi="仿宋_GB2312" w:cs="仿宋_GB2312" w:eastAsia="仿宋_GB2312"/>
                      <w:sz w:val="21"/>
                    </w:rPr>
                    <w:t>终端楼层保护</w:t>
                  </w:r>
                </w:p>
              </w:tc>
              <w:tc>
                <w:tcPr>
                  <w:tcW w:type="dxa" w:w="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45</w:t>
                  </w:r>
                </w:p>
              </w:tc>
              <w:tc>
                <w:tcPr>
                  <w:tcW w:type="dxa" w:w="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12"/>
                    <w:jc w:val="center"/>
                  </w:pPr>
                  <w:r>
                    <w:rPr>
                      <w:rFonts w:ascii="仿宋_GB2312" w:hAnsi="仿宋_GB2312" w:cs="仿宋_GB2312" w:eastAsia="仿宋_GB2312"/>
                      <w:sz w:val="21"/>
                    </w:rPr>
                    <w:t>厅外及轿内方向指示</w:t>
                  </w:r>
                </w:p>
              </w:tc>
            </w:tr>
            <w:tr>
              <w:tc>
                <w:tcPr>
                  <w:tcW w:type="dxa" w:w="3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17</w:t>
                  </w:r>
                </w:p>
              </w:tc>
              <w:tc>
                <w:tcPr>
                  <w:tcW w:type="dxa" w:w="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12"/>
                    <w:jc w:val="center"/>
                  </w:pPr>
                  <w:r>
                    <w:rPr>
                      <w:rFonts w:ascii="仿宋_GB2312" w:hAnsi="仿宋_GB2312" w:cs="仿宋_GB2312" w:eastAsia="仿宋_GB2312"/>
                      <w:sz w:val="21"/>
                    </w:rPr>
                    <w:t>轿内风扇控制</w:t>
                  </w:r>
                </w:p>
              </w:tc>
              <w:tc>
                <w:tcPr>
                  <w:tcW w:type="dxa" w:w="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46</w:t>
                  </w:r>
                </w:p>
              </w:tc>
              <w:tc>
                <w:tcPr>
                  <w:tcW w:type="dxa" w:w="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12"/>
                    <w:jc w:val="center"/>
                  </w:pPr>
                  <w:r>
                    <w:rPr>
                      <w:rFonts w:ascii="仿宋_GB2312" w:hAnsi="仿宋_GB2312" w:cs="仿宋_GB2312" w:eastAsia="仿宋_GB2312"/>
                      <w:sz w:val="21"/>
                    </w:rPr>
                    <w:t>大厅、轿内位置显示</w:t>
                  </w:r>
                </w:p>
              </w:tc>
            </w:tr>
            <w:tr>
              <w:tc>
                <w:tcPr>
                  <w:tcW w:type="dxa" w:w="3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18</w:t>
                  </w:r>
                </w:p>
              </w:tc>
              <w:tc>
                <w:tcPr>
                  <w:tcW w:type="dxa" w:w="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12"/>
                    <w:jc w:val="center"/>
                  </w:pPr>
                  <w:r>
                    <w:rPr>
                      <w:rFonts w:ascii="仿宋_GB2312" w:hAnsi="仿宋_GB2312" w:cs="仿宋_GB2312" w:eastAsia="仿宋_GB2312"/>
                      <w:sz w:val="21"/>
                    </w:rPr>
                    <w:t>停梯开关</w:t>
                  </w:r>
                </w:p>
              </w:tc>
              <w:tc>
                <w:tcPr>
                  <w:tcW w:type="dxa" w:w="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47</w:t>
                  </w:r>
                </w:p>
              </w:tc>
              <w:tc>
                <w:tcPr>
                  <w:tcW w:type="dxa" w:w="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12"/>
                    <w:jc w:val="center"/>
                  </w:pPr>
                  <w:r>
                    <w:rPr>
                      <w:rFonts w:ascii="仿宋_GB2312" w:hAnsi="仿宋_GB2312" w:cs="仿宋_GB2312" w:eastAsia="仿宋_GB2312"/>
                      <w:sz w:val="21"/>
                    </w:rPr>
                    <w:t>预留视频电缆</w:t>
                  </w:r>
                </w:p>
              </w:tc>
            </w:tr>
            <w:tr>
              <w:tc>
                <w:tcPr>
                  <w:tcW w:type="dxa" w:w="3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19</w:t>
                  </w:r>
                </w:p>
              </w:tc>
              <w:tc>
                <w:tcPr>
                  <w:tcW w:type="dxa" w:w="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12"/>
                    <w:jc w:val="center"/>
                  </w:pPr>
                  <w:r>
                    <w:rPr>
                      <w:rFonts w:ascii="仿宋_GB2312" w:hAnsi="仿宋_GB2312" w:cs="仿宋_GB2312" w:eastAsia="仿宋_GB2312"/>
                      <w:sz w:val="21"/>
                    </w:rPr>
                    <w:t>自动泊梯</w:t>
                  </w:r>
                </w:p>
              </w:tc>
              <w:tc>
                <w:tcPr>
                  <w:tcW w:type="dxa" w:w="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w:t>
                  </w:r>
                </w:p>
              </w:tc>
              <w:tc>
                <w:tcPr>
                  <w:tcW w:type="dxa" w:w="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12"/>
                    <w:jc w:val="center"/>
                  </w:pPr>
                  <w:r>
                    <w:rPr>
                      <w:rFonts w:ascii="仿宋_GB2312" w:hAnsi="仿宋_GB2312" w:cs="仿宋_GB2312" w:eastAsia="仿宋_GB2312"/>
                      <w:sz w:val="21"/>
                    </w:rPr>
                    <w:t>紧急电动操作</w:t>
                  </w:r>
                </w:p>
              </w:tc>
              <w:tc>
                <w:tcPr>
                  <w:tcW w:type="dxa" w:w="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21</w:t>
                  </w:r>
                </w:p>
              </w:tc>
              <w:tc>
                <w:tcPr>
                  <w:tcW w:type="dxa" w:w="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12"/>
                    <w:jc w:val="center"/>
                  </w:pPr>
                  <w:r>
                    <w:rPr>
                      <w:rFonts w:ascii="仿宋_GB2312" w:hAnsi="仿宋_GB2312" w:cs="仿宋_GB2312" w:eastAsia="仿宋_GB2312"/>
                      <w:sz w:val="21"/>
                    </w:rPr>
                    <w:t>恢复运行</w:t>
                  </w:r>
                </w:p>
              </w:tc>
              <w:tc>
                <w:tcPr>
                  <w:tcW w:type="dxa" w:w="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22</w:t>
                  </w:r>
                </w:p>
              </w:tc>
              <w:tc>
                <w:tcPr>
                  <w:tcW w:type="dxa" w:w="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12"/>
                    <w:jc w:val="center"/>
                  </w:pPr>
                  <w:r>
                    <w:rPr>
                      <w:rFonts w:ascii="仿宋_GB2312" w:hAnsi="仿宋_GB2312" w:cs="仿宋_GB2312" w:eastAsia="仿宋_GB2312"/>
                      <w:sz w:val="21"/>
                    </w:rPr>
                    <w:t>五方通话功能</w:t>
                  </w:r>
                </w:p>
              </w:tc>
              <w:tc>
                <w:tcPr>
                  <w:tcW w:type="dxa" w:w="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27</w:t>
                  </w:r>
                </w:p>
              </w:tc>
              <w:tc>
                <w:tcPr>
                  <w:tcW w:type="dxa" w:w="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12"/>
                    <w:jc w:val="center"/>
                  </w:pPr>
                  <w:r>
                    <w:rPr>
                      <w:rFonts w:ascii="仿宋_GB2312" w:hAnsi="仿宋_GB2312" w:cs="仿宋_GB2312" w:eastAsia="仿宋_GB2312"/>
                      <w:sz w:val="21"/>
                    </w:rPr>
                    <w:t>提前开门</w:t>
                  </w:r>
                </w:p>
              </w:tc>
              <w:tc>
                <w:tcPr>
                  <w:tcW w:type="dxa" w:w="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28</w:t>
                  </w:r>
                </w:p>
              </w:tc>
              <w:tc>
                <w:tcPr>
                  <w:tcW w:type="dxa" w:w="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12"/>
                    <w:jc w:val="center"/>
                  </w:pPr>
                  <w:r>
                    <w:rPr>
                      <w:rFonts w:ascii="仿宋_GB2312" w:hAnsi="仿宋_GB2312" w:cs="仿宋_GB2312" w:eastAsia="仿宋_GB2312"/>
                      <w:sz w:val="21"/>
                    </w:rPr>
                    <w:t>自动再平层</w:t>
                  </w:r>
                </w:p>
              </w:tc>
              <w:tc>
                <w:tcPr>
                  <w:tcW w:type="dxa" w:w="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12"/>
                    <w:jc w:val="center"/>
                  </w:pPr>
                </w:p>
              </w:tc>
              <w:tc>
                <w:tcPr>
                  <w:tcW w:type="dxa" w:w="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29</w:t>
                  </w:r>
                </w:p>
              </w:tc>
              <w:tc>
                <w:tcPr>
                  <w:tcW w:type="dxa" w:w="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12"/>
                    <w:jc w:val="center"/>
                  </w:pPr>
                  <w:r>
                    <w:rPr>
                      <w:rFonts w:ascii="仿宋_GB2312" w:hAnsi="仿宋_GB2312" w:cs="仿宋_GB2312" w:eastAsia="仿宋_GB2312"/>
                      <w:sz w:val="21"/>
                    </w:rPr>
                    <w:t>紧急照明</w:t>
                  </w:r>
                </w:p>
              </w:tc>
              <w:tc>
                <w:tcPr>
                  <w:tcW w:type="dxa" w:w="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12"/>
                    <w:jc w:val="center"/>
                  </w:pPr>
                </w:p>
              </w:tc>
              <w:tc>
                <w:tcPr>
                  <w:tcW w:type="dxa" w:w="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工程质量：合格，并符合国家及行业验收合格标准及采购人要求。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电梯安装工程应达到国家有关标准与验收规范及供电电源标准及工程质量。 1)《电梯制造与安装安全规范》 GB7588-2015； 2)《电梯安装验收规范》 GB10060-93； 3)《电梯技术条件》 GB10058-2009； 4)《电梯试验方法》 GB10059-2009； 5)《电梯工程施工质量验收规范》 GB 50310-2002；</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商务要求为实质性要求，商务要求不允许负偏离；2、二次报价总价不得高于一次报价总价，全部分项报价须按照相同比例同步下浮，各分项下浮幅度统一，分项价格不得单独上浮。3、付款方式：1）预付款，合同签订后，达到付款条件起10个工作日内，支付合同总金额的30.0% 2）进度款，电梯全套设备到达施工现场，采购人现场验收，签署到货验收资料后，达到付款条件起10个工作日内，支付合同总金额的30.0% 3）进度款，电梯安装调试完成，经竣工验收合格，并办理电梯特种设备注册登记证后，达到付款条件起10个工作日内，支付合同总金额的37.0% 4）进度款，剩余3%作为质保金（质保期5年），在质保期满后由采购人一次性付清，达到付款条件起10个工作日内，支付合同总金额的3.0%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供应商应提供的资格证明文件--.docx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财务审计报告（成立时间至提交投标文件截止时间不足一年的可提供成立后任意时段的资产负债表），或其基本存款账户开户银行出具的资信证明（三个月内）及基本存款账户开户许可证（或基本账户备案证明）</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须提供依法缴纳税收的良好记录：提供投标截止时间前一年内已缴纳的至少一个月纳税凭证或完税证明，依法免税的单位应提供相关证明材料</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须提供依法社会保障资金的良好记录：提供投标截止时间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专业技术能力的承诺函</w:t>
            </w:r>
          </w:p>
        </w:tc>
        <w:tc>
          <w:tcPr>
            <w:tcW w:type="dxa" w:w="3322"/>
          </w:tcPr>
          <w:p>
            <w:pPr>
              <w:pStyle w:val="null3"/>
            </w:pPr>
            <w:r>
              <w:rPr>
                <w:rFonts w:ascii="仿宋_GB2312" w:hAnsi="仿宋_GB2312" w:cs="仿宋_GB2312" w:eastAsia="仿宋_GB2312"/>
              </w:rPr>
              <w:t>提供具备履行本合同所必需的设备和专业技术能力的说明及承诺</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提供法定代表人授权委托书原件（附法定代表人、被授权人身份证复印件）及被授权人身份证原件（法定代表人参会只须提供其身份证原件）</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信用中国等网站信用查询截图</w:t>
            </w:r>
          </w:p>
        </w:tc>
        <w:tc>
          <w:tcPr>
            <w:tcW w:type="dxa" w:w="3322"/>
          </w:tcPr>
          <w:p>
            <w:pPr>
              <w:pStyle w:val="null3"/>
            </w:pPr>
            <w:r>
              <w:rPr>
                <w:rFonts w:ascii="仿宋_GB2312" w:hAnsi="仿宋_GB2312" w:cs="仿宋_GB2312" w:eastAsia="仿宋_GB2312"/>
              </w:rPr>
              <w:t>供应商在投标截止日前未被列入失信被执行人、重大税收违法案件当事人名单、政府采购严重违法失信行为记录名单（处罚期限届满的除外（以“信用中国”网站（www.creditchina.gov.cn）查询结果为准）；中国政府采购网（www.ccgp.gov.cn）提供政府采购严重违法失信行为记录名单（处罚期限届满的除外）网站截图并加盖单位公章</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控股管理关系声明函</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单位负责人为同一人或者存在直接控股、管理关系的不同供应商，不得参加同一合同项下的政府采购活动的书面声明</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供应商为电梯生产制造商的，须提供《中华人民共和国特种设备生产许可证》电梯制造（含安装、修理、改造）或有效期内的旧证，许可项目类别包含曳引驱动乘客电梯（含消防员电梯）B 级（额定速度≤2.5m/s）及以上资质； 供应商为电梯经销商（代理商）的，须提供《中华人民共和国特种设备生产许可证》电梯安装（含修理）及电梯生产制造商的《中华人民共和国特种设备生产许可证》电梯制造（含安装、修理、改造）或有效期内的旧证，许可项目类别包含曳引驱动乘客电梯（含消防员电梯）B 级（额定速度≤2.5m/s）及以上资质。</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项目负责人要求</w:t>
            </w:r>
          </w:p>
        </w:tc>
        <w:tc>
          <w:tcPr>
            <w:tcW w:type="dxa" w:w="3322"/>
          </w:tcPr>
          <w:p>
            <w:pPr>
              <w:pStyle w:val="null3"/>
            </w:pPr>
            <w:r>
              <w:rPr>
                <w:rFonts w:ascii="仿宋_GB2312" w:hAnsi="仿宋_GB2312" w:cs="仿宋_GB2312" w:eastAsia="仿宋_GB2312"/>
              </w:rPr>
              <w:t>须具备【特种设备管理人员】及以上,或【特种设备作业人员】及以上证书（电梯专业）。</w:t>
            </w:r>
          </w:p>
        </w:tc>
        <w:tc>
          <w:tcPr>
            <w:tcW w:type="dxa" w:w="1661"/>
          </w:tcPr>
          <w:p>
            <w:pPr>
              <w:pStyle w:val="null3"/>
            </w:pPr>
            <w:r>
              <w:rPr>
                <w:rFonts w:ascii="仿宋_GB2312" w:hAnsi="仿宋_GB2312" w:cs="仿宋_GB2312" w:eastAsia="仿宋_GB2312"/>
              </w:rPr>
              <w:t>供应商应提供的资格证明文件--.docx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报价唯一，且没有超过最高限价。</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符合磋商文件签字、盖章要求</w:t>
            </w:r>
          </w:p>
        </w:tc>
        <w:tc>
          <w:tcPr>
            <w:tcW w:type="dxa" w:w="1661"/>
          </w:tcPr>
          <w:p>
            <w:pPr>
              <w:pStyle w:val="null3"/>
            </w:pPr>
            <w:r>
              <w:rPr>
                <w:rFonts w:ascii="仿宋_GB2312" w:hAnsi="仿宋_GB2312" w:cs="仿宋_GB2312" w:eastAsia="仿宋_GB2312"/>
              </w:rPr>
              <w:t>已标价工程量清单 中小企业声明函 商务要求应答表.docx 分项报价明细表.docx 类似业绩一览表.docx 强制优先采购产品承诺函 供应商应提供的资格证明文件--.docx 响应文件封面 技术偏离表.docx 主要人员简历表.docx 供应商认为有必要补充说明的事项.docx 残疾人福利性单位声明函 报价函 标的清单 响应函 项目团队组织机构.docx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要求全面响应，符合磋商文件相关要求；不能有任何采购人不能接受的附加条件。</w:t>
            </w:r>
          </w:p>
        </w:tc>
        <w:tc>
          <w:tcPr>
            <w:tcW w:type="dxa" w:w="1661"/>
          </w:tcPr>
          <w:p>
            <w:pPr>
              <w:pStyle w:val="null3"/>
            </w:pPr>
            <w:r>
              <w:rPr>
                <w:rFonts w:ascii="仿宋_GB2312" w:hAnsi="仿宋_GB2312" w:cs="仿宋_GB2312" w:eastAsia="仿宋_GB2312"/>
              </w:rPr>
              <w:t>响应文件封面 商务要求应答表.docx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法规明确规定响应无效的事项</w:t>
            </w:r>
          </w:p>
        </w:tc>
        <w:tc>
          <w:tcPr>
            <w:tcW w:type="dxa" w:w="3322"/>
          </w:tcPr>
          <w:p>
            <w:pPr>
              <w:pStyle w:val="null3"/>
            </w:pPr>
            <w:r>
              <w:rPr>
                <w:rFonts w:ascii="仿宋_GB2312" w:hAnsi="仿宋_GB2312" w:cs="仿宋_GB2312" w:eastAsia="仿宋_GB2312"/>
              </w:rPr>
              <w:t>没有出现法律法规或磋商文件明确规定的其他被视为“无效投标”的情形。</w:t>
            </w:r>
          </w:p>
        </w:tc>
        <w:tc>
          <w:tcPr>
            <w:tcW w:type="dxa" w:w="1661"/>
          </w:tcPr>
          <w:p>
            <w:pPr>
              <w:pStyle w:val="null3"/>
            </w:pPr>
            <w:r>
              <w:rPr>
                <w:rFonts w:ascii="仿宋_GB2312" w:hAnsi="仿宋_GB2312" w:cs="仿宋_GB2312" w:eastAsia="仿宋_GB2312"/>
              </w:rPr>
              <w:t>已标价工程量清单 中小企业声明函 商务要求应答表.docx 分项报价明细表.docx 类似业绩一览表.docx 强制优先采购产品承诺函 供应商应提供的资格证明文件--.docx 响应文件封面 技术偏离表.docx 主要人员简历表.docx 供应商认为有必要补充说明的事项.docx 残疾人福利性单位声明函 报价函 标的清单 响应函 项目团队组织机构.docx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产品选型配置</w:t>
            </w:r>
          </w:p>
        </w:tc>
        <w:tc>
          <w:tcPr>
            <w:tcW w:type="dxa" w:w="2492"/>
          </w:tcPr>
          <w:p>
            <w:pPr>
              <w:pStyle w:val="null3"/>
            </w:pPr>
            <w:r>
              <w:rPr>
                <w:rFonts w:ascii="仿宋_GB2312" w:hAnsi="仿宋_GB2312" w:cs="仿宋_GB2312" w:eastAsia="仿宋_GB2312"/>
              </w:rPr>
              <w:t>功能配置及电梯重要部位零部件配置：按各供应商投标机型的基本功能配置、控制柜控制系统、曳引驱动系统、门机及门保护系统、安全保护配置等性能情况进行综合评审。 注：应提供相关技术参数佐证材料（佐证材料包括但不限于：产品彩页、检测报告、官网截图等证明材料，佐证材料须包含产品的技术参数）予以证明其技术参数的响应。 评审标准：在完全满足本项目采购需求且核心要求无负偏离的前提下，功能与技术参数描述全面详细、阐述清晰准确，能明确体现设备长期稳定运行保障能力的，得12分；评审内容存在表述模糊、细节描述不完善（但核心要求无负偏离）的，每存在1项此类缺陷扣1 分，扣完为止。说明：缺陷是指核心要求已完全满足，但功能阐述不清晰、技术参数细节缺失、运行稳定性保障能力描述不具体等情形。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电梯安装与调试方案</w:t>
            </w:r>
          </w:p>
        </w:tc>
        <w:tc>
          <w:tcPr>
            <w:tcW w:type="dxa" w:w="2492"/>
          </w:tcPr>
          <w:p>
            <w:pPr>
              <w:pStyle w:val="null3"/>
            </w:pPr>
            <w:r>
              <w:rPr>
                <w:rFonts w:ascii="仿宋_GB2312" w:hAnsi="仿宋_GB2312" w:cs="仿宋_GB2312" w:eastAsia="仿宋_GB2312"/>
              </w:rPr>
              <w:t>提供针对本项目的电梯安装与调试方案，包含①井道主要材料性能和参数；②安装与调试方案。 每项6分，每有一处缺陷扣1分，扣完本细分项得分为止，未提供不得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w:t>
            </w:r>
          </w:p>
        </w:tc>
        <w:tc>
          <w:tcPr>
            <w:tcW w:type="dxa" w:w="2492"/>
          </w:tcPr>
          <w:p>
            <w:pPr>
              <w:pStyle w:val="null3"/>
            </w:pPr>
            <w:r>
              <w:rPr>
                <w:rFonts w:ascii="仿宋_GB2312" w:hAnsi="仿宋_GB2312" w:cs="仿宋_GB2312" w:eastAsia="仿宋_GB2312"/>
              </w:rPr>
              <w:t>提供针对本项目的施工进度。包括 ①施工计划安排：施工进度目标和施工总进度计划表； ②进度保障措施：工期保证措施、特殊情况（夜间、雨季、高低温等其它情况）保证等。 每项3分，每有一处缺陷扣0.5分，扣完本细分项得分为止，未提供不得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提供针对本项目的环境保护措施。包括①环境保护管理体系及垃圾清运计划； ②环保控制措施：污染物及废弃物处理的排放、噪音控制、防尘及扬尘的控制措施。 每项3分，每有一处缺陷扣0.5分，扣完本细分项得分为止，未提供不得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质量管理措施</w:t>
            </w:r>
          </w:p>
        </w:tc>
        <w:tc>
          <w:tcPr>
            <w:tcW w:type="dxa" w:w="2492"/>
          </w:tcPr>
          <w:p>
            <w:pPr>
              <w:pStyle w:val="null3"/>
            </w:pPr>
            <w:r>
              <w:rPr>
                <w:rFonts w:ascii="仿宋_GB2312" w:hAnsi="仿宋_GB2312" w:cs="仿宋_GB2312" w:eastAsia="仿宋_GB2312"/>
              </w:rPr>
              <w:t>提供针对本项目完善的质量保证管理体系及相关措施。包括 ①质量管理目标； ②施工质量保障措施； ③验收及质保期质量管控措施。 每项3分，每有一处缺陷扣0.5分，扣完本细分项得分为止，未提供不得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安全管理措施</w:t>
            </w:r>
          </w:p>
        </w:tc>
        <w:tc>
          <w:tcPr>
            <w:tcW w:type="dxa" w:w="2492"/>
          </w:tcPr>
          <w:p>
            <w:pPr>
              <w:pStyle w:val="null3"/>
            </w:pPr>
            <w:r>
              <w:rPr>
                <w:rFonts w:ascii="仿宋_GB2312" w:hAnsi="仿宋_GB2312" w:cs="仿宋_GB2312" w:eastAsia="仿宋_GB2312"/>
              </w:rPr>
              <w:t>提供针对本项目的安全管理体系与相关措施。包括 ①安全管理体系：安全制度、安全责任划分，标识及安全装备配备、安全教育培训等； ②文明施工：施工现场管理、材料及机具堆放、检查措施等。 每项3分，每有一处缺陷扣0.5分，扣完本细分项得分为止，未提供不得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提供针对本项目的售后服务方案。包括①工程维修服务承诺及维修响应时间； ②紧急故障处理预案：③对采购方人员培训计划。 每项3分，每有一处缺陷扣0.5分，扣完本细分项得分为止，未提供不得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拟派项目团队成员（不含项目负责人）：提供【特种设备作业人员】及以上证书（电梯专业），每具备1名作业人员得2分，最高得10分；须提供作业人员身份证、作业人员执业证书、响应截止前六个月内任意一个月的社保证明。 备注：1、以上资料缺少任意一项，计0分；2、同一名人员提供多项证书的，不重复计分；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以供应商2023年1月至今(以合同签订日期为准)类似业绩合同为准，每提供1份合同复印件得2.5分，最多得10分，未提供的不得分。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p>
            <w:pPr>
              <w:pStyle w:val="null3"/>
            </w:pPr>
            <w:r>
              <w:rPr>
                <w:rFonts w:ascii="仿宋_GB2312" w:hAnsi="仿宋_GB2312" w:cs="仿宋_GB2312" w:eastAsia="仿宋_GB2312"/>
              </w:rPr>
              <w:t>供应商应提供的资格证明文件--.docx</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类似业绩一览表.docx</w:t>
            </w:r>
          </w:p>
          <w:p>
            <w:pPr>
              <w:pStyle w:val="null3"/>
            </w:pPr>
            <w:r>
              <w:rPr>
                <w:rFonts w:ascii="仿宋_GB2312" w:hAnsi="仿宋_GB2312" w:cs="仿宋_GB2312" w:eastAsia="仿宋_GB2312"/>
              </w:rPr>
              <w:t>商务要求应答表.docx</w:t>
            </w:r>
          </w:p>
          <w:p>
            <w:pPr>
              <w:pStyle w:val="null3"/>
            </w:pPr>
            <w:r>
              <w:rPr>
                <w:rFonts w:ascii="仿宋_GB2312" w:hAnsi="仿宋_GB2312" w:cs="仿宋_GB2312" w:eastAsia="仿宋_GB2312"/>
              </w:rPr>
              <w:t>项目团队组织机构.docx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主要人员简历表.docx</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各供应商有效报价的算术平均值作为评审基准价（当供应商大于5家时，去除响应报价最高的1家和最低的1家，然后计算剩余报价算术平均值；当供应商小于等于5家时，取所有有效响应报价的平均值）；偏差率=100%×（响应报价-评审基准价）/评审基准价；有效响应报价与评审基准价相比每高1%扣0.1分，每低1%扣0.05分，增减不足1%时，按插值法计算，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详见附件：供应商应提供的资格证明文件--.docx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详见附件：类似业绩一览表.docx</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详见附件：项目团队组织机构.docx</w:t>
      </w:r>
    </w:p>
    <w:p>
      <w:pPr>
        <w:pStyle w:val="null3"/>
        <w:ind w:firstLine="960"/>
      </w:pPr>
      <w:r>
        <w:rPr>
          <w:rFonts w:ascii="仿宋_GB2312" w:hAnsi="仿宋_GB2312" w:cs="仿宋_GB2312" w:eastAsia="仿宋_GB2312"/>
        </w:rPr>
        <w:t>详见附件：供应商认为有必要补充说明的事项.docx</w:t>
      </w:r>
    </w:p>
    <w:p>
      <w:pPr>
        <w:pStyle w:val="null3"/>
        <w:ind w:firstLine="960"/>
      </w:pPr>
      <w:r>
        <w:rPr>
          <w:rFonts w:ascii="仿宋_GB2312" w:hAnsi="仿宋_GB2312" w:cs="仿宋_GB2312" w:eastAsia="仿宋_GB2312"/>
        </w:rPr>
        <w:t>详见附件：主要人员简历表.docx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