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052CF0">
      <w:pPr>
        <w:spacing w:line="400" w:lineRule="exact"/>
        <w:jc w:val="center"/>
        <w:outlineLvl w:val="0"/>
        <w:rPr>
          <w:rFonts w:hint="eastAsia" w:ascii="宋体" w:hAnsi="宋体" w:eastAsia="宋体" w:cs="宋体"/>
          <w:color w:val="auto"/>
          <w:sz w:val="32"/>
          <w:szCs w:val="32"/>
          <w:highlight w:val="none"/>
          <w:lang w:eastAsia="zh-CN"/>
        </w:rPr>
      </w:pPr>
      <w:bookmarkStart w:id="14" w:name="_GoBack"/>
      <w:bookmarkEnd w:id="14"/>
      <w:bookmarkStart w:id="0" w:name="_Toc1691"/>
      <w:bookmarkStart w:id="1" w:name="_Toc9876"/>
      <w:bookmarkStart w:id="2" w:name="_Toc25438"/>
      <w:bookmarkStart w:id="3" w:name="_Toc20890"/>
      <w:bookmarkStart w:id="4" w:name="_Toc25142"/>
      <w:bookmarkStart w:id="5" w:name="_Toc19087"/>
      <w:bookmarkStart w:id="6" w:name="_Toc5874"/>
      <w:bookmarkStart w:id="7" w:name="_Toc18353"/>
      <w:bookmarkStart w:id="8" w:name="_Toc31928"/>
      <w:bookmarkStart w:id="9" w:name="_Toc29857"/>
      <w:bookmarkStart w:id="10" w:name="_Toc30247"/>
      <w:bookmarkStart w:id="11" w:name="_Toc407177518"/>
      <w:bookmarkStart w:id="12" w:name="_Toc294110487"/>
      <w:bookmarkStart w:id="13" w:name="_Toc511315385"/>
      <w:r>
        <w:rPr>
          <w:rFonts w:hint="eastAsia" w:ascii="宋体" w:hAnsi="宋体" w:eastAsia="宋体" w:cs="宋体"/>
          <w:b/>
          <w:bCs/>
          <w:color w:val="auto"/>
          <w:sz w:val="32"/>
          <w:szCs w:val="32"/>
          <w:highlight w:val="none"/>
        </w:rPr>
        <w:t>第四章</w:t>
      </w:r>
      <w:r>
        <w:rPr>
          <w:rFonts w:hint="eastAsia" w:ascii="宋体" w:hAnsi="宋体" w:eastAsia="宋体" w:cs="宋体"/>
          <w:b/>
          <w:bCs/>
          <w:color w:val="auto"/>
          <w:sz w:val="32"/>
          <w:szCs w:val="32"/>
          <w:highlight w:val="none"/>
          <w:lang w:val="en-US" w:eastAsia="zh-CN"/>
        </w:rPr>
        <w:t xml:space="preserve">  </w:t>
      </w:r>
      <w:r>
        <w:rPr>
          <w:rFonts w:hint="eastAsia" w:ascii="宋体" w:hAnsi="宋体" w:eastAsia="宋体" w:cs="宋体"/>
          <w:b/>
          <w:bCs/>
          <w:color w:val="auto"/>
          <w:sz w:val="32"/>
          <w:szCs w:val="32"/>
          <w:highlight w:val="none"/>
        </w:rPr>
        <w:t>合同条款及格式</w:t>
      </w:r>
      <w:bookmarkEnd w:id="0"/>
      <w:bookmarkEnd w:id="1"/>
      <w:bookmarkEnd w:id="2"/>
      <w:bookmarkEnd w:id="3"/>
      <w:bookmarkEnd w:id="4"/>
      <w:bookmarkEnd w:id="5"/>
      <w:bookmarkEnd w:id="6"/>
      <w:bookmarkEnd w:id="7"/>
      <w:bookmarkEnd w:id="8"/>
      <w:bookmarkEnd w:id="9"/>
      <w:bookmarkEnd w:id="10"/>
      <w:r>
        <w:rPr>
          <w:rFonts w:hint="eastAsia" w:ascii="宋体" w:hAnsi="宋体" w:cs="宋体"/>
          <w:b/>
          <w:bCs/>
          <w:color w:val="auto"/>
          <w:sz w:val="32"/>
          <w:szCs w:val="32"/>
          <w:highlight w:val="none"/>
          <w:lang w:eastAsia="zh-CN"/>
        </w:rPr>
        <w:t>（</w:t>
      </w:r>
      <w:r>
        <w:rPr>
          <w:rFonts w:hint="eastAsia" w:ascii="宋体" w:hAnsi="宋体" w:cs="宋体"/>
          <w:b/>
          <w:bCs/>
          <w:color w:val="auto"/>
          <w:sz w:val="32"/>
          <w:szCs w:val="32"/>
          <w:highlight w:val="none"/>
          <w:lang w:val="en-US" w:eastAsia="zh-CN"/>
        </w:rPr>
        <w:t>以最终签订的版本为准</w:t>
      </w:r>
      <w:r>
        <w:rPr>
          <w:rFonts w:hint="eastAsia" w:ascii="宋体" w:hAnsi="宋体" w:cs="宋体"/>
          <w:b/>
          <w:bCs/>
          <w:color w:val="auto"/>
          <w:sz w:val="32"/>
          <w:szCs w:val="32"/>
          <w:highlight w:val="none"/>
          <w:lang w:eastAsia="zh-CN"/>
        </w:rPr>
        <w:t>）</w:t>
      </w:r>
    </w:p>
    <w:bookmarkEnd w:id="11"/>
    <w:bookmarkEnd w:id="12"/>
    <w:bookmarkEnd w:id="13"/>
    <w:p w14:paraId="3BCEB122">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发包方（简称甲方）：</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rPr>
        <w:t xml:space="preserve">                          </w:t>
      </w:r>
    </w:p>
    <w:p w14:paraId="256B1D9F">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承包方（简称乙方）：</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rPr>
        <w:t xml:space="preserve">                          </w:t>
      </w:r>
    </w:p>
    <w:p w14:paraId="3AA3FD70">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甲乙双方就</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 xml:space="preserve">                           （项目名称） </w:t>
      </w:r>
      <w:r>
        <w:rPr>
          <w:rFonts w:hint="eastAsia" w:ascii="宋体" w:hAnsi="宋体" w:eastAsia="宋体" w:cs="宋体"/>
          <w:color w:val="auto"/>
          <w:sz w:val="21"/>
          <w:szCs w:val="21"/>
        </w:rPr>
        <w:t xml:space="preserve"> 事宜，依照《中华人民共和国民法典》、《中华人民共和国建筑法》及相关法律、法规之规定，在自愿、平等、公平、诚实信用的基础上，经协商一致达成以下条款，共同遵守履行：</w:t>
      </w:r>
    </w:p>
    <w:p w14:paraId="1EA24AF7">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第一条 工程项目概况</w:t>
      </w:r>
    </w:p>
    <w:p w14:paraId="467D165A">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1.工程项目名称:</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rPr>
        <w:t xml:space="preserve">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 xml:space="preserve"> </w:t>
      </w:r>
    </w:p>
    <w:p w14:paraId="67C045B8">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2.工程项目地址:</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rPr>
        <w:t xml:space="preserve">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 xml:space="preserve"> </w:t>
      </w:r>
    </w:p>
    <w:p w14:paraId="5B9E1084">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3.电梯规格型号及价格</w:t>
      </w:r>
    </w:p>
    <w:tbl>
      <w:tblPr>
        <w:tblStyle w:val="6"/>
        <w:tblW w:w="9834"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24"/>
        <w:gridCol w:w="1159"/>
        <w:gridCol w:w="1288"/>
        <w:gridCol w:w="1346"/>
        <w:gridCol w:w="1361"/>
        <w:gridCol w:w="1333"/>
        <w:gridCol w:w="1120"/>
        <w:gridCol w:w="1603"/>
      </w:tblGrid>
      <w:tr w14:paraId="4C17E6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40" w:hRule="atLeast"/>
        </w:trPr>
        <w:tc>
          <w:tcPr>
            <w:tcW w:w="624" w:type="dxa"/>
            <w:noWrap w:val="0"/>
            <w:textDirection w:val="tbRlV"/>
            <w:vAlign w:val="top"/>
          </w:tcPr>
          <w:p w14:paraId="516EC4B0">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序  号</w:t>
            </w:r>
          </w:p>
        </w:tc>
        <w:tc>
          <w:tcPr>
            <w:tcW w:w="1159" w:type="dxa"/>
            <w:noWrap w:val="0"/>
            <w:vAlign w:val="top"/>
          </w:tcPr>
          <w:p w14:paraId="00CE5372">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p>
          <w:p w14:paraId="03619AB3">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p>
          <w:p w14:paraId="65DEA33F">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楼号</w:t>
            </w:r>
          </w:p>
        </w:tc>
        <w:tc>
          <w:tcPr>
            <w:tcW w:w="1288" w:type="dxa"/>
            <w:noWrap w:val="0"/>
            <w:vAlign w:val="top"/>
          </w:tcPr>
          <w:p w14:paraId="14E02C6F">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p>
          <w:p w14:paraId="10821993">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p>
          <w:p w14:paraId="21B036D4">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单元号</w:t>
            </w:r>
          </w:p>
        </w:tc>
        <w:tc>
          <w:tcPr>
            <w:tcW w:w="1346" w:type="dxa"/>
            <w:noWrap w:val="0"/>
            <w:vAlign w:val="top"/>
          </w:tcPr>
          <w:p w14:paraId="33B8A41A">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p>
          <w:p w14:paraId="6AB3E5A5">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p>
          <w:p w14:paraId="5B9534DB">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产地品牌</w:t>
            </w:r>
          </w:p>
        </w:tc>
        <w:tc>
          <w:tcPr>
            <w:tcW w:w="1361" w:type="dxa"/>
            <w:tcBorders>
              <w:right w:val="single" w:color="000000" w:sz="6" w:space="0"/>
            </w:tcBorders>
            <w:noWrap w:val="0"/>
            <w:vAlign w:val="top"/>
          </w:tcPr>
          <w:p w14:paraId="0B921B81">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p>
          <w:p w14:paraId="5AA07169">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p>
          <w:p w14:paraId="63F80F73">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规格型号</w:t>
            </w:r>
          </w:p>
        </w:tc>
        <w:tc>
          <w:tcPr>
            <w:tcW w:w="1333" w:type="dxa"/>
            <w:tcBorders>
              <w:left w:val="single" w:color="000000" w:sz="6" w:space="0"/>
            </w:tcBorders>
            <w:noWrap w:val="0"/>
            <w:vAlign w:val="top"/>
          </w:tcPr>
          <w:p w14:paraId="015A5F13">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p>
          <w:p w14:paraId="407C2E90">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p>
          <w:p w14:paraId="3F14949D">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单位</w:t>
            </w:r>
          </w:p>
        </w:tc>
        <w:tc>
          <w:tcPr>
            <w:tcW w:w="1120" w:type="dxa"/>
            <w:noWrap w:val="0"/>
            <w:vAlign w:val="top"/>
          </w:tcPr>
          <w:p w14:paraId="1F5CE6EE">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p>
          <w:p w14:paraId="1D7A3F8E">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p>
          <w:p w14:paraId="72BB0E35">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数量</w:t>
            </w:r>
          </w:p>
        </w:tc>
        <w:tc>
          <w:tcPr>
            <w:tcW w:w="1603" w:type="dxa"/>
            <w:noWrap w:val="0"/>
            <w:vAlign w:val="top"/>
          </w:tcPr>
          <w:p w14:paraId="411405CB">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p>
          <w:p w14:paraId="44AF4439">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p>
          <w:p w14:paraId="4B17C9E0">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综合价格</w:t>
            </w:r>
          </w:p>
        </w:tc>
      </w:tr>
      <w:tr w14:paraId="416723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624" w:type="dxa"/>
            <w:noWrap w:val="0"/>
            <w:vAlign w:val="top"/>
          </w:tcPr>
          <w:p w14:paraId="5B79CDCC">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1159" w:type="dxa"/>
            <w:noWrap w:val="0"/>
            <w:vAlign w:val="top"/>
          </w:tcPr>
          <w:p w14:paraId="67AE92B9">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p>
        </w:tc>
        <w:tc>
          <w:tcPr>
            <w:tcW w:w="1288" w:type="dxa"/>
            <w:noWrap w:val="0"/>
            <w:vAlign w:val="top"/>
          </w:tcPr>
          <w:p w14:paraId="5440B47C">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p>
        </w:tc>
        <w:tc>
          <w:tcPr>
            <w:tcW w:w="1346" w:type="dxa"/>
            <w:noWrap w:val="0"/>
            <w:vAlign w:val="top"/>
          </w:tcPr>
          <w:p w14:paraId="698C9D1E">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p>
        </w:tc>
        <w:tc>
          <w:tcPr>
            <w:tcW w:w="1361" w:type="dxa"/>
            <w:tcBorders>
              <w:right w:val="single" w:color="000000" w:sz="6" w:space="0"/>
            </w:tcBorders>
            <w:noWrap w:val="0"/>
            <w:vAlign w:val="top"/>
          </w:tcPr>
          <w:p w14:paraId="1AF63592">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p>
        </w:tc>
        <w:tc>
          <w:tcPr>
            <w:tcW w:w="1333" w:type="dxa"/>
            <w:tcBorders>
              <w:left w:val="single" w:color="000000" w:sz="6" w:space="0"/>
            </w:tcBorders>
            <w:noWrap w:val="0"/>
            <w:vAlign w:val="top"/>
          </w:tcPr>
          <w:p w14:paraId="2EFEA2E1">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p>
        </w:tc>
        <w:tc>
          <w:tcPr>
            <w:tcW w:w="1120" w:type="dxa"/>
            <w:noWrap w:val="0"/>
            <w:vAlign w:val="top"/>
          </w:tcPr>
          <w:p w14:paraId="1AA53B51">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p>
        </w:tc>
        <w:tc>
          <w:tcPr>
            <w:tcW w:w="1603" w:type="dxa"/>
            <w:noWrap w:val="0"/>
            <w:vAlign w:val="top"/>
          </w:tcPr>
          <w:p w14:paraId="7B42F5AF">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p>
        </w:tc>
      </w:tr>
      <w:tr w14:paraId="2F6E11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atLeast"/>
        </w:trPr>
        <w:tc>
          <w:tcPr>
            <w:tcW w:w="624" w:type="dxa"/>
            <w:noWrap w:val="0"/>
            <w:vAlign w:val="top"/>
          </w:tcPr>
          <w:p w14:paraId="37580FB1">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2</w:t>
            </w:r>
          </w:p>
        </w:tc>
        <w:tc>
          <w:tcPr>
            <w:tcW w:w="1159" w:type="dxa"/>
            <w:noWrap w:val="0"/>
            <w:vAlign w:val="top"/>
          </w:tcPr>
          <w:p w14:paraId="33014BE5">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p>
        </w:tc>
        <w:tc>
          <w:tcPr>
            <w:tcW w:w="1288" w:type="dxa"/>
            <w:noWrap w:val="0"/>
            <w:vAlign w:val="top"/>
          </w:tcPr>
          <w:p w14:paraId="6E0446AC">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p>
        </w:tc>
        <w:tc>
          <w:tcPr>
            <w:tcW w:w="1346" w:type="dxa"/>
            <w:noWrap w:val="0"/>
            <w:vAlign w:val="top"/>
          </w:tcPr>
          <w:p w14:paraId="2E042D6F">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p>
        </w:tc>
        <w:tc>
          <w:tcPr>
            <w:tcW w:w="1361" w:type="dxa"/>
            <w:tcBorders>
              <w:right w:val="single" w:color="000000" w:sz="6" w:space="0"/>
            </w:tcBorders>
            <w:noWrap w:val="0"/>
            <w:vAlign w:val="top"/>
          </w:tcPr>
          <w:p w14:paraId="676E485D">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p>
        </w:tc>
        <w:tc>
          <w:tcPr>
            <w:tcW w:w="1333" w:type="dxa"/>
            <w:tcBorders>
              <w:left w:val="single" w:color="000000" w:sz="6" w:space="0"/>
            </w:tcBorders>
            <w:noWrap w:val="0"/>
            <w:vAlign w:val="top"/>
          </w:tcPr>
          <w:p w14:paraId="7F7B03EF">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p>
        </w:tc>
        <w:tc>
          <w:tcPr>
            <w:tcW w:w="1120" w:type="dxa"/>
            <w:noWrap w:val="0"/>
            <w:vAlign w:val="top"/>
          </w:tcPr>
          <w:p w14:paraId="5D040B98">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p>
        </w:tc>
        <w:tc>
          <w:tcPr>
            <w:tcW w:w="1603" w:type="dxa"/>
            <w:noWrap w:val="0"/>
            <w:vAlign w:val="top"/>
          </w:tcPr>
          <w:p w14:paraId="3D635D89">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p>
        </w:tc>
      </w:tr>
      <w:tr w14:paraId="00FE7F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 w:hRule="atLeast"/>
        </w:trPr>
        <w:tc>
          <w:tcPr>
            <w:tcW w:w="624" w:type="dxa"/>
            <w:noWrap w:val="0"/>
            <w:vAlign w:val="top"/>
          </w:tcPr>
          <w:p w14:paraId="76140489">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p>
          <w:p w14:paraId="6DB50CA2">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w:t>
            </w:r>
          </w:p>
        </w:tc>
        <w:tc>
          <w:tcPr>
            <w:tcW w:w="1159" w:type="dxa"/>
            <w:noWrap w:val="0"/>
            <w:vAlign w:val="top"/>
          </w:tcPr>
          <w:p w14:paraId="433E3898">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p>
        </w:tc>
        <w:tc>
          <w:tcPr>
            <w:tcW w:w="1288" w:type="dxa"/>
            <w:noWrap w:val="0"/>
            <w:vAlign w:val="top"/>
          </w:tcPr>
          <w:p w14:paraId="5069E34D">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p>
        </w:tc>
        <w:tc>
          <w:tcPr>
            <w:tcW w:w="1346" w:type="dxa"/>
            <w:noWrap w:val="0"/>
            <w:vAlign w:val="top"/>
          </w:tcPr>
          <w:p w14:paraId="3D811F79">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p>
        </w:tc>
        <w:tc>
          <w:tcPr>
            <w:tcW w:w="1361" w:type="dxa"/>
            <w:tcBorders>
              <w:right w:val="single" w:color="000000" w:sz="6" w:space="0"/>
            </w:tcBorders>
            <w:noWrap w:val="0"/>
            <w:vAlign w:val="top"/>
          </w:tcPr>
          <w:p w14:paraId="42D16DC9">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p>
        </w:tc>
        <w:tc>
          <w:tcPr>
            <w:tcW w:w="1333" w:type="dxa"/>
            <w:tcBorders>
              <w:left w:val="single" w:color="000000" w:sz="6" w:space="0"/>
            </w:tcBorders>
            <w:noWrap w:val="0"/>
            <w:vAlign w:val="top"/>
          </w:tcPr>
          <w:p w14:paraId="1E9CF9C6">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p>
        </w:tc>
        <w:tc>
          <w:tcPr>
            <w:tcW w:w="1120" w:type="dxa"/>
            <w:noWrap w:val="0"/>
            <w:vAlign w:val="top"/>
          </w:tcPr>
          <w:p w14:paraId="1FFA03B3">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p>
        </w:tc>
        <w:tc>
          <w:tcPr>
            <w:tcW w:w="1603" w:type="dxa"/>
            <w:noWrap w:val="0"/>
            <w:vAlign w:val="top"/>
          </w:tcPr>
          <w:p w14:paraId="69E0D31F">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p>
        </w:tc>
      </w:tr>
      <w:tr w14:paraId="0D4510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2" w:hRule="atLeast"/>
        </w:trPr>
        <w:tc>
          <w:tcPr>
            <w:tcW w:w="9834" w:type="dxa"/>
            <w:gridSpan w:val="8"/>
            <w:noWrap w:val="0"/>
            <w:vAlign w:val="top"/>
          </w:tcPr>
          <w:p w14:paraId="152E5C60">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 :</w:t>
            </w:r>
          </w:p>
        </w:tc>
      </w:tr>
    </w:tbl>
    <w:p w14:paraId="14A9F843">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第二条  工期</w:t>
      </w:r>
    </w:p>
    <w:p w14:paraId="26C44EFE">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1.工期：招标人发出通知后</w:t>
      </w:r>
      <w:r>
        <w:rPr>
          <w:rFonts w:hint="eastAsia" w:ascii="宋体" w:hAnsi="宋体" w:cs="宋体"/>
          <w:color w:val="auto"/>
          <w:sz w:val="21"/>
          <w:szCs w:val="21"/>
          <w:u w:val="single"/>
          <w:lang w:val="en-US" w:eastAsia="zh-CN"/>
        </w:rPr>
        <w:t xml:space="preserve">   </w:t>
      </w:r>
      <w:r>
        <w:rPr>
          <w:rFonts w:hint="eastAsia" w:ascii="宋体" w:hAnsi="宋体" w:eastAsia="宋体" w:cs="宋体"/>
          <w:color w:val="auto"/>
          <w:sz w:val="21"/>
          <w:szCs w:val="21"/>
        </w:rPr>
        <w:t>日历天内完成发货到货、安装调试、验收工作。</w:t>
      </w:r>
    </w:p>
    <w:p w14:paraId="23AF98B7">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2.计划开竣工日期:开工日期以甲方通知为准。</w:t>
      </w:r>
    </w:p>
    <w:p w14:paraId="746204C3">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第三条  工程质量标准及基本要求</w:t>
      </w:r>
    </w:p>
    <w:p w14:paraId="4231EC23">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1.技术标准</w:t>
      </w:r>
    </w:p>
    <w:p w14:paraId="737C8573">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中华人民共和国国家标准：电梯制造和安装安全规范( GB7588)</w:t>
      </w:r>
    </w:p>
    <w:p w14:paraId="6703665E">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中华人民共和国国家标准：电梯监督检验和定期检验规则( TSG T7001-2023)</w:t>
      </w:r>
    </w:p>
    <w:p w14:paraId="33EB0095">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其他现行的有关电梯规范和相关政策</w:t>
      </w:r>
    </w:p>
    <w:p w14:paraId="23B5FCA0">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2.工程质量标准：</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w:t>
      </w:r>
    </w:p>
    <w:p w14:paraId="6C7C4E12">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第四条 合同价款</w:t>
      </w:r>
      <w:r>
        <w:rPr>
          <w:rFonts w:hint="eastAsia" w:ascii="宋体" w:hAnsi="宋体" w:cs="宋体"/>
          <w:color w:val="auto"/>
          <w:sz w:val="21"/>
          <w:szCs w:val="21"/>
          <w:lang w:val="en-US" w:eastAsia="zh-CN"/>
        </w:rPr>
        <w:t>及付款</w:t>
      </w:r>
    </w:p>
    <w:p w14:paraId="2B487D2C">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1.合同价款：</w:t>
      </w:r>
      <w:r>
        <w:rPr>
          <w:rFonts w:hint="eastAsia" w:ascii="宋体" w:hAnsi="宋体" w:eastAsia="宋体" w:cs="宋体"/>
          <w:color w:val="auto"/>
          <w:sz w:val="21"/>
          <w:szCs w:val="21"/>
          <w:u w:val="single"/>
        </w:rPr>
        <w:t>大写：           (¥      元）</w:t>
      </w:r>
      <w:r>
        <w:rPr>
          <w:rFonts w:hint="eastAsia" w:ascii="宋体" w:hAnsi="宋体" w:eastAsia="宋体" w:cs="宋体"/>
          <w:color w:val="auto"/>
          <w:sz w:val="21"/>
          <w:szCs w:val="21"/>
        </w:rPr>
        <w:t>，最终价款根据乙方实际工程量增减，竣工验收合格后，以第三方审价机构审定的工程结算金额为准。</w:t>
      </w:r>
    </w:p>
    <w:p w14:paraId="4963C202">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2.本合同设备价及安装价一次包死，包括（但不限于）设备制造费、安装费、土建整改费、五方通话和轿厢监控设备及线路修复费、旧梯拆除费</w:t>
      </w:r>
      <w:r>
        <w:rPr>
          <w:rFonts w:hint="eastAsia" w:ascii="宋体" w:hAnsi="宋体" w:cs="宋体"/>
          <w:color w:val="auto"/>
          <w:sz w:val="21"/>
          <w:szCs w:val="21"/>
          <w:lang w:val="en-US" w:eastAsia="zh-CN"/>
        </w:rPr>
        <w:t>及回收、</w:t>
      </w:r>
      <w:r>
        <w:rPr>
          <w:rFonts w:hint="eastAsia" w:ascii="宋体" w:hAnsi="宋体" w:eastAsia="宋体" w:cs="宋体"/>
          <w:color w:val="auto"/>
          <w:sz w:val="21"/>
          <w:szCs w:val="21"/>
        </w:rPr>
        <w:t>运杂费、装卸费、税金、管理费、保险费、专用工具、技术资料及政府管理部门收取的检验费用等与本次采购设备有关的所有费用，不受国家政策性调价和原材料价格调整影响。若买方变更采购数量，如实际供应量与本合同所列数量不一致，以双方核准并书面确认的供货数量为准。</w:t>
      </w:r>
    </w:p>
    <w:p w14:paraId="60928DFE">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cs="宋体"/>
          <w:color w:val="auto"/>
          <w:sz w:val="21"/>
          <w:szCs w:val="21"/>
          <w:lang w:val="en-US" w:eastAsia="zh-CN"/>
        </w:rPr>
        <w:t>3.</w:t>
      </w:r>
      <w:r>
        <w:rPr>
          <w:rFonts w:hint="eastAsia" w:ascii="宋体" w:hAnsi="宋体" w:eastAsia="宋体" w:cs="宋体"/>
          <w:color w:val="auto"/>
          <w:sz w:val="21"/>
          <w:szCs w:val="21"/>
        </w:rPr>
        <w:t>付款方式：1</w:t>
      </w:r>
      <w:r>
        <w:rPr>
          <w:rFonts w:hint="eastAsia" w:ascii="宋体" w:hAnsi="宋体" w:cs="宋体"/>
          <w:color w:val="auto"/>
          <w:sz w:val="21"/>
          <w:szCs w:val="21"/>
          <w:lang w:eastAsia="zh-CN"/>
        </w:rPr>
        <w:t>）</w:t>
      </w:r>
      <w:r>
        <w:rPr>
          <w:rFonts w:hint="eastAsia" w:ascii="宋体" w:hAnsi="宋体" w:eastAsia="宋体" w:cs="宋体"/>
          <w:color w:val="auto"/>
          <w:sz w:val="21"/>
          <w:szCs w:val="21"/>
        </w:rPr>
        <w:t>预付款，合同签订后，达到付款条件起10个工作日内，支付合同总金额的30.0%</w:t>
      </w:r>
    </w:p>
    <w:p w14:paraId="7061AFBD">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2</w:t>
      </w:r>
      <w:r>
        <w:rPr>
          <w:rFonts w:hint="eastAsia" w:ascii="宋体" w:hAnsi="宋体" w:cs="宋体"/>
          <w:color w:val="auto"/>
          <w:sz w:val="21"/>
          <w:szCs w:val="21"/>
          <w:lang w:eastAsia="zh-CN"/>
        </w:rPr>
        <w:t>）</w:t>
      </w:r>
      <w:r>
        <w:rPr>
          <w:rFonts w:hint="eastAsia" w:ascii="宋体" w:hAnsi="宋体" w:eastAsia="宋体" w:cs="宋体"/>
          <w:color w:val="auto"/>
          <w:sz w:val="21"/>
          <w:szCs w:val="21"/>
        </w:rPr>
        <w:t>进度款，电梯全套设备到达施工现场，采购人现场验收，签署到货验收资料后，达到付款条件起10个工作日内，支付合同总金额的30.0%</w:t>
      </w:r>
    </w:p>
    <w:p w14:paraId="1E4B822E">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3</w:t>
      </w:r>
      <w:r>
        <w:rPr>
          <w:rFonts w:hint="eastAsia" w:ascii="宋体" w:hAnsi="宋体" w:cs="宋体"/>
          <w:color w:val="auto"/>
          <w:sz w:val="21"/>
          <w:szCs w:val="21"/>
          <w:lang w:eastAsia="zh-CN"/>
        </w:rPr>
        <w:t>）</w:t>
      </w:r>
      <w:r>
        <w:rPr>
          <w:rFonts w:hint="eastAsia" w:ascii="宋体" w:hAnsi="宋体" w:eastAsia="宋体" w:cs="宋体"/>
          <w:color w:val="auto"/>
          <w:sz w:val="21"/>
          <w:szCs w:val="21"/>
        </w:rPr>
        <w:t>进度款，电梯安装调试完成，经竣工验收合格，并办理电梯特种设备注册登记证后，达到付款条件起10个工作日内，支付合同总金额的37.0%</w:t>
      </w:r>
    </w:p>
    <w:p w14:paraId="7FA1E8DB">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4</w:t>
      </w:r>
      <w:r>
        <w:rPr>
          <w:rFonts w:hint="eastAsia" w:ascii="宋体" w:hAnsi="宋体" w:cs="宋体"/>
          <w:color w:val="auto"/>
          <w:sz w:val="21"/>
          <w:szCs w:val="21"/>
          <w:lang w:eastAsia="zh-CN"/>
        </w:rPr>
        <w:t>）</w:t>
      </w:r>
      <w:r>
        <w:rPr>
          <w:rFonts w:hint="eastAsia" w:ascii="宋体" w:hAnsi="宋体" w:eastAsia="宋体" w:cs="宋体"/>
          <w:color w:val="auto"/>
          <w:sz w:val="21"/>
          <w:szCs w:val="21"/>
        </w:rPr>
        <w:t>进度款，剩余3%作为质保金（质保期5年），在质保期满后由采购人一次性付清，达到付款条件起10个工作日内，支付合同总金额的3.0%</w:t>
      </w:r>
    </w:p>
    <w:p w14:paraId="5E5B216C">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第五条 交货地点</w:t>
      </w:r>
    </w:p>
    <w:p w14:paraId="12C23B42">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1.</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rPr>
        <w:t>；</w:t>
      </w:r>
    </w:p>
    <w:p w14:paraId="208E191C">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default" w:ascii="宋体" w:hAnsi="宋体" w:eastAsia="宋体" w:cs="宋体"/>
          <w:color w:val="auto"/>
          <w:sz w:val="21"/>
          <w:szCs w:val="21"/>
          <w:u w:val="single"/>
          <w:lang w:val="en-US" w:eastAsia="zh-CN"/>
        </w:rPr>
      </w:pPr>
      <w:r>
        <w:rPr>
          <w:rFonts w:hint="eastAsia" w:ascii="宋体" w:hAnsi="宋体" w:eastAsia="宋体" w:cs="宋体"/>
          <w:color w:val="auto"/>
          <w:sz w:val="21"/>
          <w:szCs w:val="21"/>
        </w:rPr>
        <w:t>甲方联系人：</w:t>
      </w:r>
      <w:r>
        <w:rPr>
          <w:rFonts w:hint="eastAsia" w:ascii="宋体" w:hAnsi="宋体" w:eastAsia="宋体" w:cs="宋体"/>
          <w:color w:val="auto"/>
          <w:sz w:val="21"/>
          <w:szCs w:val="21"/>
          <w:u w:val="single"/>
          <w:lang w:val="en-US" w:eastAsia="zh-CN"/>
        </w:rPr>
        <w:t xml:space="preserve">                   </w:t>
      </w:r>
    </w:p>
    <w:p w14:paraId="1904AE58">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2.本合同订购之电梯到货，乙方负责按合同约定将设备运输至交货地点并与甲方按照本合同约定办理完成验收手续后，方可视为完成到货。甲方仅提供满足货物存放需要的场地及库房，不负保管责任。</w:t>
      </w:r>
    </w:p>
    <w:p w14:paraId="4366F2F4">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3.货抵安装现场后，验收由三方（甲方、监督方、乙方）共同开箱，根据到货清单（合同）核对产地、数量、检查设备的包装、外观质量等，检验无误后共同签署验收单后，乙方可按照甲方规定的时间、地点进行安装。乙方负责进场开工后的保管工作直至交付使用。</w:t>
      </w:r>
    </w:p>
    <w:p w14:paraId="42D621F7">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第六条 安装</w:t>
      </w:r>
    </w:p>
    <w:p w14:paraId="15CC9EC3">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1.乙方应在收到通知后</w:t>
      </w:r>
      <w:r>
        <w:rPr>
          <w:rFonts w:hint="eastAsia" w:ascii="宋体" w:hAnsi="宋体" w:cs="宋体"/>
          <w:color w:val="auto"/>
          <w:sz w:val="21"/>
          <w:szCs w:val="21"/>
          <w:u w:val="single"/>
          <w:lang w:val="en-US" w:eastAsia="zh-CN"/>
        </w:rPr>
        <w:t xml:space="preserve">   </w:t>
      </w:r>
      <w:r>
        <w:rPr>
          <w:rFonts w:hint="eastAsia" w:ascii="宋体" w:hAnsi="宋体" w:eastAsia="宋体" w:cs="宋体"/>
          <w:color w:val="auto"/>
          <w:sz w:val="21"/>
          <w:szCs w:val="21"/>
        </w:rPr>
        <w:t>日历天内完成发货到货、安装调试、验收工作，取得相关主管部门验收及“安全检验合格 ”标志。若甲方要求延期安装，乙方不得提出增加任何费用。</w:t>
      </w:r>
    </w:p>
    <w:p w14:paraId="09F7289C">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2.乙方进场安装前用书面形式（开工通知单）通知甲方具体开工日期和安装班组负责人名单，甲方联系人签收回复乙方，甲方签收确认的日期为正式开工日期。</w:t>
      </w:r>
    </w:p>
    <w:p w14:paraId="2235C372">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3.乙方应于安装队伍进场前5天，将电梯厂家现场负责人、安装队伍及安装技术负责人 、安装人员的资质证书及相关资料提交甲方进行审核。</w:t>
      </w:r>
    </w:p>
    <w:p w14:paraId="60CDECAC">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第五条 双方权利与义务</w:t>
      </w:r>
    </w:p>
    <w:p w14:paraId="4582079E">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1.甲方权利与义务</w:t>
      </w:r>
    </w:p>
    <w:p w14:paraId="4D049C46">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（1）甲方在满足支付条件时向乙方支付款项，配合乙方处理施工中各种矛盾以及组织协调工作，乙方协助甲方办理旧梯注销手续。</w:t>
      </w:r>
    </w:p>
    <w:p w14:paraId="1EED874F">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（2）甲方发出生产发货指令单后，不得以任何理由终止解除合同，否则由此给乙方造成的损失由甲方承担。</w:t>
      </w:r>
    </w:p>
    <w:p w14:paraId="27ACB3BF">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（3）保证小区内交通顺畅，方便电梯进场；</w:t>
      </w:r>
    </w:p>
    <w:p w14:paraId="02531C72">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（4）向乙方提供建筑垃圾暂时堆放场地。</w:t>
      </w:r>
    </w:p>
    <w:p w14:paraId="7B9E702E">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（5）协调安装工程施工搬运通道，以方便乙方的安装工作。</w:t>
      </w:r>
    </w:p>
    <w:p w14:paraId="02F1E3EB">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（6）在乙方调试检验合格后及时与乙方办理电梯竣工验收。</w:t>
      </w:r>
    </w:p>
    <w:p w14:paraId="02A2557B">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（7）双方验收合格及电梯交付后，甲方负责电梯的管理工作。</w:t>
      </w:r>
    </w:p>
    <w:p w14:paraId="2641ADEE">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2.乙方权利与义务</w:t>
      </w:r>
    </w:p>
    <w:p w14:paraId="3B17372C">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（1）乙方负责施工全过程协调内、外部关系，处理往来文件，对工程进度、质量、工程造价实施控制与管理，对项目做好安全和信息管理。</w:t>
      </w:r>
    </w:p>
    <w:p w14:paraId="3BCA402B">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（2）乙方收到甲方发出的生产发货指令单后，不得以任何理由终止解除合同，否则由此给甲方造成的损失由乙方承担。</w:t>
      </w:r>
    </w:p>
    <w:p w14:paraId="6EB7A4BE">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（3）在进场前，乙方保管好未安装的电梯。</w:t>
      </w:r>
    </w:p>
    <w:p w14:paraId="31F55473">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（4）负责井道、机房土建整改、过门石修复工作。</w:t>
      </w:r>
    </w:p>
    <w:p w14:paraId="74A97E56">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（5）负责电梯自运输、安装、调试检验合格及交付甲方前的保管工作。</w:t>
      </w:r>
    </w:p>
    <w:p w14:paraId="45494B43">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（6）负责组织专业电梯安装队伍进场施工，同时配备专业管理人员实施现场管理。</w:t>
      </w:r>
    </w:p>
    <w:p w14:paraId="080FB6DC">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（7）负责正常安装过程中所需电梯部件材料的搬运（垂直运输设备由乙方自备）。</w:t>
      </w:r>
    </w:p>
    <w:p w14:paraId="1246F924">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（8）自备安装所需工具、机械和劳保用品。</w:t>
      </w:r>
    </w:p>
    <w:p w14:paraId="716894A4">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（9）负责向当地政府主管部门办理安装进场前的安装告知手续及安装完工后的报检手续。</w:t>
      </w:r>
    </w:p>
    <w:p w14:paraId="3E90003E">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（10）负责电梯的安装、调试工作包括电梯井道的安装和调试工作（井道内照明由乙方负责）。</w:t>
      </w:r>
    </w:p>
    <w:p w14:paraId="42A0FA10">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（11）乙方安装工作人员在安装施工中应遵守甲方现场及安全文明生产规定。</w:t>
      </w:r>
    </w:p>
    <w:p w14:paraId="2B8FD8EC">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12）负责乙方安装工作人员的安全责任，教育安装工人做好井道安全防护工作，负责为乙方现场施工人员购买劳动保险和人身保险等，做到文明施工。此次电梯更新改造项目在运输、装卸及安装调试过程中以及因此次施工所发生的所有安全事故由乙方负责，由此给甲方及第三方造成的损失由乙方承担。</w:t>
      </w:r>
    </w:p>
    <w:p w14:paraId="60A43752">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（13）负责向当地政府主管部门办理申报验收，所需检测费用由乙方承担。</w:t>
      </w:r>
    </w:p>
    <w:p w14:paraId="68F95A0C">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（14）乙方要做到工完场清，及时清理现场垃圾，并运离现场。</w:t>
      </w:r>
    </w:p>
    <w:p w14:paraId="1A5E9FA0">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（15）因乙方原因在电梯安装过程中给甲方带来的损失以及对其他小区公共设施造成损害等，由乙方负责赔偿，并承担责任。</w:t>
      </w:r>
    </w:p>
    <w:p w14:paraId="6A182E3F">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（16）安装现场免费培训甲方的系统管理操作及简单维护人员不少于2人，使甲方人员达到能够独立进行管理，日常维护工作，以便电梯能够安全、正常运行。</w:t>
      </w:r>
    </w:p>
    <w:p w14:paraId="02E13631">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（17）乙方安装负责人应参加甲方组织的例会。</w:t>
      </w:r>
    </w:p>
    <w:p w14:paraId="1E8997D8">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（18）负责电梯安装验收合格后质保期内的售后服务及维保工作，应达到投标文件时的要求和乙方承诺的标准。</w:t>
      </w:r>
    </w:p>
    <w:p w14:paraId="32B4C443">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（19）移交随机资料。</w:t>
      </w:r>
    </w:p>
    <w:p w14:paraId="06187F86">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（20）遵守有关部门对施工场地交通和噪音管理规定。</w:t>
      </w:r>
    </w:p>
    <w:p w14:paraId="1EB31CA0">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（21）工程未交工前做好工程的成品保护和邻近建、构筑物的保护工作。</w:t>
      </w:r>
    </w:p>
    <w:p w14:paraId="074A3F57">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（22）保证施工现场清洁，交工前清理现场达到无建筑垃圾。</w:t>
      </w:r>
    </w:p>
    <w:p w14:paraId="130D6D1F">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（23）协助甲方完成住宅专项维修资金使用申请及批复手续。</w:t>
      </w:r>
    </w:p>
    <w:p w14:paraId="0585E41F">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（24）接受甲方监督以及对技术的要求，规范管理，严格执行国家有关施工验收规范。</w:t>
      </w:r>
    </w:p>
    <w:p w14:paraId="6505D5C4">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第六条  工程施工中其它问题</w:t>
      </w:r>
    </w:p>
    <w:p w14:paraId="4DD8446F">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1.暂停施工：因甲方原因需要停工或者甲方代表在确认有必要时，可要求暂停施工，由此造成的工期延误不视为乙方违约。乙方要求复工，甲方需在48小时内提出处理意见，若在约定时间未答复，乙方可自行复工，责任在甲方。</w:t>
      </w:r>
    </w:p>
    <w:p w14:paraId="3D4A98B9">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2.工期延误：因不可抗力原因、一周内非乙方原因停水、停电及其他原因造成停工累计超过 8小时，经甲方确认后工期可相应顺延。</w:t>
      </w:r>
    </w:p>
    <w:p w14:paraId="4750495C">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3.隐蔽工程验收：乙方自检合格后在隐蔽 24 小时前通知甲方代表参加，经甲方代表验收签字后，方可隐蔽和继续施工。</w:t>
      </w:r>
    </w:p>
    <w:p w14:paraId="440679F8">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4.材料供应：用于工程的材料、设备应符合设计和规范要求，并附有合格证，否则不能用于此工程。</w:t>
      </w:r>
    </w:p>
    <w:p w14:paraId="09B91A44">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第七条  违约</w:t>
      </w:r>
    </w:p>
    <w:p w14:paraId="496BF00F">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1.因乙方安装质量原因，无法通过验收的工程，乙方应在最短时间整改直至验收合格；如长时间（不超过15天）整改不合格而导致电梯不能正常交付甲方使用，则应按违约处理。</w:t>
      </w:r>
    </w:p>
    <w:p w14:paraId="34818D8F">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2.乙方逾期交货或者甲方逾期付款，应向对方支付违约金，迟延履行违约金以逾期部分价款总额每日万分之五计算。违约金最大不超过违约金额的20%。违约方支付违约金后 , 对方有权要求继续履行合同。</w:t>
      </w:r>
    </w:p>
    <w:p w14:paraId="0371B9A8">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第八条 竣工验收及质保期</w:t>
      </w:r>
    </w:p>
    <w:p w14:paraId="1A1191D3">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1.工程竣工后，按照</w:t>
      </w:r>
      <w:r>
        <w:rPr>
          <w:rFonts w:hint="eastAsia" w:ascii="宋体" w:hAnsi="宋体" w:cs="宋体"/>
          <w:color w:val="auto"/>
          <w:sz w:val="21"/>
          <w:szCs w:val="21"/>
          <w:lang w:val="en-US" w:eastAsia="zh-CN"/>
        </w:rPr>
        <w:t>国家</w:t>
      </w:r>
      <w:r>
        <w:rPr>
          <w:rFonts w:hint="eastAsia" w:ascii="宋体" w:hAnsi="宋体" w:eastAsia="宋体" w:cs="宋体"/>
          <w:color w:val="auto"/>
          <w:sz w:val="21"/>
          <w:szCs w:val="21"/>
        </w:rPr>
        <w:t>相关文件的规定验收。</w:t>
      </w:r>
    </w:p>
    <w:p w14:paraId="1864B427">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2.双方约定，甲方按照工程中标金额的3%预留质保金，质保期过后，经双方确认电梯运行正常，无质量问题后，甲方无息返还质保金。</w:t>
      </w:r>
    </w:p>
    <w:p w14:paraId="3B121EAE">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3.质保期：根据《建设工程质量保证金管理办法》， 本工程电梯核心部件质保期为</w:t>
      </w:r>
      <w:r>
        <w:rPr>
          <w:rFonts w:hint="eastAsia" w:ascii="宋体" w:hAnsi="宋体" w:cs="宋体"/>
          <w:color w:val="auto"/>
          <w:sz w:val="21"/>
          <w:szCs w:val="21"/>
          <w:lang w:val="en-US" w:eastAsia="zh-CN"/>
        </w:rPr>
        <w:t>5</w:t>
      </w:r>
      <w:r>
        <w:rPr>
          <w:rFonts w:hint="eastAsia" w:ascii="宋体" w:hAnsi="宋体" w:eastAsia="宋体" w:cs="宋体"/>
          <w:color w:val="auto"/>
          <w:sz w:val="21"/>
          <w:szCs w:val="21"/>
        </w:rPr>
        <w:t>年，免费维保期为</w:t>
      </w:r>
      <w:r>
        <w:rPr>
          <w:rFonts w:hint="eastAsia" w:ascii="宋体" w:hAnsi="宋体" w:cs="宋体"/>
          <w:color w:val="auto"/>
          <w:sz w:val="21"/>
          <w:szCs w:val="21"/>
          <w:lang w:val="en-US" w:eastAsia="zh-CN"/>
        </w:rPr>
        <w:t>2</w:t>
      </w:r>
      <w:r>
        <w:rPr>
          <w:rFonts w:hint="eastAsia" w:ascii="宋体" w:hAnsi="宋体" w:eastAsia="宋体" w:cs="宋体"/>
          <w:color w:val="auto"/>
          <w:sz w:val="21"/>
          <w:szCs w:val="21"/>
        </w:rPr>
        <w:t>年，自电梯通过特种设备验收合格之日起计算。质保期内,若设备核心部件发生的任何质量问题需要更换或返修，更换件或返修件的质保期自安装之日起重新计算。</w:t>
      </w:r>
    </w:p>
    <w:p w14:paraId="327DA7BE">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无论质保期内外，设备送修时，乙方必须同时提供相同部件供甲方使用，且临时代用部件应与送修部件版本相同。</w:t>
      </w:r>
    </w:p>
    <w:p w14:paraId="663531C0">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4.在电梯免费维保期内，由乙方或其委托单位进行维修保养，在接到电梯故障的通知后，乙方应在三日内进行维修，对除因人为损坏之外的原因引起的任何损坏部件负责免费维修、更换、直至电梯正常使用。经乙方免费维修、更换以后还是不能符合国家关于电梯安全规范要求的，乙方应当作出赔偿。</w:t>
      </w:r>
    </w:p>
    <w:p w14:paraId="3A7F85C7">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5.在质保期内，乙方在收到甲方通知的三日内未能提供维修服务的，甲方有权委托第三方进行维修，维修费用由乙方承担，否则，甲方有权从乙方的质保金中扣除。</w:t>
      </w:r>
    </w:p>
    <w:p w14:paraId="56A32B85">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6.公共维修资金及超长期特别国债由政府相关部门付至甲方账户，甲方收到除尾款以外的每笔资金后，在确认乙方无违约行为、双方不存在争议的前提下，甲方于五个工作日内支付至乙方账户。</w:t>
      </w:r>
    </w:p>
    <w:p w14:paraId="0D8F0C1D">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第九条 合同争议解决</w:t>
      </w:r>
    </w:p>
    <w:p w14:paraId="31062FE7">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若合同履行中发生争议的，由甲乙双方协商解决；协商不成的，可依法向项目所在地法院起诉。</w:t>
      </w:r>
    </w:p>
    <w:p w14:paraId="62094BB9">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第十条 合同生效及其它</w:t>
      </w:r>
    </w:p>
    <w:p w14:paraId="04EDBA4F">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1.生效：本合同自双方签字盖章之日起成立，并依法生效。</w:t>
      </w:r>
    </w:p>
    <w:p w14:paraId="66551B61">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2.下列文件均为本合同不可分割的部分：</w:t>
      </w:r>
    </w:p>
    <w:p w14:paraId="71E23749">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1）合同书及补充协议、附件</w:t>
      </w:r>
    </w:p>
    <w:p w14:paraId="5450F918">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2）中标通知书</w:t>
      </w:r>
    </w:p>
    <w:p w14:paraId="75A38D02">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3）答疑纪要（如有）</w:t>
      </w:r>
    </w:p>
    <w:p w14:paraId="0CBBC1FE">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4）甲乙双方签署的文件、电传、协商纪要等文件</w:t>
      </w:r>
    </w:p>
    <w:p w14:paraId="43530443">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5）招标文件及其补充文件</w:t>
      </w:r>
    </w:p>
    <w:p w14:paraId="41C68607">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6）投标文件及其补充文件</w:t>
      </w:r>
    </w:p>
    <w:p w14:paraId="652F10BF">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第十一条合同中其他未尽事宜，经双方友好协商，可签订补充协议。</w:t>
      </w:r>
    </w:p>
    <w:p w14:paraId="3C02EFEE">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第十二条本合同一式陆份，甲方执贰份、乙方执贰份，上报主管单位贰份，具有同等法律效力。</w:t>
      </w:r>
    </w:p>
    <w:p w14:paraId="10E51DAE">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default" w:ascii="宋体" w:hAnsi="宋体" w:eastAsia="宋体" w:cs="宋体"/>
          <w:b/>
          <w:bCs/>
          <w:color w:val="auto"/>
          <w:sz w:val="21"/>
          <w:szCs w:val="21"/>
          <w:lang w:val="en-US" w:eastAsia="zh-CN"/>
        </w:rPr>
      </w:pPr>
      <w:r>
        <w:rPr>
          <w:rFonts w:hint="eastAsia" w:ascii="宋体" w:hAnsi="宋体" w:eastAsia="宋体" w:cs="宋体"/>
          <w:b/>
          <w:bCs/>
          <w:color w:val="auto"/>
          <w:sz w:val="21"/>
          <w:szCs w:val="21"/>
        </w:rPr>
        <w:t>第十</w:t>
      </w:r>
      <w:r>
        <w:rPr>
          <w:rFonts w:hint="eastAsia" w:ascii="宋体" w:hAnsi="宋体" w:cs="宋体"/>
          <w:b/>
          <w:bCs/>
          <w:color w:val="auto"/>
          <w:sz w:val="21"/>
          <w:szCs w:val="21"/>
          <w:lang w:val="en-US" w:eastAsia="zh-CN"/>
        </w:rPr>
        <w:t>三</w:t>
      </w:r>
      <w:r>
        <w:rPr>
          <w:rFonts w:hint="eastAsia" w:ascii="宋体" w:hAnsi="宋体" w:eastAsia="宋体" w:cs="宋体"/>
          <w:b/>
          <w:bCs/>
          <w:color w:val="auto"/>
          <w:sz w:val="21"/>
          <w:szCs w:val="21"/>
        </w:rPr>
        <w:t>条</w:t>
      </w:r>
      <w:r>
        <w:rPr>
          <w:rFonts w:hint="eastAsia" w:ascii="宋体" w:hAnsi="宋体" w:cs="宋体"/>
          <w:b/>
          <w:bCs/>
          <w:color w:val="auto"/>
          <w:sz w:val="21"/>
          <w:szCs w:val="21"/>
          <w:lang w:eastAsia="zh-CN"/>
        </w:rPr>
        <w:t>：</w:t>
      </w:r>
      <w:r>
        <w:rPr>
          <w:rFonts w:hint="eastAsia" w:ascii="宋体" w:hAnsi="宋体" w:cs="宋体"/>
          <w:b/>
          <w:bCs/>
          <w:color w:val="auto"/>
          <w:sz w:val="21"/>
          <w:szCs w:val="21"/>
          <w:lang w:val="en-US" w:eastAsia="zh-CN"/>
        </w:rPr>
        <w:t>合同以甲乙双方最终签订的版本为准。</w:t>
      </w:r>
    </w:p>
    <w:p w14:paraId="27CE2493">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p>
    <w:p w14:paraId="76CC0939">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p>
    <w:p w14:paraId="170B6B21">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sectPr>
          <w:headerReference r:id="rId3" w:type="default"/>
          <w:footerReference r:id="rId4" w:type="default"/>
          <w:pgSz w:w="12240" w:h="15840"/>
          <w:pgMar w:top="1440" w:right="1800" w:bottom="1440" w:left="1800" w:header="0" w:footer="720" w:gutter="0"/>
          <w:pgNumType w:fmt="decimal" w:start="1"/>
          <w:cols w:space="720" w:num="1"/>
        </w:sectPr>
      </w:pPr>
    </w:p>
    <w:p w14:paraId="075B3242">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甲方（盖章）：</w:t>
      </w:r>
    </w:p>
    <w:p w14:paraId="4A9C93A1">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p>
    <w:p w14:paraId="38AE8B06">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法定代表人或委托代理人：</w:t>
      </w:r>
    </w:p>
    <w:p w14:paraId="100EE5B2">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p>
    <w:p w14:paraId="537AE6CF">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年   月   日</w:t>
      </w:r>
    </w:p>
    <w:p w14:paraId="3CBC221A">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p>
    <w:p w14:paraId="683131F4">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br w:type="column"/>
      </w:r>
    </w:p>
    <w:p w14:paraId="23B05D16">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乙方（盖章）：</w:t>
      </w:r>
    </w:p>
    <w:p w14:paraId="3F58D960">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p>
    <w:p w14:paraId="456AD46C">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法定代表人或委托代理人：</w:t>
      </w:r>
    </w:p>
    <w:p w14:paraId="2CBB22E9">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rPr>
      </w:pPr>
    </w:p>
    <w:p w14:paraId="5845DD11">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ascii="宋体" w:hAnsi="宋体" w:eastAsia="宋体" w:cs="宋体"/>
          <w:color w:val="auto"/>
          <w:sz w:val="24"/>
          <w:szCs w:val="24"/>
        </w:rPr>
        <w:sectPr>
          <w:type w:val="continuous"/>
          <w:pgSz w:w="12240" w:h="15840"/>
          <w:pgMar w:top="400" w:right="1836" w:bottom="880" w:left="1651" w:header="0" w:footer="720" w:gutter="0"/>
          <w:pgNumType w:fmt="decimal"/>
          <w:cols w:equalWidth="0" w:num="2">
            <w:col w:w="4048" w:space="100"/>
            <w:col w:w="4606"/>
          </w:cols>
        </w:sectPr>
      </w:pPr>
      <w:r>
        <w:rPr>
          <w:rFonts w:hint="eastAsia" w:ascii="宋体" w:hAnsi="宋体" w:eastAsia="宋体" w:cs="宋体"/>
          <w:color w:val="auto"/>
          <w:sz w:val="21"/>
          <w:szCs w:val="21"/>
        </w:rPr>
        <w:t>年   月   日</w:t>
      </w:r>
    </w:p>
    <w:p w14:paraId="7C4F8CED">
      <w:pPr>
        <w:rPr>
          <w:color w:val="auto"/>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F"/>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F10A9D">
    <w:pPr>
      <w:spacing w:line="174" w:lineRule="auto"/>
      <w:ind w:left="4369"/>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3EEEDB09">
                          <w:pPr>
                            <w:pStyle w:val="3"/>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0mU5cwBAACn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4MwKQw9++fnj8uvP5fd3tkzy&#10;9B4rqrr3VBeHd25IpVMcKZhYD20w6Ut8GOVJ3PNVXBgik+nSerVel5SSlJsdwikervuA8T04w5JR&#10;80Cvl0UVp48Yx9K5JHWz7k5pTXFRaftPgDDHCOQVmG4nJuPEyYrDfpho7F1zJnY9rUHNLW09Z/qD&#10;JZXTxsxGmI39bBx9UIcur1Tqjv72GGmkPGnqMMISw+TQ+2Wu066lBXns56qH/2v7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XSZTlzAEAAKcDAAAOAAAAAAAAAAEAIAAAAB4BAABkcnMvZTJv&#10;RG9jLnhtbFBLBQYAAAAABgAGAFkBAABcBQAAAAA=&#10;">
              <v:fill on="f" focussize="0,0"/>
              <v:stroke on="f"/>
              <v:imagedata o:title=""/>
              <o:lock v:ext="edit" aspectratio="f"/>
              <v:textbox inset="0mm,0mm,0mm,0mm" style="mso-fit-shape-to-text:t;">
                <w:txbxContent>
                  <w:p w14:paraId="3EEEDB09">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295C0F">
    <w:pPr>
      <w:pStyle w:val="2"/>
      <w:spacing w:line="14" w:lineRule="auto"/>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297E2F"/>
    <w:rsid w:val="0F727BB6"/>
    <w:rsid w:val="196B2633"/>
    <w:rsid w:val="25FC2044"/>
    <w:rsid w:val="34637732"/>
    <w:rsid w:val="49A02033"/>
    <w:rsid w:val="52AF615F"/>
    <w:rsid w:val="52FE52FF"/>
    <w:rsid w:val="5E005E5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Style w:val="4"/>
      <w:tblCellMar>
        <w:top w:w="0" w:type="dxa"/>
        <w:left w:w="108" w:type="dxa"/>
        <w:bottom w:w="0" w:type="dxa"/>
        <w:right w:w="108" w:type="dxa"/>
      </w:tblCellMar>
    </w:tblPr>
  </w:style>
  <w:style w:type="paragraph" w:styleId="2">
    <w:name w:val="Body Text"/>
    <w:basedOn w:val="1"/>
    <w:qFormat/>
    <w:uiPriority w:val="1"/>
    <w:rPr>
      <w:rFonts w:ascii="宋体" w:hAnsi="宋体" w:cs="宋体"/>
      <w:szCs w:val="21"/>
      <w:lang w:val="zh-CN" w:bidi="zh-CN"/>
    </w:rPr>
  </w:style>
  <w:style w:type="paragraph" w:styleId="3">
    <w:name w:val="footer"/>
    <w:basedOn w:val="1"/>
    <w:qFormat/>
    <w:uiPriority w:val="0"/>
    <w:pPr>
      <w:tabs>
        <w:tab w:val="center" w:pos="4153"/>
        <w:tab w:val="right" w:pos="8306"/>
      </w:tabs>
      <w:snapToGrid w:val="0"/>
      <w:jc w:val="left"/>
    </w:pPr>
    <w:rPr>
      <w:sz w:val="18"/>
      <w:szCs w:val="18"/>
    </w:rPr>
  </w:style>
  <w:style w:type="table" w:customStyle="1" w:styleId="6">
    <w:name w:val="Table Normal"/>
    <w:unhideWhenUsed/>
    <w:qFormat/>
    <w:uiPriority w:val="0"/>
    <w:tblPr>
      <w:tblStyle w:val="4"/>
      <w:tblCellMar>
        <w:top w:w="0" w:type="dxa"/>
        <w:left w:w="0" w:type="dxa"/>
        <w:bottom w:w="0" w:type="dxa"/>
        <w:right w:w="0" w:type="dxa"/>
      </w:tblCellMar>
    </w:tblPr>
  </w:style>
  <w:style w:type="paragraph" w:customStyle="1" w:styleId="7">
    <w:name w:val="null3"/>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3773</Words>
  <Characters>3865</Characters>
  <Lines>0</Lines>
  <Paragraphs>0</Paragraphs>
  <TotalTime>3</TotalTime>
  <ScaleCrop>false</ScaleCrop>
  <LinksUpToDate>false</LinksUpToDate>
  <CharactersWithSpaces>4258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2026-08-26T05:31:00Z</dcterms:created>
  <dc:creator>smec</dc:creator>
  <cp:lastModifiedBy>WPS_1560821689</cp:lastModifiedBy>
  <dcterms:modified xsi:type="dcterms:W3CDTF">2026-08-27T07:39:48Z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eyJoZGlkIjoiZGExYTA2YTNlMzQ1ZTM1MjhkOTMxYTM2NzkxMGRiYjciLCJ1c2VySWQiOiI1ODI5MjQzMDMifQ==</vt:lpwstr>
  </property>
  <property fmtid="{D5CDD505-2E9C-101B-9397-08002B2CF9AE}" pid="4" name="ICV">
    <vt:lpwstr>66ADE2C681D8447983661D64B6BD0A94_13</vt:lpwstr>
  </property>
</Properties>
</file>