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150F2">
      <w:pPr>
        <w:keepNext w:val="0"/>
        <w:keepLines w:val="0"/>
        <w:pageBreakBefore w:val="0"/>
        <w:widowControl/>
        <w:kinsoku w:val="0"/>
        <w:wordWrap/>
        <w:overflowPunct/>
        <w:topLinePunct w:val="0"/>
        <w:autoSpaceDE w:val="0"/>
        <w:autoSpaceDN w:val="0"/>
        <w:bidi w:val="0"/>
        <w:adjustRightInd w:val="0"/>
        <w:snapToGrid w:val="0"/>
        <w:spacing w:after="0" w:line="360" w:lineRule="auto"/>
        <w:jc w:val="center"/>
        <w:textAlignment w:val="baseline"/>
        <w:outlineLvl w:val="0"/>
        <w:rPr>
          <w:rFonts w:hint="eastAsia" w:ascii="仿宋" w:hAnsi="仿宋" w:eastAsia="仿宋" w:cs="仿宋"/>
          <w:color w:val="000000" w:themeColor="text1"/>
          <w:highlight w:val="none"/>
          <w:lang w:bidi="ar-SA"/>
          <w14:textFill>
            <w14:solidFill>
              <w14:schemeClr w14:val="tx1"/>
            </w14:solidFill>
          </w14:textFill>
        </w:rPr>
      </w:pPr>
      <w:bookmarkStart w:id="0" w:name="_GoBack"/>
      <w:r>
        <w:rPr>
          <w:rFonts w:hint="eastAsia" w:ascii="仿宋" w:hAnsi="仿宋" w:eastAsia="仿宋" w:cs="仿宋"/>
          <w:b/>
          <w:bCs/>
          <w:color w:val="000000" w:themeColor="text1"/>
          <w:spacing w:val="-4"/>
          <w:sz w:val="32"/>
          <w:szCs w:val="32"/>
          <w:highlight w:val="none"/>
          <w:lang w:bidi="ar-SA"/>
          <w14:textFill>
            <w14:solidFill>
              <w14:schemeClr w14:val="tx1"/>
            </w14:solidFill>
          </w14:textFill>
        </w:rPr>
        <w:t>招标项目施工、服务、商务及其他要求</w:t>
      </w:r>
    </w:p>
    <w:bookmarkEnd w:id="0"/>
    <w:p w14:paraId="01E0A5F9">
      <w:pPr>
        <w:keepNext w:val="0"/>
        <w:keepLines w:val="0"/>
        <w:pageBreakBefore w:val="0"/>
        <w:widowControl/>
        <w:kinsoku w:val="0"/>
        <w:wordWrap/>
        <w:overflowPunct/>
        <w:topLinePunct w:val="0"/>
        <w:autoSpaceDE w:val="0"/>
        <w:autoSpaceDN w:val="0"/>
        <w:bidi w:val="0"/>
        <w:adjustRightInd w:val="0"/>
        <w:snapToGrid w:val="0"/>
        <w:spacing w:line="300" w:lineRule="auto"/>
        <w:ind w:left="14" w:firstLine="557"/>
        <w:jc w:val="both"/>
        <w:textAlignment w:val="baseline"/>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pacing w:val="12"/>
          <w:sz w:val="22"/>
          <w:szCs w:val="22"/>
          <w:highlight w:val="none"/>
          <w:lang w:bidi="ar-SA"/>
          <w14:textFill>
            <w14:solidFill>
              <w14:schemeClr w14:val="tx1"/>
            </w14:solidFill>
          </w14:textFill>
        </w:rPr>
        <w:t>（注：带“★”的参数需求为实质性要求，投标</w:t>
      </w:r>
      <w:r>
        <w:rPr>
          <w:rFonts w:hint="eastAsia" w:ascii="仿宋" w:hAnsi="仿宋" w:eastAsia="仿宋" w:cs="仿宋"/>
          <w:color w:val="000000" w:themeColor="text1"/>
          <w:spacing w:val="11"/>
          <w:sz w:val="22"/>
          <w:szCs w:val="22"/>
          <w:highlight w:val="none"/>
          <w:lang w:bidi="ar-SA"/>
          <w14:textFill>
            <w14:solidFill>
              <w14:schemeClr w14:val="tx1"/>
            </w14:solidFill>
          </w14:textFill>
        </w:rPr>
        <w:t>人必须响应并满足的参数需求，采购人、采购代理机构应当根据项目实际需求合理设定，并明确具体要求。带“▲”号条</w:t>
      </w:r>
      <w:r>
        <w:rPr>
          <w:rFonts w:hint="eastAsia" w:ascii="仿宋" w:hAnsi="仿宋" w:eastAsia="仿宋" w:cs="仿宋"/>
          <w:color w:val="000000" w:themeColor="text1"/>
          <w:spacing w:val="13"/>
          <w:sz w:val="22"/>
          <w:szCs w:val="22"/>
          <w:highlight w:val="none"/>
          <w:lang w:bidi="ar-SA"/>
          <w14:textFill>
            <w14:solidFill>
              <w14:schemeClr w14:val="tx1"/>
            </w14:solidFill>
          </w14:textFill>
        </w:rPr>
        <w:t>款为允许负偏离的参数需求，若未响应或者</w:t>
      </w:r>
      <w:r>
        <w:rPr>
          <w:rFonts w:hint="eastAsia" w:ascii="仿宋" w:hAnsi="仿宋" w:eastAsia="仿宋" w:cs="仿宋"/>
          <w:color w:val="000000" w:themeColor="text1"/>
          <w:spacing w:val="12"/>
          <w:sz w:val="22"/>
          <w:szCs w:val="22"/>
          <w:highlight w:val="none"/>
          <w:lang w:bidi="ar-SA"/>
          <w14:textFill>
            <w14:solidFill>
              <w14:schemeClr w14:val="tx1"/>
            </w14:solidFill>
          </w14:textFill>
        </w:rPr>
        <w:t>不满足，将在综合评审中予以扣分处理。）</w:t>
      </w:r>
    </w:p>
    <w:p w14:paraId="41D3B676">
      <w:pPr>
        <w:keepNext w:val="0"/>
        <w:keepLines w:val="0"/>
        <w:pageBreakBefore w:val="0"/>
        <w:widowControl/>
        <w:kinsoku w:val="0"/>
        <w:wordWrap/>
        <w:overflowPunct/>
        <w:topLinePunct w:val="0"/>
        <w:autoSpaceDE w:val="0"/>
        <w:autoSpaceDN w:val="0"/>
        <w:bidi w:val="0"/>
        <w:adjustRightInd w:val="0"/>
        <w:snapToGrid w:val="0"/>
        <w:spacing w:line="300" w:lineRule="auto"/>
        <w:ind w:left="13"/>
        <w:textAlignment w:val="baseline"/>
        <w:outlineLvl w:val="1"/>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pacing w:val="-6"/>
          <w:sz w:val="22"/>
          <w:szCs w:val="22"/>
          <w:highlight w:val="none"/>
          <w:lang w:bidi="ar-SA"/>
          <w14:textFill>
            <w14:solidFill>
              <w14:schemeClr w14:val="tx1"/>
            </w14:solidFill>
          </w14:textFill>
        </w:rPr>
        <w:t>3.1采购项目概况</w:t>
      </w:r>
    </w:p>
    <w:p w14:paraId="0793A089">
      <w:pPr>
        <w:keepNext w:val="0"/>
        <w:keepLines w:val="0"/>
        <w:pageBreakBefore w:val="0"/>
        <w:widowControl/>
        <w:kinsoku w:val="0"/>
        <w:wordWrap/>
        <w:overflowPunct/>
        <w:topLinePunct w:val="0"/>
        <w:autoSpaceDE w:val="0"/>
        <w:autoSpaceDN w:val="0"/>
        <w:bidi w:val="0"/>
        <w:adjustRightInd w:val="0"/>
        <w:snapToGrid w:val="0"/>
        <w:spacing w:line="300" w:lineRule="auto"/>
        <w:ind w:left="3" w:firstLine="475"/>
        <w:textAlignment w:val="baseline"/>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院本部3号、4号公寓楼</w:t>
      </w:r>
      <w:r>
        <w:rPr>
          <w:rFonts w:hint="eastAsia" w:ascii="仿宋" w:hAnsi="仿宋" w:eastAsia="仿宋" w:cs="仿宋"/>
          <w:color w:val="000000" w:themeColor="text1"/>
          <w:sz w:val="22"/>
          <w:szCs w:val="22"/>
          <w:highlight w:val="none"/>
          <w:lang w:eastAsia="zh-CN" w:bidi="ar-SA"/>
          <w14:textFill>
            <w14:solidFill>
              <w14:schemeClr w14:val="tx1"/>
            </w14:solidFill>
          </w14:textFill>
        </w:rPr>
        <w:t>位于西安职业技术学院</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本部</w:t>
      </w:r>
      <w:r>
        <w:rPr>
          <w:rFonts w:hint="eastAsia" w:ascii="仿宋" w:hAnsi="仿宋" w:eastAsia="仿宋" w:cs="仿宋"/>
          <w:color w:val="000000" w:themeColor="text1"/>
          <w:sz w:val="22"/>
          <w:szCs w:val="22"/>
          <w:highlight w:val="none"/>
          <w:lang w:eastAsia="zh-CN" w:bidi="ar-SA"/>
          <w14:textFill>
            <w14:solidFill>
              <w14:schemeClr w14:val="tx1"/>
            </w14:solidFill>
          </w14:textFill>
        </w:rPr>
        <w:t>校内，建筑面积</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合计约14500</w:t>
      </w:r>
      <w:r>
        <w:rPr>
          <w:rFonts w:hint="eastAsia" w:ascii="仿宋" w:hAnsi="仿宋" w:eastAsia="仿宋" w:cs="仿宋"/>
          <w:color w:val="000000" w:themeColor="text1"/>
          <w:sz w:val="22"/>
          <w:szCs w:val="22"/>
          <w:highlight w:val="none"/>
          <w:lang w:eastAsia="zh-CN" w:bidi="ar-SA"/>
          <w14:textFill>
            <w14:solidFill>
              <w14:schemeClr w14:val="tx1"/>
            </w14:solidFill>
          </w14:textFill>
        </w:rPr>
        <w:t>平方米。</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工程内容</w:t>
      </w:r>
      <w:r>
        <w:rPr>
          <w:rFonts w:hint="eastAsia" w:ascii="仿宋" w:hAnsi="仿宋" w:eastAsia="仿宋" w:cs="仿宋"/>
          <w:color w:val="000000" w:themeColor="text1"/>
          <w:sz w:val="22"/>
          <w:szCs w:val="22"/>
          <w:highlight w:val="none"/>
          <w:lang w:eastAsia="zh-CN" w:bidi="ar-SA"/>
          <w14:textFill>
            <w14:solidFill>
              <w14:schemeClr w14:val="tx1"/>
            </w14:solidFill>
          </w14:textFill>
        </w:rPr>
        <w:t>主要</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为对宿舍内部墙面顶面刮白，阳台和卫生间翻新，公共卫生间翻新，西外立面维修等</w:t>
      </w:r>
      <w:r>
        <w:rPr>
          <w:rFonts w:hint="eastAsia" w:ascii="仿宋" w:hAnsi="仿宋" w:eastAsia="仿宋" w:cs="仿宋"/>
          <w:color w:val="000000" w:themeColor="text1"/>
          <w:sz w:val="22"/>
          <w:szCs w:val="22"/>
          <w:highlight w:val="none"/>
          <w:lang w:eastAsia="zh-CN" w:bidi="ar-SA"/>
          <w14:textFill>
            <w14:solidFill>
              <w14:schemeClr w14:val="tx1"/>
            </w14:solidFill>
          </w14:textFill>
        </w:rPr>
        <w:t>，具体维修</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内容</w:t>
      </w:r>
      <w:r>
        <w:rPr>
          <w:rFonts w:hint="eastAsia" w:ascii="仿宋" w:hAnsi="仿宋" w:eastAsia="仿宋" w:cs="仿宋"/>
          <w:color w:val="000000" w:themeColor="text1"/>
          <w:sz w:val="22"/>
          <w:szCs w:val="22"/>
          <w:highlight w:val="none"/>
          <w:lang w:eastAsia="zh-CN" w:bidi="ar-SA"/>
          <w14:textFill>
            <w14:solidFill>
              <w14:schemeClr w14:val="tx1"/>
            </w14:solidFill>
          </w14:textFill>
        </w:rPr>
        <w:t>以工程量清单为准。要求所有工程施工到位、质量符合国家及行业现行建设工程施工质量验收规范及采购人要求的“合格”标准</w:t>
      </w:r>
      <w:r>
        <w:rPr>
          <w:rFonts w:hint="eastAsia" w:ascii="仿宋" w:hAnsi="仿宋" w:eastAsia="仿宋" w:cs="仿宋"/>
          <w:color w:val="000000" w:themeColor="text1"/>
          <w:spacing w:val="-3"/>
          <w:sz w:val="22"/>
          <w:szCs w:val="22"/>
          <w:highlight w:val="none"/>
          <w:lang w:bidi="ar-SA"/>
          <w14:textFill>
            <w14:solidFill>
              <w14:schemeClr w14:val="tx1"/>
            </w14:solidFill>
          </w14:textFill>
        </w:rPr>
        <w:t>。</w:t>
      </w:r>
    </w:p>
    <w:p w14:paraId="74A52926">
      <w:pPr>
        <w:keepNext w:val="0"/>
        <w:keepLines w:val="0"/>
        <w:pageBreakBefore w:val="0"/>
        <w:widowControl/>
        <w:kinsoku w:val="0"/>
        <w:wordWrap/>
        <w:overflowPunct/>
        <w:topLinePunct w:val="0"/>
        <w:autoSpaceDE w:val="0"/>
        <w:autoSpaceDN w:val="0"/>
        <w:bidi w:val="0"/>
        <w:adjustRightInd w:val="0"/>
        <w:snapToGrid w:val="0"/>
        <w:spacing w:line="300" w:lineRule="auto"/>
        <w:ind w:left="13"/>
        <w:textAlignment w:val="baseline"/>
        <w:outlineLvl w:val="1"/>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pacing w:val="-5"/>
          <w:sz w:val="22"/>
          <w:szCs w:val="22"/>
          <w:highlight w:val="none"/>
          <w:lang w:bidi="ar-SA"/>
          <w14:textFill>
            <w14:solidFill>
              <w14:schemeClr w14:val="tx1"/>
            </w14:solidFill>
          </w14:textFill>
        </w:rPr>
        <w:t>3.2服务内容及服务要求</w:t>
      </w:r>
    </w:p>
    <w:p w14:paraId="06000A7C">
      <w:pPr>
        <w:keepNext w:val="0"/>
        <w:keepLines w:val="0"/>
        <w:pageBreakBefore w:val="0"/>
        <w:widowControl/>
        <w:kinsoku w:val="0"/>
        <w:wordWrap/>
        <w:overflowPunct/>
        <w:topLinePunct w:val="0"/>
        <w:autoSpaceDE w:val="0"/>
        <w:autoSpaceDN w:val="0"/>
        <w:bidi w:val="0"/>
        <w:adjustRightInd w:val="0"/>
        <w:snapToGrid w:val="0"/>
        <w:spacing w:line="300" w:lineRule="auto"/>
        <w:ind w:left="13" w:firstLine="422" w:firstLineChars="200"/>
        <w:textAlignment w:val="baseline"/>
        <w:outlineLvl w:val="2"/>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pacing w:val="-5"/>
          <w:sz w:val="22"/>
          <w:szCs w:val="22"/>
          <w:highlight w:val="none"/>
          <w:lang w:bidi="ar-SA"/>
          <w14:textFill>
            <w14:solidFill>
              <w14:schemeClr w14:val="tx1"/>
            </w14:solidFill>
          </w14:textFill>
        </w:rPr>
        <w:t>3.2.1服务内容</w:t>
      </w:r>
    </w:p>
    <w:p w14:paraId="78F7408C">
      <w:pPr>
        <w:keepNext w:val="0"/>
        <w:keepLines w:val="0"/>
        <w:pageBreakBefore w:val="0"/>
        <w:widowControl/>
        <w:kinsoku w:val="0"/>
        <w:wordWrap/>
        <w:overflowPunct/>
        <w:topLinePunct w:val="0"/>
        <w:autoSpaceDE w:val="0"/>
        <w:autoSpaceDN w:val="0"/>
        <w:bidi w:val="0"/>
        <w:adjustRightInd w:val="0"/>
        <w:snapToGrid w:val="0"/>
        <w:spacing w:line="300" w:lineRule="auto"/>
        <w:ind w:left="449"/>
        <w:textAlignment w:val="baseline"/>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pacing w:val="7"/>
          <w:sz w:val="22"/>
          <w:szCs w:val="22"/>
          <w:highlight w:val="none"/>
          <w:lang w:bidi="ar-SA"/>
          <w14:textFill>
            <w14:solidFill>
              <w14:schemeClr w14:val="tx1"/>
            </w14:solidFill>
          </w14:textFill>
        </w:rPr>
        <w:t>采购包1：</w:t>
      </w:r>
    </w:p>
    <w:p w14:paraId="4FE0EAF1">
      <w:pPr>
        <w:keepNext w:val="0"/>
        <w:keepLines w:val="0"/>
        <w:pageBreakBefore w:val="0"/>
        <w:widowControl/>
        <w:kinsoku w:val="0"/>
        <w:wordWrap/>
        <w:overflowPunct/>
        <w:topLinePunct w:val="0"/>
        <w:autoSpaceDE w:val="0"/>
        <w:autoSpaceDN w:val="0"/>
        <w:bidi w:val="0"/>
        <w:adjustRightInd w:val="0"/>
        <w:snapToGrid w:val="0"/>
        <w:spacing w:line="300" w:lineRule="auto"/>
        <w:ind w:left="449"/>
        <w:textAlignment w:val="baseline"/>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pacing w:val="11"/>
          <w:sz w:val="22"/>
          <w:szCs w:val="22"/>
          <w:highlight w:val="none"/>
          <w:lang w:bidi="ar-SA"/>
          <w14:textFill>
            <w14:solidFill>
              <w14:schemeClr w14:val="tx1"/>
            </w14:solidFill>
          </w14:textFill>
        </w:rPr>
        <w:t>采购包预算金额（元）:4450000.00</w:t>
      </w:r>
      <w:r>
        <w:rPr>
          <w:rFonts w:hint="eastAsia" w:ascii="仿宋" w:hAnsi="仿宋" w:eastAsia="仿宋" w:cs="仿宋"/>
          <w:color w:val="000000" w:themeColor="text1"/>
          <w:spacing w:val="10"/>
          <w:sz w:val="22"/>
          <w:szCs w:val="22"/>
          <w:highlight w:val="none"/>
          <w:lang w:bidi="ar-SA"/>
          <w14:textFill>
            <w14:solidFill>
              <w14:schemeClr w14:val="tx1"/>
            </w14:solidFill>
          </w14:textFill>
        </w:rPr>
        <w:t>元</w:t>
      </w:r>
    </w:p>
    <w:p w14:paraId="686A0B89">
      <w:pPr>
        <w:keepNext w:val="0"/>
        <w:keepLines w:val="0"/>
        <w:pageBreakBefore w:val="0"/>
        <w:widowControl/>
        <w:kinsoku w:val="0"/>
        <w:wordWrap/>
        <w:overflowPunct/>
        <w:topLinePunct w:val="0"/>
        <w:autoSpaceDE w:val="0"/>
        <w:autoSpaceDN w:val="0"/>
        <w:bidi w:val="0"/>
        <w:adjustRightInd w:val="0"/>
        <w:snapToGrid w:val="0"/>
        <w:spacing w:line="300" w:lineRule="auto"/>
        <w:ind w:left="449"/>
        <w:textAlignment w:val="baseline"/>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pacing w:val="11"/>
          <w:sz w:val="22"/>
          <w:szCs w:val="22"/>
          <w:highlight w:val="none"/>
          <w:lang w:bidi="ar-SA"/>
          <w14:textFill>
            <w14:solidFill>
              <w14:schemeClr w14:val="tx1"/>
            </w14:solidFill>
          </w14:textFill>
        </w:rPr>
        <w:t>采购包</w:t>
      </w:r>
      <w:r>
        <w:rPr>
          <w:rFonts w:hint="eastAsia" w:ascii="仿宋" w:hAnsi="仿宋" w:eastAsia="仿宋" w:cs="仿宋"/>
          <w:b/>
          <w:bCs/>
          <w:color w:val="000000" w:themeColor="text1"/>
          <w:spacing w:val="11"/>
          <w:sz w:val="22"/>
          <w:szCs w:val="22"/>
          <w:highlight w:val="none"/>
          <w:lang w:bidi="ar-SA"/>
          <w14:textFill>
            <w14:solidFill>
              <w14:schemeClr w14:val="tx1"/>
            </w14:solidFill>
          </w14:textFill>
        </w:rPr>
        <w:t>最高限价</w:t>
      </w:r>
      <w:r>
        <w:rPr>
          <w:rFonts w:hint="eastAsia" w:ascii="仿宋" w:hAnsi="仿宋" w:eastAsia="仿宋" w:cs="仿宋"/>
          <w:color w:val="000000" w:themeColor="text1"/>
          <w:spacing w:val="11"/>
          <w:sz w:val="22"/>
          <w:szCs w:val="22"/>
          <w:highlight w:val="none"/>
          <w:lang w:bidi="ar-SA"/>
          <w14:textFill>
            <w14:solidFill>
              <w14:schemeClr w14:val="tx1"/>
            </w14:solidFill>
          </w14:textFill>
        </w:rPr>
        <w:t>（元）:</w:t>
      </w:r>
      <w:r>
        <w:rPr>
          <w:rFonts w:hint="eastAsia" w:ascii="仿宋" w:hAnsi="仿宋" w:eastAsia="仿宋" w:cs="仿宋"/>
          <w:b/>
          <w:bCs/>
          <w:color w:val="000000" w:themeColor="text1"/>
          <w:spacing w:val="11"/>
          <w:sz w:val="22"/>
          <w:szCs w:val="22"/>
          <w:highlight w:val="none"/>
          <w:lang w:bidi="ar-SA"/>
          <w14:textFill>
            <w14:solidFill>
              <w14:schemeClr w14:val="tx1"/>
            </w14:solidFill>
          </w14:textFill>
        </w:rPr>
        <w:t>4449592.24</w:t>
      </w:r>
      <w:r>
        <w:rPr>
          <w:rFonts w:hint="eastAsia" w:ascii="仿宋" w:hAnsi="仿宋" w:eastAsia="仿宋" w:cs="仿宋"/>
          <w:color w:val="000000" w:themeColor="text1"/>
          <w:spacing w:val="10"/>
          <w:sz w:val="22"/>
          <w:szCs w:val="22"/>
          <w:highlight w:val="none"/>
          <w:lang w:bidi="ar-SA"/>
          <w14:textFill>
            <w14:solidFill>
              <w14:schemeClr w14:val="tx1"/>
            </w14:solidFill>
          </w14:textFill>
        </w:rPr>
        <w:t>元</w:t>
      </w:r>
    </w:p>
    <w:p w14:paraId="1845F2B4">
      <w:pPr>
        <w:keepNext w:val="0"/>
        <w:keepLines w:val="0"/>
        <w:pageBreakBefore w:val="0"/>
        <w:widowControl/>
        <w:kinsoku w:val="0"/>
        <w:wordWrap/>
        <w:overflowPunct/>
        <w:topLinePunct w:val="0"/>
        <w:autoSpaceDE w:val="0"/>
        <w:autoSpaceDN w:val="0"/>
        <w:bidi w:val="0"/>
        <w:adjustRightInd w:val="0"/>
        <w:snapToGrid w:val="0"/>
        <w:spacing w:line="300" w:lineRule="auto"/>
        <w:ind w:left="413"/>
        <w:textAlignment w:val="baseline"/>
        <w:rPr>
          <w:rFonts w:hint="eastAsia" w:ascii="仿宋" w:hAnsi="仿宋" w:eastAsia="仿宋" w:cs="仿宋"/>
          <w:color w:val="000000" w:themeColor="text1"/>
          <w:spacing w:val="15"/>
          <w:sz w:val="22"/>
          <w:szCs w:val="22"/>
          <w:highlight w:val="none"/>
          <w:lang w:bidi="ar-SA"/>
          <w14:textFill>
            <w14:solidFill>
              <w14:schemeClr w14:val="tx1"/>
            </w14:solidFill>
          </w14:textFill>
        </w:rPr>
      </w:pPr>
      <w:r>
        <w:rPr>
          <w:rFonts w:hint="eastAsia" w:ascii="仿宋" w:hAnsi="仿宋" w:eastAsia="仿宋" w:cs="仿宋"/>
          <w:color w:val="000000" w:themeColor="text1"/>
          <w:spacing w:val="15"/>
          <w:sz w:val="22"/>
          <w:szCs w:val="22"/>
          <w:highlight w:val="none"/>
          <w:lang w:bidi="ar-SA"/>
          <w14:textFill>
            <w14:solidFill>
              <w14:schemeClr w14:val="tx1"/>
            </w14:solidFill>
          </w14:textFill>
        </w:rPr>
        <w:t>投标报价不允许超过最高限价金额</w:t>
      </w:r>
    </w:p>
    <w:tbl>
      <w:tblPr>
        <w:tblStyle w:val="3"/>
        <w:tblW w:w="10197"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739"/>
        <w:gridCol w:w="3941"/>
        <w:gridCol w:w="1015"/>
        <w:gridCol w:w="2073"/>
        <w:gridCol w:w="1141"/>
        <w:gridCol w:w="1288"/>
      </w:tblGrid>
      <w:tr w14:paraId="5FF6DC5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739" w:type="dxa"/>
            <w:noWrap w:val="0"/>
            <w:vAlign w:val="center"/>
          </w:tcPr>
          <w:p w14:paraId="1D2CEDC0">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序号</w:t>
            </w:r>
          </w:p>
        </w:tc>
        <w:tc>
          <w:tcPr>
            <w:tcW w:w="3941" w:type="dxa"/>
            <w:noWrap w:val="0"/>
            <w:vAlign w:val="center"/>
          </w:tcPr>
          <w:p w14:paraId="60DF59FF">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标的名称</w:t>
            </w:r>
          </w:p>
        </w:tc>
        <w:tc>
          <w:tcPr>
            <w:tcW w:w="1015" w:type="dxa"/>
            <w:noWrap w:val="0"/>
            <w:vAlign w:val="center"/>
          </w:tcPr>
          <w:p w14:paraId="6016944F">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数量</w:t>
            </w:r>
          </w:p>
        </w:tc>
        <w:tc>
          <w:tcPr>
            <w:tcW w:w="2073" w:type="dxa"/>
            <w:noWrap w:val="0"/>
            <w:vAlign w:val="center"/>
          </w:tcPr>
          <w:p w14:paraId="7EA2A24C">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标的金额</w:t>
            </w:r>
          </w:p>
          <w:p w14:paraId="483A9CE1">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bCs/>
                <w:color w:val="000000" w:themeColor="text1"/>
                <w:sz w:val="22"/>
                <w:szCs w:val="22"/>
                <w:highlight w:val="none"/>
                <w:lang w:eastAsia="zh-CN" w:bidi="ar-SA"/>
                <w14:textFill>
                  <w14:solidFill>
                    <w14:schemeClr w14:val="tx1"/>
                  </w14:solidFill>
                </w14:textFill>
              </w:rPr>
            </w:pPr>
            <w:r>
              <w:rPr>
                <w:rFonts w:hint="eastAsia" w:ascii="仿宋" w:hAnsi="仿宋" w:eastAsia="仿宋" w:cs="仿宋"/>
                <w:b/>
                <w:bCs/>
                <w:color w:val="000000" w:themeColor="text1"/>
                <w:sz w:val="22"/>
                <w:szCs w:val="22"/>
                <w:highlight w:val="none"/>
                <w:lang w:eastAsia="zh-CN" w:bidi="ar-SA"/>
                <w14:textFill>
                  <w14:solidFill>
                    <w14:schemeClr w14:val="tx1"/>
                  </w14:solidFill>
                </w14:textFill>
              </w:rPr>
              <w:t>(</w:t>
            </w:r>
            <w:r>
              <w:rPr>
                <w:rFonts w:hint="eastAsia" w:ascii="仿宋" w:hAnsi="仿宋" w:eastAsia="仿宋" w:cs="仿宋"/>
                <w:b/>
                <w:bCs/>
                <w:color w:val="000000" w:themeColor="text1"/>
                <w:sz w:val="22"/>
                <w:szCs w:val="22"/>
                <w:highlight w:val="none"/>
                <w:lang w:bidi="ar-SA"/>
                <w14:textFill>
                  <w14:solidFill>
                    <w14:schemeClr w14:val="tx1"/>
                  </w14:solidFill>
                </w14:textFill>
              </w:rPr>
              <w:t>元</w:t>
            </w:r>
            <w:r>
              <w:rPr>
                <w:rFonts w:hint="eastAsia" w:ascii="仿宋" w:hAnsi="仿宋" w:eastAsia="仿宋" w:cs="仿宋"/>
                <w:b/>
                <w:bCs/>
                <w:color w:val="000000" w:themeColor="text1"/>
                <w:sz w:val="22"/>
                <w:szCs w:val="22"/>
                <w:highlight w:val="none"/>
                <w:lang w:eastAsia="zh-CN" w:bidi="ar-SA"/>
                <w14:textFill>
                  <w14:solidFill>
                    <w14:schemeClr w14:val="tx1"/>
                  </w14:solidFill>
                </w14:textFill>
              </w:rPr>
              <w:t>)</w:t>
            </w:r>
          </w:p>
        </w:tc>
        <w:tc>
          <w:tcPr>
            <w:tcW w:w="1141" w:type="dxa"/>
            <w:noWrap w:val="0"/>
            <w:vAlign w:val="center"/>
          </w:tcPr>
          <w:p w14:paraId="2FA151F3">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计量</w:t>
            </w:r>
          </w:p>
          <w:p w14:paraId="2D4459F1">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单位</w:t>
            </w:r>
          </w:p>
        </w:tc>
        <w:tc>
          <w:tcPr>
            <w:tcW w:w="1288" w:type="dxa"/>
            <w:noWrap w:val="0"/>
            <w:vAlign w:val="center"/>
          </w:tcPr>
          <w:p w14:paraId="7A18A7F6">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所属行业</w:t>
            </w:r>
          </w:p>
        </w:tc>
      </w:tr>
      <w:tr w14:paraId="23A8B0D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71" w:hRule="atLeast"/>
          <w:jc w:val="center"/>
        </w:trPr>
        <w:tc>
          <w:tcPr>
            <w:tcW w:w="739" w:type="dxa"/>
            <w:noWrap w:val="0"/>
            <w:vAlign w:val="center"/>
          </w:tcPr>
          <w:p w14:paraId="383C41BC">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val="0"/>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1</w:t>
            </w:r>
          </w:p>
        </w:tc>
        <w:tc>
          <w:tcPr>
            <w:tcW w:w="3941" w:type="dxa"/>
            <w:noWrap w:val="0"/>
            <w:vAlign w:val="center"/>
          </w:tcPr>
          <w:p w14:paraId="3FB6638F">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val="0"/>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3、4号公寓楼维修</w:t>
            </w:r>
          </w:p>
        </w:tc>
        <w:tc>
          <w:tcPr>
            <w:tcW w:w="1015" w:type="dxa"/>
            <w:noWrap w:val="0"/>
            <w:vAlign w:val="center"/>
          </w:tcPr>
          <w:p w14:paraId="2CBCFD83">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val="0"/>
                <w:color w:val="000000" w:themeColor="text1"/>
                <w:sz w:val="22"/>
                <w:szCs w:val="22"/>
                <w:highlight w:val="none"/>
                <w:lang w:bidi="ar-SA"/>
                <w14:textFill>
                  <w14:solidFill>
                    <w14:schemeClr w14:val="tx1"/>
                  </w14:solidFill>
                </w14:textFill>
              </w:rPr>
            </w:pPr>
            <w:r>
              <w:rPr>
                <w:rFonts w:hint="eastAsia" w:ascii="仿宋" w:hAnsi="仿宋" w:eastAsia="仿宋" w:cs="仿宋"/>
                <w:b w:val="0"/>
                <w:color w:val="000000" w:themeColor="text1"/>
                <w:sz w:val="22"/>
                <w:szCs w:val="22"/>
                <w:highlight w:val="none"/>
                <w:lang w:bidi="ar-SA"/>
                <w14:textFill>
                  <w14:solidFill>
                    <w14:schemeClr w14:val="tx1"/>
                  </w14:solidFill>
                </w14:textFill>
              </w:rPr>
              <w:t>1.00</w:t>
            </w:r>
          </w:p>
        </w:tc>
        <w:tc>
          <w:tcPr>
            <w:tcW w:w="2073" w:type="dxa"/>
            <w:noWrap w:val="0"/>
            <w:vAlign w:val="center"/>
          </w:tcPr>
          <w:p w14:paraId="49C1F9D6">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val="0"/>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pacing w:val="11"/>
                <w:sz w:val="22"/>
                <w:szCs w:val="22"/>
                <w:highlight w:val="none"/>
                <w:lang w:bidi="ar-SA"/>
                <w14:textFill>
                  <w14:solidFill>
                    <w14:schemeClr w14:val="tx1"/>
                  </w14:solidFill>
                </w14:textFill>
              </w:rPr>
              <w:t>4450000.00</w:t>
            </w:r>
          </w:p>
        </w:tc>
        <w:tc>
          <w:tcPr>
            <w:tcW w:w="1141" w:type="dxa"/>
            <w:noWrap w:val="0"/>
            <w:vAlign w:val="center"/>
          </w:tcPr>
          <w:p w14:paraId="20F4DCED">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val="0"/>
                <w:color w:val="000000" w:themeColor="text1"/>
                <w:sz w:val="22"/>
                <w:szCs w:val="22"/>
                <w:highlight w:val="none"/>
                <w:lang w:bidi="ar-SA"/>
                <w14:textFill>
                  <w14:solidFill>
                    <w14:schemeClr w14:val="tx1"/>
                  </w14:solidFill>
                </w14:textFill>
              </w:rPr>
            </w:pPr>
            <w:r>
              <w:rPr>
                <w:rFonts w:hint="eastAsia" w:ascii="仿宋" w:hAnsi="仿宋" w:eastAsia="仿宋" w:cs="仿宋"/>
                <w:b w:val="0"/>
                <w:color w:val="000000" w:themeColor="text1"/>
                <w:sz w:val="22"/>
                <w:szCs w:val="22"/>
                <w:highlight w:val="none"/>
                <w:lang w:bidi="ar-SA"/>
                <w14:textFill>
                  <w14:solidFill>
                    <w14:schemeClr w14:val="tx1"/>
                  </w14:solidFill>
                </w14:textFill>
              </w:rPr>
              <w:t>批</w:t>
            </w:r>
          </w:p>
        </w:tc>
        <w:tc>
          <w:tcPr>
            <w:tcW w:w="1288" w:type="dxa"/>
            <w:noWrap w:val="0"/>
            <w:vAlign w:val="center"/>
          </w:tcPr>
          <w:p w14:paraId="07BC833E">
            <w:pPr>
              <w:pStyle w:val="5"/>
              <w:keepNext w:val="0"/>
              <w:keepLines w:val="0"/>
              <w:pageBreakBefore w:val="0"/>
              <w:kinsoku/>
              <w:wordWrap/>
              <w:overflowPunct/>
              <w:topLinePunct w:val="0"/>
              <w:autoSpaceDE/>
              <w:autoSpaceDN/>
              <w:bidi w:val="0"/>
              <w:adjustRightInd/>
              <w:snapToGrid/>
              <w:jc w:val="center"/>
              <w:textAlignment w:val="auto"/>
              <w:rPr>
                <w:rFonts w:hint="eastAsia" w:ascii="仿宋" w:hAnsi="仿宋" w:eastAsia="仿宋" w:cs="仿宋"/>
                <w:b w:val="0"/>
                <w:color w:val="000000" w:themeColor="text1"/>
                <w:sz w:val="22"/>
                <w:szCs w:val="22"/>
                <w:highlight w:val="none"/>
                <w:lang w:bidi="ar-SA"/>
                <w14:textFill>
                  <w14:solidFill>
                    <w14:schemeClr w14:val="tx1"/>
                  </w14:solidFill>
                </w14:textFill>
              </w:rPr>
            </w:pPr>
            <w:r>
              <w:rPr>
                <w:rFonts w:hint="eastAsia" w:ascii="仿宋" w:hAnsi="仿宋" w:eastAsia="仿宋" w:cs="仿宋"/>
                <w:b w:val="0"/>
                <w:color w:val="000000" w:themeColor="text1"/>
                <w:sz w:val="22"/>
                <w:szCs w:val="22"/>
                <w:highlight w:val="none"/>
                <w:lang w:bidi="ar-SA"/>
                <w14:textFill>
                  <w14:solidFill>
                    <w14:schemeClr w14:val="tx1"/>
                  </w14:solidFill>
                </w14:textFill>
              </w:rPr>
              <w:t>建筑业</w:t>
            </w:r>
          </w:p>
        </w:tc>
      </w:tr>
    </w:tbl>
    <w:p w14:paraId="00B476BF">
      <w:pPr>
        <w:pStyle w:val="5"/>
        <w:keepNext w:val="0"/>
        <w:keepLines w:val="0"/>
        <w:pageBreakBefore w:val="0"/>
        <w:widowControl/>
        <w:kinsoku/>
        <w:wordWrap/>
        <w:overflowPunct/>
        <w:topLinePunct w:val="0"/>
        <w:autoSpaceDE/>
        <w:autoSpaceDN/>
        <w:bidi w:val="0"/>
        <w:adjustRightInd/>
        <w:snapToGrid/>
        <w:spacing w:line="300" w:lineRule="auto"/>
        <w:textAlignment w:val="auto"/>
        <w:rPr>
          <w:rFonts w:hint="eastAsia" w:ascii="仿宋" w:hAnsi="仿宋" w:eastAsia="仿宋" w:cs="仿宋"/>
          <w:b/>
          <w:bCs/>
          <w:color w:val="000000" w:themeColor="text1"/>
          <w:spacing w:val="-5"/>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一、技术、服务标准和要求：</w:t>
      </w:r>
    </w:p>
    <w:p w14:paraId="741CFD6D">
      <w:pPr>
        <w:keepNext w:val="0"/>
        <w:keepLines w:val="0"/>
        <w:pageBreakBefore w:val="0"/>
        <w:widowControl/>
        <w:kinsoku w:val="0"/>
        <w:wordWrap/>
        <w:overflowPunct/>
        <w:topLinePunct w:val="0"/>
        <w:autoSpaceDE w:val="0"/>
        <w:autoSpaceDN w:val="0"/>
        <w:bidi w:val="0"/>
        <w:spacing w:line="300" w:lineRule="auto"/>
        <w:ind w:firstLine="422" w:firstLineChars="200"/>
        <w:outlineLvl w:val="2"/>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pacing w:val="-5"/>
          <w:sz w:val="22"/>
          <w:szCs w:val="22"/>
          <w:highlight w:val="none"/>
          <w:lang w:bidi="ar-SA"/>
          <w14:textFill>
            <w14:solidFill>
              <w14:schemeClr w14:val="tx1"/>
            </w14:solidFill>
          </w14:textFill>
        </w:rPr>
        <w:t>3.2.2服务要求</w:t>
      </w:r>
    </w:p>
    <w:p w14:paraId="6733A1C3">
      <w:pPr>
        <w:keepNext w:val="0"/>
        <w:keepLines w:val="0"/>
        <w:pageBreakBefore w:val="0"/>
        <w:widowControl/>
        <w:kinsoku w:val="0"/>
        <w:wordWrap/>
        <w:overflowPunct/>
        <w:topLinePunct w:val="0"/>
        <w:autoSpaceDE w:val="0"/>
        <w:autoSpaceDN w:val="0"/>
        <w:bidi w:val="0"/>
        <w:spacing w:line="300" w:lineRule="auto"/>
        <w:ind w:left="17" w:firstLine="406" w:firstLineChars="200"/>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pacing w:val="-9"/>
          <w:sz w:val="22"/>
          <w:szCs w:val="22"/>
          <w:highlight w:val="none"/>
          <w:lang w:bidi="ar-SA"/>
          <w14:textFill>
            <w14:solidFill>
              <w14:schemeClr w14:val="tx1"/>
            </w14:solidFill>
          </w14:textFill>
        </w:rPr>
        <w:t>采购包1：</w:t>
      </w:r>
    </w:p>
    <w:p w14:paraId="6143983C">
      <w:pPr>
        <w:keepNext w:val="0"/>
        <w:keepLines w:val="0"/>
        <w:pageBreakBefore w:val="0"/>
        <w:widowControl/>
        <w:kinsoku w:val="0"/>
        <w:wordWrap/>
        <w:overflowPunct/>
        <w:topLinePunct w:val="0"/>
        <w:autoSpaceDE w:val="0"/>
        <w:autoSpaceDN w:val="0"/>
        <w:bidi w:val="0"/>
        <w:spacing w:line="300" w:lineRule="auto"/>
        <w:ind w:left="14" w:firstLine="440" w:firstLineChars="200"/>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标的名称：</w:t>
      </w:r>
      <w:r>
        <w:rPr>
          <w:rFonts w:hint="eastAsia" w:ascii="仿宋" w:hAnsi="仿宋" w:eastAsia="仿宋" w:cs="仿宋"/>
          <w:color w:val="000000" w:themeColor="text1"/>
          <w:sz w:val="22"/>
          <w:szCs w:val="22"/>
          <w:highlight w:val="none"/>
          <w:lang w:eastAsia="zh-CN" w:bidi="ar-SA"/>
          <w14:textFill>
            <w14:solidFill>
              <w14:schemeClr w14:val="tx1"/>
            </w14:solidFill>
          </w14:textFill>
        </w:rPr>
        <w:t>3、4号公寓楼维修</w:t>
      </w:r>
    </w:p>
    <w:tbl>
      <w:tblPr>
        <w:tblStyle w:val="3"/>
        <w:tblW w:w="10235"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758"/>
        <w:gridCol w:w="884"/>
        <w:gridCol w:w="8593"/>
      </w:tblGrid>
      <w:tr w14:paraId="4B37BD9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22" w:hRule="atLeast"/>
          <w:jc w:val="center"/>
        </w:trPr>
        <w:tc>
          <w:tcPr>
            <w:tcW w:w="758" w:type="dxa"/>
            <w:noWrap w:val="0"/>
            <w:vAlign w:val="center"/>
          </w:tcPr>
          <w:p w14:paraId="0D3566A4">
            <w:pPr>
              <w:pStyle w:val="5"/>
              <w:jc w:val="center"/>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序号</w:t>
            </w:r>
          </w:p>
        </w:tc>
        <w:tc>
          <w:tcPr>
            <w:tcW w:w="884" w:type="dxa"/>
            <w:noWrap w:val="0"/>
            <w:vAlign w:val="center"/>
          </w:tcPr>
          <w:p w14:paraId="08DBE3E6">
            <w:pPr>
              <w:pStyle w:val="5"/>
              <w:jc w:val="center"/>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参数</w:t>
            </w:r>
          </w:p>
          <w:p w14:paraId="4A096612">
            <w:pPr>
              <w:pStyle w:val="5"/>
              <w:jc w:val="center"/>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性质</w:t>
            </w:r>
          </w:p>
        </w:tc>
        <w:tc>
          <w:tcPr>
            <w:tcW w:w="8593" w:type="dxa"/>
            <w:noWrap w:val="0"/>
            <w:vAlign w:val="center"/>
          </w:tcPr>
          <w:p w14:paraId="0FA59E6B">
            <w:pPr>
              <w:pStyle w:val="5"/>
              <w:jc w:val="center"/>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技术参数与性能指标</w:t>
            </w:r>
          </w:p>
        </w:tc>
      </w:tr>
      <w:tr w14:paraId="351DD24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jc w:val="center"/>
        </w:trPr>
        <w:tc>
          <w:tcPr>
            <w:tcW w:w="758" w:type="dxa"/>
            <w:noWrap w:val="0"/>
            <w:vAlign w:val="center"/>
          </w:tcPr>
          <w:p w14:paraId="3547BEE7">
            <w:pPr>
              <w:pStyle w:val="5"/>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1</w:t>
            </w:r>
          </w:p>
        </w:tc>
        <w:tc>
          <w:tcPr>
            <w:tcW w:w="884" w:type="dxa"/>
            <w:noWrap w:val="0"/>
            <w:vAlign w:val="center"/>
          </w:tcPr>
          <w:p w14:paraId="17CCD258">
            <w:pPr>
              <w:rPr>
                <w:rFonts w:hint="eastAsia" w:ascii="仿宋" w:hAnsi="仿宋" w:eastAsia="仿宋" w:cs="仿宋"/>
                <w:color w:val="000000" w:themeColor="text1"/>
                <w:sz w:val="22"/>
                <w:szCs w:val="22"/>
                <w:highlight w:val="none"/>
                <w:lang w:bidi="ar-SA"/>
                <w14:textFill>
                  <w14:solidFill>
                    <w14:schemeClr w14:val="tx1"/>
                  </w14:solidFill>
                </w14:textFill>
              </w:rPr>
            </w:pPr>
          </w:p>
        </w:tc>
        <w:tc>
          <w:tcPr>
            <w:tcW w:w="8593" w:type="dxa"/>
            <w:noWrap w:val="0"/>
            <w:vAlign w:val="center"/>
          </w:tcPr>
          <w:p w14:paraId="49B89F17">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val="en-US" w:eastAsia="zh-CN" w:bidi="ar-SA"/>
                <w14:textFill>
                  <w14:solidFill>
                    <w14:schemeClr w14:val="tx1"/>
                  </w14:solidFill>
                </w14:textFill>
              </w:rPr>
              <w:t>1.</w:t>
            </w:r>
            <w:r>
              <w:rPr>
                <w:rFonts w:hint="eastAsia" w:ascii="仿宋" w:hAnsi="仿宋" w:eastAsia="仿宋" w:cs="仿宋"/>
                <w:b/>
                <w:bCs/>
                <w:color w:val="000000" w:themeColor="text1"/>
                <w:sz w:val="22"/>
                <w:szCs w:val="22"/>
                <w:highlight w:val="none"/>
                <w:lang w:bidi="ar-SA"/>
                <w14:textFill>
                  <w14:solidFill>
                    <w14:schemeClr w14:val="tx1"/>
                  </w14:solidFill>
                </w14:textFill>
              </w:rPr>
              <w:t>工程条件</w:t>
            </w:r>
          </w:p>
          <w:p w14:paraId="3CDA5D00">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1.1</w:t>
            </w:r>
            <w:r>
              <w:rPr>
                <w:rFonts w:hint="eastAsia" w:ascii="仿宋" w:hAnsi="仿宋" w:eastAsia="仿宋" w:cs="仿宋"/>
                <w:color w:val="000000" w:themeColor="text1"/>
                <w:sz w:val="22"/>
                <w:szCs w:val="22"/>
                <w:highlight w:val="none"/>
                <w:lang w:bidi="ar-SA"/>
                <w14:textFill>
                  <w14:solidFill>
                    <w14:schemeClr w14:val="tx1"/>
                  </w14:solidFill>
                </w14:textFill>
              </w:rPr>
              <w:t>现场具备施工条件。</w:t>
            </w:r>
          </w:p>
          <w:p w14:paraId="3F90B762">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1.2</w:t>
            </w:r>
            <w:r>
              <w:rPr>
                <w:rFonts w:hint="eastAsia" w:ascii="仿宋" w:hAnsi="仿宋" w:eastAsia="仿宋" w:cs="仿宋"/>
                <w:color w:val="000000" w:themeColor="text1"/>
                <w:sz w:val="22"/>
                <w:szCs w:val="22"/>
                <w:highlight w:val="none"/>
                <w:lang w:bidi="ar-SA"/>
                <w14:textFill>
                  <w14:solidFill>
                    <w14:schemeClr w14:val="tx1"/>
                  </w14:solidFill>
                </w14:textFill>
              </w:rPr>
              <w:t>人员、材料、设备全部由施工方自行负责。</w:t>
            </w:r>
          </w:p>
          <w:p w14:paraId="25CA4E8A">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1.3</w:t>
            </w:r>
            <w:r>
              <w:rPr>
                <w:rFonts w:hint="eastAsia" w:ascii="仿宋" w:hAnsi="仿宋" w:eastAsia="仿宋" w:cs="仿宋"/>
                <w:color w:val="000000" w:themeColor="text1"/>
                <w:sz w:val="22"/>
                <w:szCs w:val="22"/>
                <w:highlight w:val="none"/>
                <w:lang w:bidi="ar-SA"/>
                <w14:textFill>
                  <w14:solidFill>
                    <w14:schemeClr w14:val="tx1"/>
                  </w14:solidFill>
                </w14:textFill>
              </w:rPr>
              <w:t>水、电设施齐全。</w:t>
            </w:r>
          </w:p>
          <w:p w14:paraId="67FDA7A9">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2"/>
                <w:szCs w:val="22"/>
                <w:highlight w:val="none"/>
                <w:lang w:val="en-US" w:eastAsia="zh-CN" w:bidi="ar-SA"/>
                <w14:textFill>
                  <w14:solidFill>
                    <w14:schemeClr w14:val="tx1"/>
                  </w14:solidFill>
                </w14:textFill>
              </w:rPr>
              <w:t>2.工程内容及说明</w:t>
            </w:r>
          </w:p>
          <w:p w14:paraId="318F0739">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2.1</w:t>
            </w:r>
            <w:r>
              <w:rPr>
                <w:rFonts w:hint="eastAsia" w:ascii="仿宋" w:hAnsi="仿宋" w:eastAsia="仿宋" w:cs="仿宋"/>
                <w:color w:val="000000" w:themeColor="text1"/>
                <w:sz w:val="22"/>
                <w:szCs w:val="22"/>
                <w:highlight w:val="none"/>
                <w:lang w:bidi="ar-SA"/>
                <w14:textFill>
                  <w14:solidFill>
                    <w14:schemeClr w14:val="tx1"/>
                  </w14:solidFill>
                </w14:textFill>
              </w:rPr>
              <w:t>工程</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内容</w:t>
            </w:r>
          </w:p>
          <w:p w14:paraId="42619385">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（1）3号公寓楼总面积：7235㎡，共222间宿舍内部更换照明灯具及开关插座、墙面粉刷、阳台墙面及地面翻新维修、卫生间墙面及地面翻新维修、重</w:t>
            </w:r>
            <w:r>
              <w:rPr>
                <w:rFonts w:hint="eastAsia" w:ascii="仿宋" w:hAnsi="仿宋" w:eastAsia="仿宋" w:cs="仿宋"/>
                <w:color w:val="000000" w:themeColor="text1"/>
                <w:sz w:val="22"/>
                <w:szCs w:val="22"/>
                <w:highlight w:val="none"/>
                <w:lang w:eastAsia="zh-CN" w:bidi="ar-SA"/>
                <w14:textFill>
                  <w14:solidFill>
                    <w14:schemeClr w14:val="tx1"/>
                  </w14:solidFill>
                </w14:textFill>
              </w:rPr>
              <w:t>做</w:t>
            </w:r>
            <w:r>
              <w:rPr>
                <w:rFonts w:hint="eastAsia" w:ascii="仿宋" w:hAnsi="仿宋" w:eastAsia="仿宋" w:cs="仿宋"/>
                <w:color w:val="000000" w:themeColor="text1"/>
                <w:sz w:val="22"/>
                <w:szCs w:val="22"/>
                <w:highlight w:val="none"/>
                <w:lang w:bidi="ar-SA"/>
                <w14:textFill>
                  <w14:solidFill>
                    <w14:schemeClr w14:val="tx1"/>
                  </w14:solidFill>
                </w14:textFill>
              </w:rPr>
              <w:t>防水、更换</w:t>
            </w:r>
            <w:r>
              <w:rPr>
                <w:rFonts w:hint="eastAsia" w:ascii="仿宋" w:hAnsi="仿宋" w:eastAsia="仿宋" w:cs="仿宋"/>
                <w:color w:val="000000" w:themeColor="text1"/>
                <w:sz w:val="22"/>
                <w:szCs w:val="22"/>
                <w:highlight w:val="none"/>
                <w:lang w:eastAsia="zh-CN" w:bidi="ar-SA"/>
                <w14:textFill>
                  <w14:solidFill>
                    <w14:schemeClr w14:val="tx1"/>
                  </w14:solidFill>
                </w14:textFill>
              </w:rPr>
              <w:t>洁具</w:t>
            </w:r>
            <w:r>
              <w:rPr>
                <w:rFonts w:hint="eastAsia" w:ascii="仿宋" w:hAnsi="仿宋" w:eastAsia="仿宋" w:cs="仿宋"/>
                <w:color w:val="000000" w:themeColor="text1"/>
                <w:sz w:val="22"/>
                <w:szCs w:val="22"/>
                <w:highlight w:val="none"/>
                <w:lang w:bidi="ar-SA"/>
                <w14:textFill>
                  <w14:solidFill>
                    <w14:schemeClr w14:val="tx1"/>
                  </w14:solidFill>
                </w14:textFill>
              </w:rPr>
              <w:t>、架子床喷漆及维修；5间公共卫生间墙面、顶面、地面维修改造，</w:t>
            </w:r>
            <w:r>
              <w:rPr>
                <w:rFonts w:hint="eastAsia" w:ascii="仿宋" w:hAnsi="仿宋" w:eastAsia="仿宋" w:cs="仿宋"/>
                <w:color w:val="000000" w:themeColor="text1"/>
                <w:sz w:val="22"/>
                <w:szCs w:val="22"/>
                <w:highlight w:val="none"/>
                <w:lang w:eastAsia="zh-CN" w:bidi="ar-SA"/>
                <w14:textFill>
                  <w14:solidFill>
                    <w14:schemeClr w14:val="tx1"/>
                  </w14:solidFill>
                </w14:textFill>
              </w:rPr>
              <w:t>洁具</w:t>
            </w:r>
            <w:r>
              <w:rPr>
                <w:rFonts w:hint="eastAsia" w:ascii="仿宋" w:hAnsi="仿宋" w:eastAsia="仿宋" w:cs="仿宋"/>
                <w:color w:val="000000" w:themeColor="text1"/>
                <w:sz w:val="22"/>
                <w:szCs w:val="22"/>
                <w:highlight w:val="none"/>
                <w:lang w:bidi="ar-SA"/>
                <w14:textFill>
                  <w14:solidFill>
                    <w14:schemeClr w14:val="tx1"/>
                  </w14:solidFill>
                </w14:textFill>
              </w:rPr>
              <w:t>及隔断更换或利旧；一楼门厅吊顶等；</w:t>
            </w:r>
          </w:p>
          <w:p w14:paraId="6960970D">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（2）4号公寓楼总面积：7262㎡，共222间宿舍内部更换照明灯具及开关插座、墙面粉刷、阳台墙面及地面翻新维修、卫生间墙面及地面翻新维修、重</w:t>
            </w:r>
            <w:r>
              <w:rPr>
                <w:rFonts w:hint="eastAsia" w:ascii="仿宋" w:hAnsi="仿宋" w:eastAsia="仿宋" w:cs="仿宋"/>
                <w:color w:val="000000" w:themeColor="text1"/>
                <w:sz w:val="22"/>
                <w:szCs w:val="22"/>
                <w:highlight w:val="none"/>
                <w:lang w:eastAsia="zh-CN" w:bidi="ar-SA"/>
                <w14:textFill>
                  <w14:solidFill>
                    <w14:schemeClr w14:val="tx1"/>
                  </w14:solidFill>
                </w14:textFill>
              </w:rPr>
              <w:t>做</w:t>
            </w:r>
            <w:r>
              <w:rPr>
                <w:rFonts w:hint="eastAsia" w:ascii="仿宋" w:hAnsi="仿宋" w:eastAsia="仿宋" w:cs="仿宋"/>
                <w:color w:val="000000" w:themeColor="text1"/>
                <w:sz w:val="22"/>
                <w:szCs w:val="22"/>
                <w:highlight w:val="none"/>
                <w:lang w:bidi="ar-SA"/>
                <w14:textFill>
                  <w14:solidFill>
                    <w14:schemeClr w14:val="tx1"/>
                  </w14:solidFill>
                </w14:textFill>
              </w:rPr>
              <w:t>防水、更换</w:t>
            </w:r>
            <w:r>
              <w:rPr>
                <w:rFonts w:hint="eastAsia" w:ascii="仿宋" w:hAnsi="仿宋" w:eastAsia="仿宋" w:cs="仿宋"/>
                <w:color w:val="000000" w:themeColor="text1"/>
                <w:sz w:val="22"/>
                <w:szCs w:val="22"/>
                <w:highlight w:val="none"/>
                <w:lang w:eastAsia="zh-CN" w:bidi="ar-SA"/>
                <w14:textFill>
                  <w14:solidFill>
                    <w14:schemeClr w14:val="tx1"/>
                  </w14:solidFill>
                </w14:textFill>
              </w:rPr>
              <w:t>洁具</w:t>
            </w:r>
            <w:r>
              <w:rPr>
                <w:rFonts w:hint="eastAsia" w:ascii="仿宋" w:hAnsi="仿宋" w:eastAsia="仿宋" w:cs="仿宋"/>
                <w:color w:val="000000" w:themeColor="text1"/>
                <w:sz w:val="22"/>
                <w:szCs w:val="22"/>
                <w:highlight w:val="none"/>
                <w:lang w:bidi="ar-SA"/>
                <w14:textFill>
                  <w14:solidFill>
                    <w14:schemeClr w14:val="tx1"/>
                  </w14:solidFill>
                </w14:textFill>
              </w:rPr>
              <w:t>、架子床喷漆及维修；5间公共卫生间墙面、顶面、地面维修改造，</w:t>
            </w:r>
            <w:r>
              <w:rPr>
                <w:rFonts w:hint="eastAsia" w:ascii="仿宋" w:hAnsi="仿宋" w:eastAsia="仿宋" w:cs="仿宋"/>
                <w:color w:val="000000" w:themeColor="text1"/>
                <w:sz w:val="22"/>
                <w:szCs w:val="22"/>
                <w:highlight w:val="none"/>
                <w:lang w:eastAsia="zh-CN" w:bidi="ar-SA"/>
                <w14:textFill>
                  <w14:solidFill>
                    <w14:schemeClr w14:val="tx1"/>
                  </w14:solidFill>
                </w14:textFill>
              </w:rPr>
              <w:t>洁具</w:t>
            </w:r>
            <w:r>
              <w:rPr>
                <w:rFonts w:hint="eastAsia" w:ascii="仿宋" w:hAnsi="仿宋" w:eastAsia="仿宋" w:cs="仿宋"/>
                <w:color w:val="000000" w:themeColor="text1"/>
                <w:sz w:val="22"/>
                <w:szCs w:val="22"/>
                <w:highlight w:val="none"/>
                <w:lang w:bidi="ar-SA"/>
                <w14:textFill>
                  <w14:solidFill>
                    <w14:schemeClr w14:val="tx1"/>
                  </w14:solidFill>
                </w14:textFill>
              </w:rPr>
              <w:t>及隔断更换或利旧；一楼门厅吊顶等；</w:t>
            </w:r>
          </w:p>
          <w:p w14:paraId="4BF0F3AB">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（3）对3、4号公寓楼西立面瓷砖脱落进行维修（铲除原有瓷砖及保温，新做保温、真石漆），合计外立面维修约800㎡。</w:t>
            </w:r>
          </w:p>
          <w:p w14:paraId="77C5B25B">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2.2</w:t>
            </w:r>
            <w:r>
              <w:rPr>
                <w:rFonts w:hint="eastAsia" w:ascii="仿宋" w:hAnsi="仿宋" w:eastAsia="仿宋" w:cs="仿宋"/>
                <w:color w:val="000000" w:themeColor="text1"/>
                <w:sz w:val="22"/>
                <w:szCs w:val="22"/>
                <w:highlight w:val="none"/>
                <w:lang w:bidi="ar-SA"/>
                <w14:textFill>
                  <w14:solidFill>
                    <w14:schemeClr w14:val="tx1"/>
                  </w14:solidFill>
                </w14:textFill>
              </w:rPr>
              <w:t>工程量清单</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及说明</w:t>
            </w:r>
          </w:p>
          <w:p w14:paraId="0B8263D7">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(1)</w:t>
            </w:r>
            <w:r>
              <w:rPr>
                <w:rFonts w:hint="eastAsia" w:ascii="仿宋" w:hAnsi="仿宋" w:eastAsia="仿宋" w:cs="仿宋"/>
                <w:color w:val="000000" w:themeColor="text1"/>
                <w:sz w:val="22"/>
                <w:szCs w:val="22"/>
                <w:highlight w:val="none"/>
                <w:lang w:bidi="ar-SA"/>
                <w14:textFill>
                  <w14:solidFill>
                    <w14:schemeClr w14:val="tx1"/>
                  </w14:solidFill>
                </w14:textFill>
              </w:rPr>
              <w:t>工程量清单</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及编制依据</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另册，详见附件广联达电子招标书。。</w:t>
            </w:r>
          </w:p>
          <w:p w14:paraId="22A0E2AB">
            <w:pPr>
              <w:pStyle w:val="5"/>
              <w:keepNext w:val="0"/>
              <w:keepLines w:val="0"/>
              <w:pageBreakBefore w:val="0"/>
              <w:kinsoku/>
              <w:wordWrap/>
              <w:overflowPunct/>
              <w:topLinePunct w:val="0"/>
              <w:autoSpaceDE/>
              <w:autoSpaceDN/>
              <w:adjustRightInd/>
              <w:snapToGrid/>
              <w:ind w:firstLine="220" w:firstLineChars="100"/>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(2)暂列金额、专业工程暂估价、暂估单价等:暂列金65000.00元</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投标人</w:t>
            </w:r>
            <w:r>
              <w:rPr>
                <w:rFonts w:hint="eastAsia" w:ascii="仿宋" w:hAnsi="仿宋" w:eastAsia="仿宋" w:cs="仿宋"/>
                <w:color w:val="000000" w:themeColor="text1"/>
                <w:sz w:val="22"/>
                <w:szCs w:val="22"/>
                <w:highlight w:val="none"/>
                <w:lang w:eastAsia="zh-CN" w:bidi="ar-SA"/>
                <w14:textFill>
                  <w14:solidFill>
                    <w14:schemeClr w14:val="tx1"/>
                  </w14:solidFill>
                </w14:textFill>
              </w:rPr>
              <w:t>报价时应当按照招标文件中规定进行报价，否则将按无效</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w:t>
            </w:r>
            <w:r>
              <w:rPr>
                <w:rFonts w:hint="eastAsia" w:ascii="仿宋" w:hAnsi="仿宋" w:eastAsia="仿宋" w:cs="仿宋"/>
                <w:color w:val="000000" w:themeColor="text1"/>
                <w:sz w:val="22"/>
                <w:szCs w:val="22"/>
                <w:highlight w:val="none"/>
                <w:lang w:eastAsia="zh-CN" w:bidi="ar-SA"/>
                <w14:textFill>
                  <w14:solidFill>
                    <w14:schemeClr w14:val="tx1"/>
                  </w14:solidFill>
                </w14:textFill>
              </w:rPr>
              <w:t>处理</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w:t>
            </w:r>
          </w:p>
          <w:p w14:paraId="753269EF">
            <w:pPr>
              <w:pStyle w:val="5"/>
              <w:keepNext w:val="0"/>
              <w:keepLines w:val="0"/>
              <w:pageBreakBefore w:val="0"/>
              <w:kinsoku/>
              <w:wordWrap/>
              <w:overflowPunct/>
              <w:topLinePunct w:val="0"/>
              <w:autoSpaceDE/>
              <w:autoSpaceDN/>
              <w:adjustRightInd/>
              <w:snapToGrid/>
              <w:ind w:firstLine="220" w:firstLineChars="100"/>
              <w:rPr>
                <w:rFonts w:hint="eastAsia" w:ascii="仿宋" w:hAnsi="仿宋" w:eastAsia="仿宋" w:cs="仿宋"/>
                <w:color w:val="000000" w:themeColor="text1"/>
                <w:sz w:val="22"/>
                <w:szCs w:val="22"/>
                <w:highlight w:val="none"/>
                <w:u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u w:val="none"/>
                <w:lang w:eastAsia="zh-CN" w:bidi="ar-SA"/>
                <w14:textFill>
                  <w14:solidFill>
                    <w14:schemeClr w14:val="tx1"/>
                  </w14:solidFill>
                </w14:textFill>
              </w:rPr>
              <w:t>（3）本次项目所有涂料墙面改造工程量范围：铲墙面按总量5%计算，新做按5%全部重做，95%喷乳胶面漆一遍计入；所有涂料天棚（除1层门厅，1-5层走廊）改造工程量范围：铲天棚按总量5%计算，新做按5%全部重做，95%喷乳胶面漆一遍计入。</w:t>
            </w:r>
          </w:p>
          <w:p w14:paraId="4C1031EE">
            <w:pPr>
              <w:pStyle w:val="5"/>
              <w:keepNext w:val="0"/>
              <w:keepLines w:val="0"/>
              <w:pageBreakBefore w:val="0"/>
              <w:kinsoku/>
              <w:wordWrap/>
              <w:overflowPunct/>
              <w:topLinePunct w:val="0"/>
              <w:autoSpaceDE/>
              <w:autoSpaceDN/>
              <w:adjustRightInd/>
              <w:snapToGrid/>
              <w:ind w:firstLine="220" w:firstLineChars="100"/>
              <w:rPr>
                <w:rFonts w:hint="eastAsia" w:ascii="仿宋" w:hAnsi="仿宋" w:eastAsia="仿宋" w:cs="仿宋"/>
                <w:color w:val="000000" w:themeColor="text1"/>
                <w:sz w:val="22"/>
                <w:szCs w:val="22"/>
                <w:highlight w:val="none"/>
                <w:u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u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u w:val="none"/>
                <w:lang w:val="en-US" w:eastAsia="zh-CN" w:bidi="ar-SA"/>
                <w14:textFill>
                  <w14:solidFill>
                    <w14:schemeClr w14:val="tx1"/>
                  </w14:solidFill>
                </w14:textFill>
              </w:rPr>
              <w:t>4</w:t>
            </w:r>
            <w:r>
              <w:rPr>
                <w:rFonts w:hint="eastAsia" w:ascii="仿宋" w:hAnsi="仿宋" w:eastAsia="仿宋" w:cs="仿宋"/>
                <w:color w:val="000000" w:themeColor="text1"/>
                <w:sz w:val="22"/>
                <w:szCs w:val="22"/>
                <w:highlight w:val="none"/>
                <w:u w:val="none"/>
                <w:lang w:eastAsia="zh-CN" w:bidi="ar-SA"/>
                <w14:textFill>
                  <w14:solidFill>
                    <w14:schemeClr w14:val="tx1"/>
                  </w14:solidFill>
                </w14:textFill>
              </w:rPr>
              <w:t>）因施工导致的排水立管的破损，施工单位自行无偿修复，不增加任何费用。</w:t>
            </w:r>
          </w:p>
          <w:p w14:paraId="1B30CD78">
            <w:pPr>
              <w:pStyle w:val="5"/>
              <w:keepNext w:val="0"/>
              <w:keepLines w:val="0"/>
              <w:pageBreakBefore w:val="0"/>
              <w:kinsoku/>
              <w:wordWrap/>
              <w:overflowPunct/>
              <w:topLinePunct w:val="0"/>
              <w:autoSpaceDE/>
              <w:autoSpaceDN/>
              <w:adjustRightInd/>
              <w:snapToGrid/>
              <w:ind w:firstLine="220" w:firstLineChars="100"/>
              <w:rPr>
                <w:rFonts w:hint="eastAsia" w:ascii="仿宋" w:hAnsi="仿宋" w:eastAsia="仿宋" w:cs="仿宋"/>
                <w:color w:val="000000" w:themeColor="text1"/>
                <w:sz w:val="22"/>
                <w:szCs w:val="22"/>
                <w:highlight w:val="none"/>
                <w:u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u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u w:val="none"/>
                <w:lang w:val="en-US" w:eastAsia="zh-CN" w:bidi="ar-SA"/>
                <w14:textFill>
                  <w14:solidFill>
                    <w14:schemeClr w14:val="tx1"/>
                  </w14:solidFill>
                </w14:textFill>
              </w:rPr>
              <w:t>5</w:t>
            </w:r>
            <w:r>
              <w:rPr>
                <w:rFonts w:hint="eastAsia" w:ascii="仿宋" w:hAnsi="仿宋" w:eastAsia="仿宋" w:cs="仿宋"/>
                <w:color w:val="000000" w:themeColor="text1"/>
                <w:sz w:val="22"/>
                <w:szCs w:val="22"/>
                <w:highlight w:val="none"/>
                <w:u w:val="none"/>
                <w:lang w:eastAsia="zh-CN" w:bidi="ar-SA"/>
                <w14:textFill>
                  <w14:solidFill>
                    <w14:schemeClr w14:val="tx1"/>
                  </w14:solidFill>
                </w14:textFill>
              </w:rPr>
              <w:t>）宿舍阳台灯具、卫生间灯具部分线路短路，需重新布线，施工单位自行考虑。</w:t>
            </w:r>
          </w:p>
          <w:p w14:paraId="6B574C1E">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2"/>
                <w:szCs w:val="22"/>
                <w:highlight w:val="none"/>
                <w:lang w:val="en-US" w:eastAsia="zh-CN" w:bidi="ar-SA"/>
                <w14:textFill>
                  <w14:solidFill>
                    <w14:schemeClr w14:val="tx1"/>
                  </w14:solidFill>
                </w14:textFill>
              </w:rPr>
              <w:t>3.商务要求</w:t>
            </w:r>
          </w:p>
          <w:p w14:paraId="69BFF681">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3.1计划工期：</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30</w:t>
            </w:r>
            <w:r>
              <w:rPr>
                <w:rFonts w:hint="eastAsia" w:ascii="仿宋" w:hAnsi="仿宋" w:eastAsia="仿宋" w:cs="仿宋"/>
                <w:color w:val="000000" w:themeColor="text1"/>
                <w:sz w:val="22"/>
                <w:szCs w:val="22"/>
                <w:highlight w:val="none"/>
                <w:lang w:bidi="ar-SA"/>
                <w14:textFill>
                  <w14:solidFill>
                    <w14:schemeClr w14:val="tx1"/>
                  </w14:solidFill>
                </w14:textFill>
              </w:rPr>
              <w:t>日历天。</w:t>
            </w:r>
          </w:p>
          <w:p w14:paraId="6E47211A">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3.2建设地点：</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西安职业技术学院校本部(</w:t>
            </w:r>
            <w:r>
              <w:rPr>
                <w:rFonts w:hint="eastAsia" w:ascii="仿宋" w:hAnsi="仿宋" w:eastAsia="仿宋" w:cs="仿宋"/>
                <w:color w:val="000000" w:themeColor="text1"/>
                <w:sz w:val="22"/>
                <w:szCs w:val="22"/>
                <w:highlight w:val="none"/>
                <w:lang w:bidi="ar-SA"/>
                <w14:textFill>
                  <w14:solidFill>
                    <w14:schemeClr w14:val="tx1"/>
                  </w14:solidFill>
                </w14:textFill>
              </w:rPr>
              <w:t>按采购人指定地点</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w:t>
            </w:r>
          </w:p>
          <w:p w14:paraId="533475BD">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3.3缺陷责任期:自竣工验收合格之日起2年。</w:t>
            </w:r>
          </w:p>
          <w:p w14:paraId="642FE988">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3.4质量保修期：</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1</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自整体工程验收合格之日起2年</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p>
          <w:p w14:paraId="17370000">
            <w:pPr>
              <w:pStyle w:val="5"/>
              <w:keepNext w:val="0"/>
              <w:keepLines w:val="0"/>
              <w:pageBreakBefore w:val="0"/>
              <w:kinsoku/>
              <w:wordWrap/>
              <w:overflowPunct/>
              <w:topLinePunct w:val="0"/>
              <w:autoSpaceDE/>
              <w:autoSpaceDN/>
              <w:bidi w:val="0"/>
              <w:adjustRightInd/>
              <w:snapToGrid/>
              <w:spacing w:line="240" w:lineRule="auto"/>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2</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其他相关部分工程的质量保修期根据《建设工程质量管理条例》及有关规定执行。</w:t>
            </w:r>
          </w:p>
          <w:p w14:paraId="5870C605">
            <w:pPr>
              <w:pStyle w:val="5"/>
              <w:keepNext w:val="0"/>
              <w:keepLines w:val="0"/>
              <w:pageBreakBefore w:val="0"/>
              <w:kinsoku/>
              <w:wordWrap/>
              <w:overflowPunct/>
              <w:topLinePunct w:val="0"/>
              <w:autoSpaceDE/>
              <w:autoSpaceDN/>
              <w:bidi w:val="0"/>
              <w:adjustRightInd/>
              <w:snapToGrid/>
              <w:spacing w:line="240" w:lineRule="auto"/>
              <w:textAlignment w:val="auto"/>
              <w:rPr>
                <w:rFonts w:hint="eastAsia" w:ascii="仿宋" w:hAnsi="仿宋" w:eastAsia="仿宋" w:cs="仿宋"/>
                <w:b/>
                <w:bCs/>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b/>
                <w:bCs/>
                <w:color w:val="000000" w:themeColor="text1"/>
                <w:sz w:val="22"/>
                <w:szCs w:val="22"/>
                <w:highlight w:val="none"/>
                <w:lang w:val="en-US" w:eastAsia="zh-CN" w:bidi="ar-SA"/>
                <w14:textFill>
                  <w14:solidFill>
                    <w14:schemeClr w14:val="tx1"/>
                  </w14:solidFill>
                </w14:textFill>
              </w:rPr>
              <w:t>4.其他要求或说明</w:t>
            </w:r>
          </w:p>
          <w:p w14:paraId="0BDA3AF5">
            <w:pPr>
              <w:pStyle w:val="5"/>
              <w:keepNext w:val="0"/>
              <w:keepLines w:val="0"/>
              <w:pageBreakBefore w:val="0"/>
              <w:kinsoku/>
              <w:wordWrap/>
              <w:overflowPunct/>
              <w:topLinePunct w:val="0"/>
              <w:snapToGrid/>
              <w:ind w:firstLine="440" w:firstLineChars="200"/>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4.1</w:t>
            </w:r>
            <w:r>
              <w:rPr>
                <w:rFonts w:hint="eastAsia" w:ascii="仿宋" w:hAnsi="仿宋" w:eastAsia="仿宋" w:cs="仿宋"/>
                <w:snapToGrid w:val="0"/>
                <w:color w:val="000000" w:themeColor="text1"/>
                <w:sz w:val="22"/>
                <w:szCs w:val="22"/>
                <w:highlight w:val="none"/>
                <w:u w:val="none"/>
                <w:lang w:val="en-US" w:eastAsia="en-US" w:bidi="ar-SA"/>
                <w14:textFill>
                  <w14:solidFill>
                    <w14:schemeClr w14:val="tx1"/>
                  </w14:solidFill>
                </w14:textFill>
              </w:rPr>
              <w:t>本项目包工包料、包机械设备、包质量、包安全、包工期、包文明施工、包施工措施（含西外立面维修措施费）、包赶工、包报审、包协调、包竣工验收、包保险、包保修、包自负盈亏、包检验试验、包成品保护、包竣工清理及消纳、包室内空气质量检测等。</w:t>
            </w:r>
            <w:r>
              <w:rPr>
                <w:rFonts w:hint="eastAsia" w:ascii="仿宋" w:hAnsi="仿宋" w:eastAsia="仿宋" w:cs="仿宋"/>
                <w:snapToGrid w:val="0"/>
                <w:color w:val="000000" w:themeColor="text1"/>
                <w:sz w:val="22"/>
                <w:szCs w:val="22"/>
                <w:highlight w:val="none"/>
                <w:u w:val="none"/>
                <w:lang w:val="en-US" w:eastAsia="zh-CN" w:bidi="ar-SA"/>
                <w14:textFill>
                  <w14:solidFill>
                    <w14:schemeClr w14:val="tx1"/>
                  </w14:solidFill>
                </w14:textFill>
              </w:rPr>
              <w:t>投标人</w:t>
            </w:r>
            <w:r>
              <w:rPr>
                <w:rFonts w:hint="eastAsia" w:ascii="仿宋" w:hAnsi="仿宋" w:eastAsia="仿宋" w:cs="仿宋"/>
                <w:snapToGrid w:val="0"/>
                <w:color w:val="000000" w:themeColor="text1"/>
                <w:sz w:val="22"/>
                <w:szCs w:val="22"/>
                <w:highlight w:val="none"/>
                <w:u w:val="none"/>
                <w:lang w:eastAsia="en-US" w:bidi="ar-SA"/>
                <w14:textFill>
                  <w14:solidFill>
                    <w14:schemeClr w14:val="tx1"/>
                  </w14:solidFill>
                </w14:textFill>
              </w:rPr>
              <w:t>报价是在详细审查招标图纸、技术规范及</w:t>
            </w:r>
            <w:r>
              <w:rPr>
                <w:rFonts w:hint="eastAsia" w:ascii="仿宋" w:hAnsi="仿宋" w:eastAsia="仿宋" w:cs="仿宋"/>
                <w:snapToGrid w:val="0"/>
                <w:color w:val="000000" w:themeColor="text1"/>
                <w:sz w:val="22"/>
                <w:szCs w:val="22"/>
                <w:highlight w:val="none"/>
                <w:u w:val="none"/>
                <w:lang w:val="en-US" w:eastAsia="en-US" w:bidi="ar-SA"/>
                <w14:textFill>
                  <w14:solidFill>
                    <w14:schemeClr w14:val="tx1"/>
                  </w14:solidFill>
                </w14:textFill>
              </w:rPr>
              <w:t>采购</w:t>
            </w:r>
            <w:r>
              <w:rPr>
                <w:rFonts w:hint="eastAsia" w:ascii="仿宋" w:hAnsi="仿宋" w:eastAsia="仿宋" w:cs="仿宋"/>
                <w:snapToGrid w:val="0"/>
                <w:color w:val="000000" w:themeColor="text1"/>
                <w:sz w:val="22"/>
                <w:szCs w:val="22"/>
                <w:highlight w:val="none"/>
                <w:u w:val="none"/>
                <w:lang w:eastAsia="en-US" w:bidi="ar-SA"/>
                <w14:textFill>
                  <w14:solidFill>
                    <w14:schemeClr w14:val="tx1"/>
                  </w14:solidFill>
                </w14:textFill>
              </w:rPr>
              <w:t>人提供的工程量清单的基础上编制的，</w:t>
            </w:r>
            <w:r>
              <w:rPr>
                <w:rFonts w:hint="eastAsia" w:ascii="仿宋" w:hAnsi="仿宋" w:eastAsia="仿宋" w:cs="仿宋"/>
                <w:snapToGrid w:val="0"/>
                <w:color w:val="000000" w:themeColor="text1"/>
                <w:sz w:val="22"/>
                <w:szCs w:val="22"/>
                <w:highlight w:val="none"/>
                <w:u w:val="none"/>
                <w:lang w:val="en-US" w:eastAsia="zh-CN" w:bidi="ar-SA"/>
                <w14:textFill>
                  <w14:solidFill>
                    <w14:schemeClr w14:val="tx1"/>
                  </w14:solidFill>
                </w14:textFill>
              </w:rPr>
              <w:t>投标人</w:t>
            </w:r>
            <w:r>
              <w:rPr>
                <w:rFonts w:hint="eastAsia" w:ascii="仿宋" w:hAnsi="仿宋" w:eastAsia="仿宋" w:cs="仿宋"/>
                <w:snapToGrid w:val="0"/>
                <w:color w:val="000000" w:themeColor="text1"/>
                <w:sz w:val="22"/>
                <w:szCs w:val="22"/>
                <w:highlight w:val="none"/>
                <w:u w:val="none"/>
                <w:lang w:eastAsia="en-US" w:bidi="ar-SA"/>
                <w14:textFill>
                  <w14:solidFill>
                    <w14:schemeClr w14:val="tx1"/>
                  </w14:solidFill>
                </w14:textFill>
              </w:rPr>
              <w:t>已对工程量</w:t>
            </w:r>
            <w:r>
              <w:rPr>
                <w:rFonts w:hint="eastAsia" w:ascii="仿宋" w:hAnsi="仿宋" w:eastAsia="仿宋" w:cs="仿宋"/>
                <w:snapToGrid w:val="0"/>
                <w:color w:val="000000" w:themeColor="text1"/>
                <w:sz w:val="22"/>
                <w:szCs w:val="22"/>
                <w:highlight w:val="none"/>
                <w:u w:val="none"/>
                <w:lang w:val="en-US" w:eastAsia="en-US" w:bidi="ar-SA"/>
                <w14:textFill>
                  <w14:solidFill>
                    <w14:schemeClr w14:val="tx1"/>
                  </w14:solidFill>
                </w14:textFill>
              </w:rPr>
              <w:t>清单</w:t>
            </w:r>
            <w:r>
              <w:rPr>
                <w:rFonts w:hint="eastAsia" w:ascii="仿宋" w:hAnsi="仿宋" w:eastAsia="仿宋" w:cs="仿宋"/>
                <w:snapToGrid w:val="0"/>
                <w:color w:val="000000" w:themeColor="text1"/>
                <w:sz w:val="22"/>
                <w:szCs w:val="22"/>
                <w:highlight w:val="none"/>
                <w:u w:val="none"/>
                <w:lang w:eastAsia="en-US" w:bidi="ar-SA"/>
                <w14:textFill>
                  <w14:solidFill>
                    <w14:schemeClr w14:val="tx1"/>
                  </w14:solidFill>
                </w14:textFill>
              </w:rPr>
              <w:t>的准确性以及其与招标图纸的一致性进行了复核。</w:t>
            </w:r>
            <w:r>
              <w:rPr>
                <w:rFonts w:hint="eastAsia" w:ascii="仿宋" w:hAnsi="仿宋" w:eastAsia="仿宋" w:cs="仿宋"/>
                <w:snapToGrid w:val="0"/>
                <w:color w:val="000000" w:themeColor="text1"/>
                <w:sz w:val="22"/>
                <w:szCs w:val="22"/>
                <w:highlight w:val="none"/>
                <w:u w:val="none"/>
                <w:lang w:val="en-US" w:eastAsia="zh-CN" w:bidi="ar-SA"/>
                <w14:textFill>
                  <w14:solidFill>
                    <w14:schemeClr w14:val="tx1"/>
                  </w14:solidFill>
                </w14:textFill>
              </w:rPr>
              <w:t>投标人</w:t>
            </w:r>
            <w:r>
              <w:rPr>
                <w:rFonts w:hint="eastAsia" w:ascii="仿宋" w:hAnsi="仿宋" w:eastAsia="仿宋" w:cs="仿宋"/>
                <w:snapToGrid w:val="0"/>
                <w:color w:val="000000" w:themeColor="text1"/>
                <w:sz w:val="22"/>
                <w:szCs w:val="22"/>
                <w:highlight w:val="none"/>
                <w:u w:val="none"/>
                <w:lang w:eastAsia="en-US" w:bidi="ar-SA"/>
                <w14:textFill>
                  <w14:solidFill>
                    <w14:schemeClr w14:val="tx1"/>
                  </w14:solidFill>
                </w14:textFill>
              </w:rPr>
              <w:t>的合同总价应被视为已包含了施工图纸、技术规范和要求所指示的全部工作内容，以及为完成该等工作所必需的所有附带工作，无论该等工作内容是否在</w:t>
            </w:r>
            <w:r>
              <w:rPr>
                <w:rFonts w:hint="eastAsia" w:ascii="仿宋" w:hAnsi="仿宋" w:eastAsia="仿宋" w:cs="仿宋"/>
                <w:snapToGrid w:val="0"/>
                <w:color w:val="000000" w:themeColor="text1"/>
                <w:sz w:val="22"/>
                <w:szCs w:val="22"/>
                <w:highlight w:val="none"/>
                <w:u w:val="none"/>
                <w:lang w:val="en-US" w:eastAsia="en-US" w:bidi="ar-SA"/>
                <w14:textFill>
                  <w14:solidFill>
                    <w14:schemeClr w14:val="tx1"/>
                  </w14:solidFill>
                </w14:textFill>
              </w:rPr>
              <w:t>工程量清单</w:t>
            </w:r>
            <w:r>
              <w:rPr>
                <w:rFonts w:hint="eastAsia" w:ascii="仿宋" w:hAnsi="仿宋" w:eastAsia="仿宋" w:cs="仿宋"/>
                <w:snapToGrid w:val="0"/>
                <w:color w:val="000000" w:themeColor="text1"/>
                <w:sz w:val="22"/>
                <w:szCs w:val="22"/>
                <w:highlight w:val="none"/>
                <w:u w:val="none"/>
                <w:lang w:eastAsia="en-US" w:bidi="ar-SA"/>
                <w14:textFill>
                  <w14:solidFill>
                    <w14:schemeClr w14:val="tx1"/>
                  </w14:solidFill>
                </w14:textFill>
              </w:rPr>
              <w:t>中列明。</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投标人的投标报价包括施工费、人工费、管理费、材料与设备费、安装费、维护费、保险费、采购代理费、税金、利润、政策性规费等所有费用，并符合建设工程计价规则。</w:t>
            </w:r>
          </w:p>
          <w:p w14:paraId="797843FA">
            <w:pPr>
              <w:keepNext w:val="0"/>
              <w:keepLines w:val="0"/>
              <w:pageBreakBefore w:val="0"/>
              <w:kinsoku/>
              <w:wordWrap/>
              <w:overflowPunct/>
              <w:topLinePunct w:val="0"/>
              <w:autoSpaceDE/>
              <w:autoSpaceDN/>
              <w:adjustRightInd/>
              <w:snapToGrid/>
              <w:ind w:firstLine="220" w:firstLineChars="1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4.</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2</w:t>
            </w:r>
            <w:r>
              <w:rPr>
                <w:rFonts w:hint="eastAsia" w:ascii="仿宋" w:hAnsi="仿宋" w:eastAsia="仿宋" w:cs="仿宋"/>
                <w:color w:val="000000" w:themeColor="text1"/>
                <w:sz w:val="22"/>
                <w:szCs w:val="22"/>
                <w:highlight w:val="none"/>
                <w:lang w:bidi="ar-SA"/>
                <w14:textFill>
                  <w14:solidFill>
                    <w14:schemeClr w14:val="tx1"/>
                  </w14:solidFill>
                </w14:textFill>
              </w:rPr>
              <w:t>本项目所属行业</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为：</w:t>
            </w:r>
            <w:r>
              <w:rPr>
                <w:rFonts w:hint="eastAsia" w:ascii="仿宋" w:hAnsi="仿宋" w:eastAsia="仿宋" w:cs="仿宋"/>
                <w:color w:val="000000" w:themeColor="text1"/>
                <w:sz w:val="22"/>
                <w:szCs w:val="22"/>
                <w:highlight w:val="none"/>
                <w:lang w:bidi="ar-SA"/>
                <w14:textFill>
                  <w14:solidFill>
                    <w14:schemeClr w14:val="tx1"/>
                  </w14:solidFill>
                </w14:textFill>
              </w:rPr>
              <w:t>建筑业，划型标准为：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tc>
      </w:tr>
    </w:tbl>
    <w:p w14:paraId="7DD56230">
      <w:pPr>
        <w:pStyle w:val="5"/>
        <w:keepNext w:val="0"/>
        <w:keepLines w:val="0"/>
        <w:pageBreakBefore w:val="0"/>
        <w:widowControl/>
        <w:kinsoku/>
        <w:wordWrap/>
        <w:overflowPunct/>
        <w:topLinePunct w:val="0"/>
        <w:autoSpaceDE/>
        <w:autoSpaceDN/>
        <w:bidi w:val="0"/>
        <w:adjustRightInd/>
        <w:snapToGrid/>
        <w:spacing w:line="300" w:lineRule="auto"/>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二、投标人针对本项目的施工，必须达到国家及行业现行技术规范标准，符合国家及行业验收合格标准：</w:t>
      </w:r>
    </w:p>
    <w:p w14:paraId="11E41A9D">
      <w:pPr>
        <w:keepNext w:val="0"/>
        <w:keepLines w:val="0"/>
        <w:pageBreakBefore w:val="0"/>
        <w:widowControl/>
        <w:kinsoku w:val="0"/>
        <w:wordWrap/>
        <w:overflowPunct/>
        <w:topLinePunct w:val="0"/>
        <w:autoSpaceDE w:val="0"/>
        <w:autoSpaceDN w:val="0"/>
        <w:bidi w:val="0"/>
        <w:spacing w:line="300" w:lineRule="auto"/>
        <w:ind w:left="17"/>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pacing w:val="-3"/>
          <w:sz w:val="22"/>
          <w:szCs w:val="22"/>
          <w:highlight w:val="none"/>
          <w:lang w:bidi="ar-SA"/>
          <w14:textFill>
            <w14:solidFill>
              <w14:schemeClr w14:val="tx1"/>
            </w14:solidFill>
          </w14:textFill>
        </w:rPr>
        <w:t>采购包1：</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一</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质量要求：达到国家及行业现行建设工程施工质量验收规范及采购人要求的“合格”标准。</w:t>
      </w:r>
    </w:p>
    <w:p w14:paraId="3AB9C80C">
      <w:pPr>
        <w:pStyle w:val="5"/>
        <w:keepNext w:val="0"/>
        <w:keepLines w:val="0"/>
        <w:pageBreakBefore w:val="0"/>
        <w:widowControl/>
        <w:kinsoku/>
        <w:wordWrap/>
        <w:overflowPunct/>
        <w:topLinePunct w:val="0"/>
        <w:autoSpaceDE/>
        <w:autoSpaceDN/>
        <w:bidi w:val="0"/>
        <w:adjustRightInd/>
        <w:snapToGrid/>
        <w:spacing w:line="300" w:lineRule="auto"/>
        <w:ind w:firstLine="440" w:firstLineChars="2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二</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质量标准或规范：①符合《绿色建筑和绿色建材政府采购需求标准》《建筑工程施工质量验收统一标准》GB50300-2013等相关国家及行业标准；②本工程的施工过程和成果必须符合国家有关工程建设标准强制性条文和国家或有关部门关于工程承包方面现行的标准、规范、规程、定额、办法、示例，以及陕西省关于工程承包方面的文件、规定；③承包人在施工过程中使用或参考上述标准、规范以外的技术标准、规范时，应征得采购人或采购人指定代表人的同意；④在施工过程中，如果国家或有关部门颁布了新的技术标准或规范，则承包人应采用新的标准或规范进行施工；⑤承包人按《建筑工程施工质量验收统一标准》GB50300-2013及国家、陕西省、西安市相关规定，完成验收后，进行工程竣工验收。凡涉及的相关规范，国家有最新标准的以最新标准为准，所有标准哪个标准高执行哪个标准</w:t>
      </w:r>
    </w:p>
    <w:p w14:paraId="10BE725E">
      <w:pPr>
        <w:pStyle w:val="5"/>
        <w:keepNext w:val="0"/>
        <w:keepLines w:val="0"/>
        <w:pageBreakBefore w:val="0"/>
        <w:widowControl/>
        <w:kinsoku/>
        <w:wordWrap/>
        <w:overflowPunct/>
        <w:topLinePunct w:val="0"/>
        <w:autoSpaceDE/>
        <w:autoSpaceDN/>
        <w:bidi w:val="0"/>
        <w:adjustRightInd/>
        <w:snapToGrid/>
        <w:spacing w:line="300" w:lineRule="auto"/>
        <w:ind w:firstLine="440" w:firstLineChars="200"/>
        <w:textAlignment w:val="auto"/>
        <w:rPr>
          <w:rFonts w:hint="eastAsia" w:ascii="仿宋" w:hAnsi="仿宋" w:eastAsia="仿宋" w:cs="仿宋"/>
          <w:b/>
          <w:bCs/>
          <w:color w:val="000000" w:themeColor="text1"/>
          <w:spacing w:val="-3"/>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三</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验收标准和方法：现行的国家标准或国家行政部门颁布的法律法规、规章制度等，是项目验收的重要依据，采购人按照国家、省、市</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行业</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强制性标准及合同约定对承包人的施工(含材料及服务)进行检查或验收，承包人须接受采购人的各类检查或验收；若验收不通过或质量不合格，承包人应在一定期</w:t>
      </w:r>
      <w:r>
        <w:rPr>
          <w:rFonts w:hint="eastAsia" w:ascii="仿宋" w:hAnsi="仿宋" w:eastAsia="仿宋" w:cs="仿宋"/>
          <w:color w:val="000000" w:themeColor="text1"/>
          <w:sz w:val="22"/>
          <w:szCs w:val="22"/>
          <w:highlight w:val="none"/>
          <w:lang w:eastAsia="zh-CN" w:bidi="ar-SA"/>
          <w14:textFill>
            <w14:solidFill>
              <w14:schemeClr w14:val="tx1"/>
            </w14:solidFill>
          </w14:textFill>
        </w:rPr>
        <w:t>限内</w:t>
      </w:r>
      <w:r>
        <w:rPr>
          <w:rFonts w:hint="eastAsia" w:ascii="仿宋" w:hAnsi="仿宋" w:eastAsia="仿宋" w:cs="仿宋"/>
          <w:color w:val="000000" w:themeColor="text1"/>
          <w:sz w:val="22"/>
          <w:szCs w:val="22"/>
          <w:highlight w:val="none"/>
          <w:lang w:bidi="ar-SA"/>
          <w14:textFill>
            <w14:solidFill>
              <w14:schemeClr w14:val="tx1"/>
            </w14:solidFill>
          </w14:textFill>
        </w:rPr>
        <w:t>进行整改完善，以采购人要求的标准提供合格工程；若承包人在接受检查整改后，仍不能提供符合采购要求的质量标准，采购人有权按违约予以撤项并要求承包人承担相应的法律责任和经济损失。具体按拟定合同相关条款执行。</w:t>
      </w:r>
    </w:p>
    <w:p w14:paraId="1BE5E65B">
      <w:pPr>
        <w:pStyle w:val="5"/>
        <w:keepNext w:val="0"/>
        <w:keepLines w:val="0"/>
        <w:pageBreakBefore w:val="0"/>
        <w:widowControl/>
        <w:kinsoku/>
        <w:wordWrap/>
        <w:overflowPunct/>
        <w:topLinePunct w:val="0"/>
        <w:autoSpaceDE/>
        <w:autoSpaceDN/>
        <w:bidi w:val="0"/>
        <w:adjustRightInd/>
        <w:snapToGrid/>
        <w:spacing w:line="300" w:lineRule="auto"/>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三、针对本项目的其他技术服务要求：</w:t>
      </w:r>
    </w:p>
    <w:p w14:paraId="344AA20F">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(一)材料供应要求</w:t>
      </w:r>
    </w:p>
    <w:p w14:paraId="762E0499">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(1)选用的主材、设备、辅材必须为国家合格产品且符合国家环保等相关标准，满足施工要求，质量可靠、进货渠道正常，并明确其品牌、规格、型号、产地，并附鉴定证书，对主要设备材料必须先提交样品，经鉴定确认后，方可订货，不得使用未经检验或不合格的设备、材料，若发生此种情况，采购人将依法追究承包人相关责任和由此造成的一切经济损失。</w:t>
      </w:r>
    </w:p>
    <w:p w14:paraId="7BACABEF">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(2)承包人供应的材料应按合同规定按时、按质、按量供应，项目所需主要施工材料、设备等辅助材料均由承包人负责供应，必须满足设计要求和国家有关标准，并应具有合格证等质量证明资料，且经采购人确认后方可使用；采购人采用抽检办法责成承包人分批次进行检测，费用由承包人承担。</w:t>
      </w:r>
    </w:p>
    <w:p w14:paraId="6A5AFB11">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(3)因材料供应不及时或质量不合格所造成的损失(包括仓库保管费)由承包人自行承担。</w:t>
      </w:r>
    </w:p>
    <w:p w14:paraId="4B3030A4">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(二)技术及服务要求</w:t>
      </w:r>
    </w:p>
    <w:p w14:paraId="151F1A29">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(1)承包人根据工程实际情况编制施工组织计划，制定工期进度安排、突发应急处理措施、施工质量控制等承包方案，并随投标文件一并提交采购人。</w:t>
      </w:r>
    </w:p>
    <w:p w14:paraId="253397DC">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(2)严格按照国家和陕西省有关规定施工、规范施工，确保工程合格，如有更改须事先征得采购人有关方面的同意，并在采购人落实后实施，并出具书面说明。</w:t>
      </w:r>
    </w:p>
    <w:p w14:paraId="11E91A42">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(3)工程实施必须完全符合规定的技术、方案、质量、规格、材质等要求；根据实际需要，承包人应在工程施工实施期间进行巡查，若出现质量问题，应及时对工程出现的问题进行维修，因承包人原因导致工程质量达不到约定的质量标准，由承包人自行承担相关责任。</w:t>
      </w:r>
    </w:p>
    <w:p w14:paraId="72F8F960">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(4)施工过程中严格遵守有关施工规范和安全操作规程及采购人单位的管理规章制度，采取有效的安全保障措施，确保施工安全，包括悬挂警示标牌、装设围栏、配备安全人员等，做到安全、文明施工；所有施工人员需统一着装统一单位标识，严禁随意通行；如发生工伤及意外事故由承包人自行承担事故的全部费用和责任。</w:t>
      </w:r>
    </w:p>
    <w:p w14:paraId="6AA01F43">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(5)承包人必须服从当地对治安、卫生、环保、社会保险等工程建设的统一管理，并按有关规定缴纳费用以及因违反相关规定而造成的罚款；施工方自行办理垃圾清理手续，遵守政府有关垃圾分类处理有关规定，承担自行处置不当导致的全部费用和责任。</w:t>
      </w:r>
    </w:p>
    <w:p w14:paraId="7DA75286">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(6)施工期间，负责施工区域内的安全、保卫及消防等工作，注意施工区域内人员安全,加强安全措施，并对施工人员进行安全教育，施工人员均应严格按照相关技术规范进行施工，做到安全施工且不影响交通；如因措施不力造成人员伤亡或财产损失等一切事故，由自行承担因此而导致的全部责任和损失。</w:t>
      </w:r>
    </w:p>
    <w:p w14:paraId="68227FEF">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(7)施工期间需采取必要措施确保现场正常运行，做好施工现场组织管理、安全、文明施工，维护现场秩序，做到工完场清、道路畅通，建筑垃圾不得随意堆放；根据施工现场采取不同的围挡方式进行围挡作业，做到封闭性施工并设有施工告示牌，严禁用进场材料做防护；承包人负责办理建筑垃圾外运有关手续，由供应商自行联系运至项目所在辖区地以外的建筑垃圾堆放场所并承担相应的费用；施工过程中当天产生的废渣、垃圾等应在当天施工结束后清理完毕，做到工完料尽场地清。</w:t>
      </w:r>
    </w:p>
    <w:p w14:paraId="64BF45C2">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(8)合理安排作业时间，降低噪声污染、粉尘污染，确保施工现场周围的正常工作与休息，按国家有关施工时间规定进行施工，施工中避免给他人带来干扰。</w:t>
      </w:r>
    </w:p>
    <w:p w14:paraId="23C06E55">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(9)承包人根据项目特性及要求，成立履行合同所需的项目管理组织机构，项目组成员(不限于项目负责人、技术负责人、管理人员、安全专职人员、质检人员、资料员、专业的施工人员等)结构合理、分工明确，并保证项目组成员具有相应资格或职称证书，持证上岗；施工队伍稳定，确保整个工程按期限按质量顺利完工；未经采购人同意，不得擅自更换本工程在</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w:t>
      </w:r>
      <w:r>
        <w:rPr>
          <w:rFonts w:hint="eastAsia" w:ascii="仿宋" w:hAnsi="仿宋" w:eastAsia="仿宋" w:cs="仿宋"/>
          <w:color w:val="000000" w:themeColor="text1"/>
          <w:sz w:val="22"/>
          <w:szCs w:val="22"/>
          <w:highlight w:val="none"/>
          <w:lang w:eastAsia="zh-CN" w:bidi="ar-SA"/>
          <w14:textFill>
            <w14:solidFill>
              <w14:schemeClr w14:val="tx1"/>
            </w14:solidFill>
          </w14:textFill>
        </w:rPr>
        <w:t>文件中指定的项目施工负责人(项目经理)及施工队伍。</w:t>
      </w:r>
    </w:p>
    <w:p w14:paraId="3EAE5BD9">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(10)承包人根据项目特性及要求，自行配置履行合同所需的机械设备及工具，未经采购人书面同意擅自使用或损坏采购方设施设备，自行承担因此而导致的全部责任和损失。</w:t>
      </w:r>
    </w:p>
    <w:p w14:paraId="1801E073">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(11)承包人应对工程过程中所出现的问题及时进行解决、调整，并做好记录，质量标准以达到招标文件中所规定的全部相关要求为准，如果发现与详细需求不符或达不到规定的性能指标，采购人有权拒绝付款或付款时间段推迟付款且不承担任何违约责任，承包人不得以此为由停止履行本项目的任意义务。</w:t>
      </w:r>
    </w:p>
    <w:p w14:paraId="66A370F0">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(12)承包人在工程缺陷责任期内，应按照有关法律法规规定和双方合同条款约定，承担本工程的质量保修责任，工程缺陷责任期过后，如出现质量问题，亦应积极协助解决，承包人的后续服务要完善、可靠、及时，并派遣相关技术人员配合采购人检查、维修。</w:t>
      </w:r>
    </w:p>
    <w:p w14:paraId="75765312">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(13)工程质量保修期内出现的质量问题由承包人负责，保修内容为由承包人负责的本工程全部质量问题(工程维修、设备维修、零部件更换、伴随服务等)，响应时间为正常工作日2小时内答复，6小时内到现场处理。节假日及法定休息日4小时内答复，12小时内到现场处理。</w:t>
      </w:r>
    </w:p>
    <w:p w14:paraId="7223CECD">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pacing w:val="9"/>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(14)其它未详之处均应遵照国家现行有关规范。</w:t>
      </w:r>
    </w:p>
    <w:p w14:paraId="16260252">
      <w:pPr>
        <w:pStyle w:val="5"/>
        <w:keepNext w:val="0"/>
        <w:keepLines w:val="0"/>
        <w:pageBreakBefore w:val="0"/>
        <w:widowControl/>
        <w:kinsoku/>
        <w:wordWrap/>
        <w:overflowPunct/>
        <w:topLinePunct w:val="0"/>
        <w:autoSpaceDE/>
        <w:autoSpaceDN/>
        <w:bidi w:val="0"/>
        <w:adjustRightInd/>
        <w:snapToGrid/>
        <w:spacing w:line="300" w:lineRule="auto"/>
        <w:textAlignment w:val="auto"/>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四、工程量清单见附件</w:t>
      </w:r>
    </w:p>
    <w:p w14:paraId="47E3AE27">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说明：工程量清单应当结合《政府采购需求管理办法》</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财库〔2021〕22号</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第六条第二款规定，明确相关性能、材料、结构、外观、安全、标准等。</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p>
    <w:p w14:paraId="0FACB7CC">
      <w:pPr>
        <w:pStyle w:val="5"/>
        <w:keepNext w:val="0"/>
        <w:keepLines w:val="0"/>
        <w:pageBreakBefore w:val="0"/>
        <w:widowControl/>
        <w:kinsoku/>
        <w:wordWrap/>
        <w:overflowPunct/>
        <w:topLinePunct w:val="0"/>
        <w:autoSpaceDE/>
        <w:autoSpaceDN/>
        <w:bidi w:val="0"/>
        <w:adjustRightInd/>
        <w:snapToGrid/>
        <w:spacing w:line="300" w:lineRule="auto"/>
        <w:textAlignment w:val="auto"/>
        <w:outlineLvl w:val="2"/>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b/>
          <w:color w:val="000000" w:themeColor="text1"/>
          <w:sz w:val="22"/>
          <w:szCs w:val="22"/>
          <w:highlight w:val="none"/>
          <w:lang w:bidi="ar-SA"/>
          <w14:textFill>
            <w14:solidFill>
              <w14:schemeClr w14:val="tx1"/>
            </w14:solidFill>
          </w14:textFill>
        </w:rPr>
        <w:t>3.</w:t>
      </w:r>
      <w:r>
        <w:rPr>
          <w:rFonts w:hint="eastAsia" w:ascii="仿宋" w:hAnsi="仿宋" w:eastAsia="仿宋" w:cs="仿宋"/>
          <w:b/>
          <w:color w:val="000000" w:themeColor="text1"/>
          <w:sz w:val="22"/>
          <w:szCs w:val="22"/>
          <w:highlight w:val="none"/>
          <w:lang w:val="en-US" w:eastAsia="zh-CN" w:bidi="ar-SA"/>
          <w14:textFill>
            <w14:solidFill>
              <w14:schemeClr w14:val="tx1"/>
            </w14:solidFill>
          </w14:textFill>
        </w:rPr>
        <w:t>3</w:t>
      </w:r>
      <w:r>
        <w:rPr>
          <w:rFonts w:hint="eastAsia" w:ascii="仿宋" w:hAnsi="仿宋" w:eastAsia="仿宋" w:cs="仿宋"/>
          <w:b/>
          <w:color w:val="000000" w:themeColor="text1"/>
          <w:sz w:val="22"/>
          <w:szCs w:val="22"/>
          <w:highlight w:val="none"/>
          <w:lang w:bidi="ar-SA"/>
          <w14:textFill>
            <w14:solidFill>
              <w14:schemeClr w14:val="tx1"/>
            </w14:solidFill>
          </w14:textFill>
        </w:rPr>
        <w:t>商务要求</w:t>
      </w:r>
      <w:r>
        <w:rPr>
          <w:rFonts w:hint="eastAsia" w:ascii="仿宋" w:hAnsi="仿宋" w:eastAsia="仿宋" w:cs="仿宋"/>
          <w:b/>
          <w:color w:val="000000" w:themeColor="text1"/>
          <w:sz w:val="22"/>
          <w:szCs w:val="22"/>
          <w:highlight w:val="none"/>
          <w:lang w:eastAsia="zh-CN" w:bidi="ar-SA"/>
          <w14:textFill>
            <w14:solidFill>
              <w14:schemeClr w14:val="tx1"/>
            </w14:solidFill>
          </w14:textFill>
        </w:rPr>
        <w:t>(</w:t>
      </w:r>
      <w:r>
        <w:rPr>
          <w:rFonts w:hint="eastAsia" w:ascii="仿宋" w:hAnsi="仿宋" w:eastAsia="仿宋" w:cs="仿宋"/>
          <w:b/>
          <w:color w:val="000000" w:themeColor="text1"/>
          <w:sz w:val="22"/>
          <w:szCs w:val="22"/>
          <w:highlight w:val="none"/>
          <w:lang w:bidi="ar-SA"/>
          <w14:textFill>
            <w14:solidFill>
              <w14:schemeClr w14:val="tx1"/>
            </w14:solidFill>
          </w14:textFill>
        </w:rPr>
        <w:t>说明：由采购人依据项目具体需求制定</w:t>
      </w:r>
      <w:r>
        <w:rPr>
          <w:rFonts w:hint="eastAsia" w:ascii="仿宋" w:hAnsi="仿宋" w:eastAsia="仿宋" w:cs="仿宋"/>
          <w:b/>
          <w:color w:val="000000" w:themeColor="text1"/>
          <w:sz w:val="22"/>
          <w:szCs w:val="22"/>
          <w:highlight w:val="none"/>
          <w:lang w:eastAsia="zh-CN" w:bidi="ar-SA"/>
          <w14:textFill>
            <w14:solidFill>
              <w14:schemeClr w14:val="tx1"/>
            </w14:solidFill>
          </w14:textFill>
        </w:rPr>
        <w:t>)</w:t>
      </w:r>
    </w:p>
    <w:tbl>
      <w:tblPr>
        <w:tblStyle w:val="3"/>
        <w:tblW w:w="950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922"/>
        <w:gridCol w:w="3074"/>
        <w:gridCol w:w="5508"/>
      </w:tblGrid>
      <w:tr w14:paraId="069866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55" w:hRule="atLeast"/>
          <w:jc w:val="center"/>
        </w:trPr>
        <w:tc>
          <w:tcPr>
            <w:tcW w:w="922" w:type="dxa"/>
            <w:noWrap w:val="0"/>
            <w:vAlign w:val="center"/>
          </w:tcPr>
          <w:p w14:paraId="504EC927">
            <w:pPr>
              <w:pStyle w:val="5"/>
              <w:keepNext w:val="0"/>
              <w:keepLines w:val="0"/>
              <w:pageBreakBefore w:val="0"/>
              <w:widowControl/>
              <w:wordWrap/>
              <w:overflowPunct/>
              <w:topLinePunct w:val="0"/>
              <w:bidi w:val="0"/>
              <w:spacing w:line="300" w:lineRule="auto"/>
              <w:jc w:val="center"/>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序号</w:t>
            </w:r>
          </w:p>
        </w:tc>
        <w:tc>
          <w:tcPr>
            <w:tcW w:w="3074" w:type="dxa"/>
            <w:noWrap w:val="0"/>
            <w:vAlign w:val="center"/>
          </w:tcPr>
          <w:p w14:paraId="450CF1AE">
            <w:pPr>
              <w:pStyle w:val="5"/>
              <w:keepNext w:val="0"/>
              <w:keepLines w:val="0"/>
              <w:pageBreakBefore w:val="0"/>
              <w:widowControl/>
              <w:wordWrap/>
              <w:overflowPunct/>
              <w:topLinePunct w:val="0"/>
              <w:bidi w:val="0"/>
              <w:spacing w:line="300" w:lineRule="auto"/>
              <w:jc w:val="center"/>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项目</w:t>
            </w:r>
          </w:p>
        </w:tc>
        <w:tc>
          <w:tcPr>
            <w:tcW w:w="5508" w:type="dxa"/>
            <w:noWrap w:val="0"/>
            <w:vAlign w:val="center"/>
          </w:tcPr>
          <w:p w14:paraId="1862CB0F">
            <w:pPr>
              <w:pStyle w:val="5"/>
              <w:keepNext w:val="0"/>
              <w:keepLines w:val="0"/>
              <w:pageBreakBefore w:val="0"/>
              <w:widowControl/>
              <w:wordWrap/>
              <w:overflowPunct/>
              <w:topLinePunct w:val="0"/>
              <w:bidi w:val="0"/>
              <w:spacing w:line="300" w:lineRule="auto"/>
              <w:jc w:val="center"/>
              <w:rPr>
                <w:rFonts w:hint="eastAsia" w:ascii="仿宋" w:hAnsi="仿宋" w:eastAsia="仿宋" w:cs="仿宋"/>
                <w:b/>
                <w:bCs/>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要求</w:t>
            </w:r>
          </w:p>
        </w:tc>
      </w:tr>
      <w:tr w14:paraId="7F6D56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54" w:hRule="atLeast"/>
          <w:jc w:val="center"/>
        </w:trPr>
        <w:tc>
          <w:tcPr>
            <w:tcW w:w="922" w:type="dxa"/>
            <w:noWrap w:val="0"/>
            <w:vAlign w:val="center"/>
          </w:tcPr>
          <w:p w14:paraId="757AC822">
            <w:pPr>
              <w:pStyle w:val="5"/>
              <w:keepNext w:val="0"/>
              <w:keepLines w:val="0"/>
              <w:pageBreakBefore w:val="0"/>
              <w:widowControl/>
              <w:wordWrap/>
              <w:overflowPunct/>
              <w:topLinePunct w:val="0"/>
              <w:bidi w:val="0"/>
              <w:spacing w:line="300" w:lineRule="auto"/>
              <w:jc w:val="center"/>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z w:val="22"/>
                <w:szCs w:val="22"/>
                <w:highlight w:val="none"/>
                <w:lang w:bidi="ar-SA"/>
                <w14:textFill>
                  <w14:solidFill>
                    <w14:schemeClr w14:val="tx1"/>
                  </w14:solidFill>
                </w14:textFill>
              </w:rPr>
              <w:t>1</w:t>
            </w:r>
          </w:p>
        </w:tc>
        <w:tc>
          <w:tcPr>
            <w:tcW w:w="3074" w:type="dxa"/>
            <w:noWrap w:val="0"/>
            <w:vAlign w:val="center"/>
          </w:tcPr>
          <w:p w14:paraId="6E1E09DA">
            <w:pPr>
              <w:pStyle w:val="5"/>
              <w:keepNext w:val="0"/>
              <w:keepLines w:val="0"/>
              <w:pageBreakBefore w:val="0"/>
              <w:widowControl/>
              <w:wordWrap/>
              <w:overflowPunct/>
              <w:topLinePunct w:val="0"/>
              <w:bidi w:val="0"/>
              <w:spacing w:line="300" w:lineRule="auto"/>
              <w:jc w:val="center"/>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项目负责人</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项目经理</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p>
        </w:tc>
        <w:tc>
          <w:tcPr>
            <w:tcW w:w="5508" w:type="dxa"/>
            <w:noWrap w:val="0"/>
            <w:vAlign w:val="center"/>
          </w:tcPr>
          <w:p w14:paraId="67BE2EE7">
            <w:pPr>
              <w:pStyle w:val="5"/>
              <w:keepNext w:val="0"/>
              <w:keepLines w:val="0"/>
              <w:pageBreakBefore w:val="0"/>
              <w:widowControl/>
              <w:wordWrap/>
              <w:overflowPunct/>
              <w:topLinePunct w:val="0"/>
              <w:bidi w:val="0"/>
              <w:spacing w:line="300" w:lineRule="auto"/>
              <w:jc w:val="center"/>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具体要求详见资格审查条款</w:t>
            </w:r>
          </w:p>
        </w:tc>
      </w:tr>
    </w:tbl>
    <w:p w14:paraId="4CBF2914">
      <w:pPr>
        <w:pStyle w:val="5"/>
        <w:keepNext w:val="0"/>
        <w:keepLines w:val="0"/>
        <w:pageBreakBefore w:val="0"/>
        <w:widowControl/>
        <w:kinsoku/>
        <w:wordWrap/>
        <w:overflowPunct/>
        <w:topLinePunct w:val="0"/>
        <w:autoSpaceDE/>
        <w:autoSpaceDN/>
        <w:bidi w:val="0"/>
        <w:adjustRightInd/>
        <w:snapToGrid/>
        <w:spacing w:line="300" w:lineRule="auto"/>
        <w:textAlignment w:val="auto"/>
        <w:outlineLvl w:val="3"/>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color w:val="000000" w:themeColor="text1"/>
          <w:sz w:val="22"/>
          <w:szCs w:val="22"/>
          <w:highlight w:val="none"/>
          <w:lang w:bidi="ar-SA"/>
          <w14:textFill>
            <w14:solidFill>
              <w14:schemeClr w14:val="tx1"/>
            </w14:solidFill>
          </w14:textFill>
        </w:rPr>
        <w:t>说明：</w:t>
      </w:r>
    </w:p>
    <w:p w14:paraId="2311AEB5">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1.对于不允许偏离的实质性要求和条件，采购人或者代理机构应当在</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招标</w:t>
      </w:r>
      <w:r>
        <w:rPr>
          <w:rFonts w:hint="eastAsia" w:ascii="仿宋" w:hAnsi="仿宋" w:eastAsia="仿宋" w:cs="仿宋"/>
          <w:color w:val="000000" w:themeColor="text1"/>
          <w:sz w:val="22"/>
          <w:szCs w:val="22"/>
          <w:highlight w:val="none"/>
          <w:lang w:bidi="ar-SA"/>
          <w14:textFill>
            <w14:solidFill>
              <w14:schemeClr w14:val="tx1"/>
            </w14:solidFill>
          </w14:textFill>
        </w:rPr>
        <w:t>文件中规定，并以醒目的方式标明。</w:t>
      </w:r>
    </w:p>
    <w:p w14:paraId="49D9D72C">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2.除相关法律或行政法规或规章要求供应商在</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w:t>
      </w:r>
      <w:r>
        <w:rPr>
          <w:rFonts w:hint="eastAsia" w:ascii="仿宋" w:hAnsi="仿宋" w:eastAsia="仿宋" w:cs="仿宋"/>
          <w:color w:val="000000" w:themeColor="text1"/>
          <w:sz w:val="22"/>
          <w:szCs w:val="22"/>
          <w:highlight w:val="none"/>
          <w:lang w:bidi="ar-SA"/>
          <w14:textFill>
            <w14:solidFill>
              <w14:schemeClr w14:val="tx1"/>
            </w14:solidFill>
          </w14:textFill>
        </w:rPr>
        <w:t>阶段提供检测报告的，不得要求供应商在</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w:t>
      </w:r>
      <w:r>
        <w:rPr>
          <w:rFonts w:hint="eastAsia" w:ascii="仿宋" w:hAnsi="仿宋" w:eastAsia="仿宋" w:cs="仿宋"/>
          <w:color w:val="000000" w:themeColor="text1"/>
          <w:sz w:val="22"/>
          <w:szCs w:val="22"/>
          <w:highlight w:val="none"/>
          <w:lang w:bidi="ar-SA"/>
          <w14:textFill>
            <w14:solidFill>
              <w14:schemeClr w14:val="tx1"/>
            </w14:solidFill>
          </w14:textFill>
        </w:rPr>
        <w:t>提供检测报告，如确实需要检测报告，可要求供应商承诺在签订合同阶段或项目实施阶段提供。</w:t>
      </w:r>
    </w:p>
    <w:p w14:paraId="64E30A9F">
      <w:pPr>
        <w:pStyle w:val="5"/>
        <w:keepNext w:val="0"/>
        <w:keepLines w:val="0"/>
        <w:pageBreakBefore w:val="0"/>
        <w:widowControl/>
        <w:kinsoku/>
        <w:wordWrap/>
        <w:overflowPunct/>
        <w:topLinePunct w:val="0"/>
        <w:autoSpaceDE/>
        <w:autoSpaceDN/>
        <w:bidi w:val="0"/>
        <w:adjustRightInd/>
        <w:snapToGrid/>
        <w:spacing w:line="300" w:lineRule="auto"/>
        <w:ind w:firstLine="480"/>
        <w:textAlignment w:val="auto"/>
        <w:rPr>
          <w:rFonts w:hint="eastAsia" w:ascii="仿宋" w:hAnsi="仿宋" w:eastAsia="仿宋" w:cs="仿宋"/>
          <w:b/>
          <w:bCs/>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3.若要求供应商提供相关人员的职业资格的，不得要求提供除现行《国家职业资格目录》以外的职业资格，不得以不合理条件对供应商实行差别待遇或者歧视性待遇</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p>
    <w:p w14:paraId="57249253">
      <w:pPr>
        <w:keepNext w:val="0"/>
        <w:keepLines w:val="0"/>
        <w:pageBreakBefore w:val="0"/>
        <w:widowControl/>
        <w:kinsoku w:val="0"/>
        <w:wordWrap/>
        <w:overflowPunct/>
        <w:topLinePunct w:val="0"/>
        <w:autoSpaceDE w:val="0"/>
        <w:autoSpaceDN w:val="0"/>
        <w:bidi w:val="0"/>
        <w:spacing w:line="300" w:lineRule="auto"/>
        <w:ind w:left="13"/>
        <w:outlineLvl w:val="1"/>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b/>
          <w:bCs/>
          <w:color w:val="000000" w:themeColor="text1"/>
          <w:spacing w:val="9"/>
          <w:sz w:val="22"/>
          <w:szCs w:val="22"/>
          <w:highlight w:val="none"/>
          <w:lang w:bidi="ar-SA"/>
          <w14:textFill>
            <w14:solidFill>
              <w14:schemeClr w14:val="tx1"/>
            </w14:solidFill>
          </w14:textFill>
        </w:rPr>
        <w:t>3.4其他要求</w:t>
      </w:r>
    </w:p>
    <w:p w14:paraId="11E0F351">
      <w:pPr>
        <w:pStyle w:val="5"/>
        <w:keepNext w:val="0"/>
        <w:keepLines w:val="0"/>
        <w:pageBreakBefore w:val="0"/>
        <w:widowControl/>
        <w:wordWrap/>
        <w:overflowPunct/>
        <w:topLinePunct w:val="0"/>
        <w:bidi w:val="0"/>
        <w:spacing w:line="300" w:lineRule="auto"/>
        <w:ind w:firstLine="440" w:firstLineChars="200"/>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采购包1：</w:t>
      </w:r>
    </w:p>
    <w:p w14:paraId="1B34DB74">
      <w:pPr>
        <w:pStyle w:val="5"/>
        <w:keepNext w:val="0"/>
        <w:keepLines w:val="0"/>
        <w:pageBreakBefore w:val="0"/>
        <w:widowControl/>
        <w:wordWrap/>
        <w:overflowPunct/>
        <w:topLinePunct w:val="0"/>
        <w:bidi w:val="0"/>
        <w:spacing w:line="300" w:lineRule="auto"/>
        <w:ind w:firstLine="440" w:firstLineChars="200"/>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(一)</w:t>
      </w:r>
      <w:r>
        <w:rPr>
          <w:rFonts w:hint="eastAsia" w:ascii="仿宋" w:hAnsi="仿宋" w:eastAsia="仿宋" w:cs="仿宋"/>
          <w:color w:val="000000" w:themeColor="text1"/>
          <w:sz w:val="22"/>
          <w:szCs w:val="22"/>
          <w:highlight w:val="none"/>
          <w:lang w:bidi="ar-SA"/>
          <w14:textFill>
            <w14:solidFill>
              <w14:schemeClr w14:val="tx1"/>
            </w14:solidFill>
          </w14:textFill>
        </w:rPr>
        <w:t>投标有效期</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1.出现特殊情况需要延长投标有效期的，采购代理机构或采购人可于投标有效期满之前，以书面形式通知所有投标人延长投标有效期。投标人应予书面答复，同意延长的，但不得要求或被允许修改其投标文件；投标人拒绝延长的，其投标文件失效。2.在投标有效期内，投标人撤销投标文件的，应承担投标文件和法律规定的责任。3.中标人的投标有效期自动延长至合同终止为止。</w:t>
      </w:r>
    </w:p>
    <w:p w14:paraId="7BB9DD3D">
      <w:pPr>
        <w:pStyle w:val="5"/>
        <w:keepNext w:val="0"/>
        <w:keepLines w:val="0"/>
        <w:pageBreakBefore w:val="0"/>
        <w:widowControl/>
        <w:wordWrap/>
        <w:overflowPunct/>
        <w:topLinePunct w:val="0"/>
        <w:bidi w:val="0"/>
        <w:spacing w:line="300" w:lineRule="auto"/>
        <w:ind w:firstLine="440" w:firstLineChars="200"/>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(二)</w:t>
      </w:r>
      <w:r>
        <w:rPr>
          <w:rFonts w:hint="eastAsia" w:ascii="仿宋" w:hAnsi="仿宋" w:eastAsia="仿宋" w:cs="仿宋"/>
          <w:color w:val="000000" w:themeColor="text1"/>
          <w:sz w:val="22"/>
          <w:szCs w:val="22"/>
          <w:highlight w:val="none"/>
          <w:lang w:bidi="ar-SA"/>
          <w14:textFill>
            <w14:solidFill>
              <w14:schemeClr w14:val="tx1"/>
            </w14:solidFill>
          </w14:textFill>
        </w:rPr>
        <w:t>合格投标人少于3家的处理</w:t>
      </w:r>
      <w:r>
        <w:rPr>
          <w:rFonts w:hint="eastAsia" w:ascii="仿宋" w:hAnsi="仿宋" w:eastAsia="仿宋" w:cs="仿宋"/>
          <w:color w:val="000000" w:themeColor="text1"/>
          <w:sz w:val="22"/>
          <w:szCs w:val="22"/>
          <w:highlight w:val="none"/>
          <w:lang w:eastAsia="zh-CN" w:bidi="ar-SA"/>
          <w14:textFill>
            <w14:solidFill>
              <w14:schemeClr w14:val="tx1"/>
            </w14:solidFill>
          </w14:textFill>
        </w:rPr>
        <w:t>：</w:t>
      </w:r>
      <w:r>
        <w:rPr>
          <w:rFonts w:hint="eastAsia" w:ascii="仿宋" w:hAnsi="仿宋" w:eastAsia="仿宋" w:cs="仿宋"/>
          <w:color w:val="000000" w:themeColor="text1"/>
          <w:sz w:val="22"/>
          <w:szCs w:val="22"/>
          <w:highlight w:val="none"/>
          <w:lang w:bidi="ar-SA"/>
          <w14:textFill>
            <w14:solidFill>
              <w14:schemeClr w14:val="tx1"/>
            </w14:solidFill>
          </w14:textFill>
        </w:rPr>
        <w:t>1.评审过程中，若出现合格投标人只有2家时，采购人经同级财政部门同意后，可以按《政府采购非招标采购方式管理办法》（财政部第74号令）的规定与该2家投标人进行竞争性谈判采购。只有1家时，采购人应依法重新组织采购活动。2.评审过程中，除符合第1条条款规定情形外，若出现合格投标人少于3家时，采购人应依法重新组织采购活动。</w:t>
      </w:r>
    </w:p>
    <w:p w14:paraId="706BC4B1">
      <w:pPr>
        <w:pStyle w:val="5"/>
        <w:keepNext w:val="0"/>
        <w:keepLines w:val="0"/>
        <w:pageBreakBefore w:val="0"/>
        <w:widowControl/>
        <w:kinsoku/>
        <w:wordWrap/>
        <w:overflowPunct/>
        <w:topLinePunct w:val="0"/>
        <w:autoSpaceDE/>
        <w:autoSpaceDN/>
        <w:bidi w:val="0"/>
        <w:adjustRightInd/>
        <w:snapToGrid/>
        <w:spacing w:line="300" w:lineRule="auto"/>
        <w:ind w:firstLine="440" w:firstLineChars="200"/>
        <w:textAlignment w:val="auto"/>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三</w:t>
      </w:r>
      <w:r>
        <w:rPr>
          <w:rFonts w:hint="eastAsia" w:ascii="仿宋" w:hAnsi="仿宋" w:eastAsia="仿宋" w:cs="仿宋"/>
          <w:color w:val="000000" w:themeColor="text1"/>
          <w:sz w:val="22"/>
          <w:szCs w:val="22"/>
          <w:highlight w:val="none"/>
          <w:lang w:bidi="ar-SA"/>
          <w14:textFill>
            <w14:solidFill>
              <w14:schemeClr w14:val="tx1"/>
            </w14:solidFill>
          </w14:textFill>
        </w:rPr>
        <w:t>)</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、投标人的电子投标文件中的所有文字资料、图纸、数据、方案、证书、检测报告等投标内容应清晰可辨，表达意思统一，便于查找，投标人自行承担资料模糊不清、无法辨认的不利后果。</w:t>
      </w:r>
    </w:p>
    <w:p w14:paraId="6277DBC9">
      <w:pPr>
        <w:pStyle w:val="5"/>
        <w:keepNext w:val="0"/>
        <w:keepLines w:val="0"/>
        <w:pageBreakBefore w:val="0"/>
        <w:widowControl/>
        <w:wordWrap/>
        <w:overflowPunct/>
        <w:topLinePunct w:val="0"/>
        <w:bidi w:val="0"/>
        <w:spacing w:line="300" w:lineRule="auto"/>
        <w:ind w:firstLine="440" w:firstLineChars="200"/>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四</w:t>
      </w:r>
      <w:r>
        <w:rPr>
          <w:rFonts w:hint="eastAsia" w:ascii="仿宋" w:hAnsi="仿宋" w:eastAsia="仿宋" w:cs="仿宋"/>
          <w:color w:val="000000" w:themeColor="text1"/>
          <w:sz w:val="22"/>
          <w:szCs w:val="22"/>
          <w:highlight w:val="none"/>
          <w:lang w:bidi="ar-SA"/>
          <w14:textFill>
            <w14:solidFill>
              <w14:schemeClr w14:val="tx1"/>
            </w14:solidFill>
          </w14:textFill>
        </w:rPr>
        <w:t>)分公司独立参与投标时，不能使用总公司的资质或业绩；总公司授权分公司或分支机构参与投标，可以使用总公司的资质或业绩。总公司单独参与投标时，可以使用分公司的业绩，在相关资质证书的管理要求和适用范围内可以使用分公司资质。</w:t>
      </w:r>
    </w:p>
    <w:p w14:paraId="35398220">
      <w:pPr>
        <w:pStyle w:val="5"/>
        <w:keepNext w:val="0"/>
        <w:keepLines w:val="0"/>
        <w:pageBreakBefore w:val="0"/>
        <w:widowControl/>
        <w:wordWrap/>
        <w:overflowPunct/>
        <w:topLinePunct w:val="0"/>
        <w:bidi w:val="0"/>
        <w:spacing w:line="300" w:lineRule="auto"/>
        <w:ind w:firstLine="440" w:firstLineChars="200"/>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五</w:t>
      </w:r>
      <w:r>
        <w:rPr>
          <w:rFonts w:hint="eastAsia" w:ascii="仿宋" w:hAnsi="仿宋" w:eastAsia="仿宋" w:cs="仿宋"/>
          <w:color w:val="000000" w:themeColor="text1"/>
          <w:sz w:val="22"/>
          <w:szCs w:val="22"/>
          <w:highlight w:val="none"/>
          <w:lang w:bidi="ar-SA"/>
          <w14:textFill>
            <w14:solidFill>
              <w14:schemeClr w14:val="tx1"/>
            </w14:solidFill>
          </w14:textFill>
        </w:rPr>
        <w:t>)文件中签名是指：手写签名或加盖签名章（含电子章、印章、签名章），盖章是指加盖单位章（含电子章）。</w:t>
      </w:r>
    </w:p>
    <w:p w14:paraId="5A5B8A0E">
      <w:pPr>
        <w:pStyle w:val="5"/>
        <w:keepNext w:val="0"/>
        <w:keepLines w:val="0"/>
        <w:pageBreakBefore w:val="0"/>
        <w:widowControl/>
        <w:wordWrap/>
        <w:overflowPunct/>
        <w:topLinePunct w:val="0"/>
        <w:bidi w:val="0"/>
        <w:spacing w:line="300" w:lineRule="auto"/>
        <w:ind w:firstLine="440" w:firstLineChars="200"/>
        <w:rPr>
          <w:rFonts w:hint="eastAsia" w:ascii="仿宋" w:hAnsi="仿宋" w:eastAsia="仿宋" w:cs="仿宋"/>
          <w:color w:val="000000" w:themeColor="text1"/>
          <w:sz w:val="22"/>
          <w:szCs w:val="22"/>
          <w:highlight w:val="none"/>
          <w:lang w:eastAsia="zh-CN"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六</w:t>
      </w:r>
      <w:r>
        <w:rPr>
          <w:rFonts w:hint="eastAsia" w:ascii="仿宋" w:hAnsi="仿宋" w:eastAsia="仿宋" w:cs="仿宋"/>
          <w:color w:val="000000" w:themeColor="text1"/>
          <w:sz w:val="22"/>
          <w:szCs w:val="22"/>
          <w:highlight w:val="none"/>
          <w:lang w:bidi="ar-SA"/>
          <w14:textFill>
            <w14:solidFill>
              <w14:schemeClr w14:val="tx1"/>
            </w14:solidFill>
          </w14:textFill>
        </w:rPr>
        <w:t>)恶意质疑、投诉的法律后果：1.对捏造事实、提供虚假材料进行质疑、投诉的行为将予以严肃处理：《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2.对捏造事实诬告陷害他人、诽谤他人的法律适用：（1）《中华人民共和国刑法》第243条【诬告陷害罪】捏造事实诬告陷害他人，意图使他人受到刑事追究，情节严重的，处三年以下有期徒刑、拘役或者管制；造成严重后果的，处三年以上十年以下有期徒刑。（2）《中华人民共和国刑法》第246条【侮辱罪、诽谤罪】以暴力或者其他方法公然侮辱他人或者捏造事实诽谤他人，情节严重的，处三年以下有期徒刑、拘役、管制或者剥夺政治权利。</w:t>
      </w:r>
    </w:p>
    <w:p w14:paraId="3ED8D57E">
      <w:pPr>
        <w:pStyle w:val="2"/>
        <w:keepNext w:val="0"/>
        <w:keepLines w:val="0"/>
        <w:pageBreakBefore w:val="0"/>
        <w:widowControl/>
        <w:kinsoku w:val="0"/>
        <w:wordWrap/>
        <w:overflowPunct/>
        <w:topLinePunct w:val="0"/>
        <w:autoSpaceDE w:val="0"/>
        <w:autoSpaceDN w:val="0"/>
        <w:bidi w:val="0"/>
        <w:adjustRightInd w:val="0"/>
        <w:snapToGrid w:val="0"/>
        <w:spacing w:line="300" w:lineRule="auto"/>
        <w:ind w:firstLine="440" w:firstLineChars="200"/>
        <w:textAlignment w:val="baseline"/>
        <w:rPr>
          <w:rFonts w:hint="eastAsia" w:ascii="仿宋" w:hAnsi="仿宋" w:eastAsia="仿宋" w:cs="仿宋"/>
          <w:color w:val="000000" w:themeColor="text1"/>
          <w:sz w:val="22"/>
          <w:szCs w:val="22"/>
          <w:highlight w:val="none"/>
          <w:lang w:bidi="ar-SA"/>
          <w14:textFill>
            <w14:solidFill>
              <w14:schemeClr w14:val="tx1"/>
            </w14:solidFill>
          </w14:textFill>
        </w:rPr>
      </w:pPr>
      <w:r>
        <w:rPr>
          <w:rFonts w:hint="eastAsia" w:ascii="仿宋" w:hAnsi="仿宋" w:eastAsia="仿宋" w:cs="仿宋"/>
          <w:color w:val="000000" w:themeColor="text1"/>
          <w:sz w:val="22"/>
          <w:szCs w:val="22"/>
          <w:highlight w:val="none"/>
          <w:lang w:bidi="ar-SA"/>
          <w14:textFill>
            <w14:solidFill>
              <w14:schemeClr w14:val="tx1"/>
            </w14:solidFill>
          </w14:textFill>
        </w:rPr>
        <w:t>(</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七</w:t>
      </w:r>
      <w:r>
        <w:rPr>
          <w:rFonts w:hint="eastAsia" w:ascii="仿宋" w:hAnsi="仿宋" w:eastAsia="仿宋" w:cs="仿宋"/>
          <w:color w:val="000000" w:themeColor="text1"/>
          <w:sz w:val="22"/>
          <w:szCs w:val="22"/>
          <w:highlight w:val="none"/>
          <w:lang w:bidi="ar-SA"/>
          <w14:textFill>
            <w14:solidFill>
              <w14:schemeClr w14:val="tx1"/>
            </w14:solidFill>
          </w14:textFill>
        </w:rPr>
        <w:t>)参与本项目的投标人应通过陕西省政府采购综合管理平台的项目电子化交易系统在线实施报名、获取</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招标</w:t>
      </w:r>
      <w:r>
        <w:rPr>
          <w:rFonts w:hint="eastAsia" w:ascii="仿宋" w:hAnsi="仿宋" w:eastAsia="仿宋" w:cs="仿宋"/>
          <w:color w:val="000000" w:themeColor="text1"/>
          <w:sz w:val="22"/>
          <w:szCs w:val="22"/>
          <w:highlight w:val="none"/>
          <w:lang w:bidi="ar-SA"/>
          <w14:textFill>
            <w14:solidFill>
              <w14:schemeClr w14:val="tx1"/>
            </w14:solidFill>
          </w14:textFill>
        </w:rPr>
        <w:t>文件、</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w:t>
      </w:r>
      <w:r>
        <w:rPr>
          <w:rFonts w:hint="eastAsia" w:ascii="仿宋" w:hAnsi="仿宋" w:eastAsia="仿宋" w:cs="仿宋"/>
          <w:color w:val="000000" w:themeColor="text1"/>
          <w:sz w:val="22"/>
          <w:szCs w:val="22"/>
          <w:highlight w:val="none"/>
          <w:lang w:bidi="ar-SA"/>
          <w14:textFill>
            <w14:solidFill>
              <w14:schemeClr w14:val="tx1"/>
            </w14:solidFill>
          </w14:textFill>
        </w:rPr>
        <w:t>、报价等操作，投标人无需现场提供纸质</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招标</w:t>
      </w:r>
      <w:r>
        <w:rPr>
          <w:rFonts w:hint="eastAsia" w:ascii="仿宋" w:hAnsi="仿宋" w:eastAsia="仿宋" w:cs="仿宋"/>
          <w:color w:val="000000" w:themeColor="text1"/>
          <w:sz w:val="22"/>
          <w:szCs w:val="22"/>
          <w:highlight w:val="none"/>
          <w:lang w:bidi="ar-SA"/>
          <w14:textFill>
            <w14:solidFill>
              <w14:schemeClr w14:val="tx1"/>
            </w14:solidFill>
          </w14:textFill>
        </w:rPr>
        <w:t>文件。但在中标后，中标</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人</w:t>
      </w:r>
      <w:r>
        <w:rPr>
          <w:rFonts w:hint="eastAsia" w:ascii="仿宋" w:hAnsi="仿宋" w:eastAsia="仿宋" w:cs="仿宋"/>
          <w:color w:val="000000" w:themeColor="text1"/>
          <w:sz w:val="22"/>
          <w:szCs w:val="22"/>
          <w:highlight w:val="none"/>
          <w:lang w:bidi="ar-SA"/>
          <w14:textFill>
            <w14:solidFill>
              <w14:schemeClr w14:val="tx1"/>
            </w14:solidFill>
          </w14:textFill>
        </w:rPr>
        <w:t>在领取中标通知书时需提供纸质</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投标</w:t>
      </w:r>
      <w:r>
        <w:rPr>
          <w:rFonts w:hint="eastAsia" w:ascii="仿宋" w:hAnsi="仿宋" w:eastAsia="仿宋" w:cs="仿宋"/>
          <w:color w:val="000000" w:themeColor="text1"/>
          <w:sz w:val="22"/>
          <w:szCs w:val="22"/>
          <w:highlight w:val="none"/>
          <w:lang w:bidi="ar-SA"/>
          <w14:textFill>
            <w14:solidFill>
              <w14:schemeClr w14:val="tx1"/>
            </w14:solidFill>
          </w14:textFill>
        </w:rPr>
        <w:t>文件</w:t>
      </w: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两</w:t>
      </w:r>
      <w:r>
        <w:rPr>
          <w:rFonts w:hint="eastAsia" w:ascii="仿宋" w:hAnsi="仿宋" w:eastAsia="仿宋" w:cs="仿宋"/>
          <w:color w:val="000000" w:themeColor="text1"/>
          <w:sz w:val="22"/>
          <w:szCs w:val="22"/>
          <w:highlight w:val="none"/>
          <w:lang w:bidi="ar-SA"/>
          <w14:textFill>
            <w14:solidFill>
              <w14:schemeClr w14:val="tx1"/>
            </w14:solidFill>
          </w14:textFill>
        </w:rPr>
        <w:t>套用于备案，纸质投标文件应通过专用制作软件直接打印</w:t>
      </w:r>
      <w:r>
        <w:rPr>
          <w:rFonts w:hint="eastAsia" w:ascii="仿宋_GB2312" w:hAnsi="仿宋_GB2312" w:eastAsia="仿宋_GB2312" w:cs="仿宋_GB2312"/>
          <w:color w:val="000000" w:themeColor="text1"/>
          <w:highlight w:val="none"/>
          <w:lang w:val="en-US" w:eastAsia="zh-CN" w:bidi="ar-SA"/>
          <w14:textFill>
            <w14:solidFill>
              <w14:schemeClr w14:val="tx1"/>
            </w14:solidFill>
          </w14:textFill>
        </w:rPr>
        <w:t>(自定单双面、黑白/彩色)</w:t>
      </w:r>
      <w:r>
        <w:rPr>
          <w:rFonts w:hint="eastAsia" w:ascii="仿宋" w:hAnsi="仿宋" w:eastAsia="仿宋" w:cs="仿宋"/>
          <w:color w:val="000000" w:themeColor="text1"/>
          <w:sz w:val="22"/>
          <w:szCs w:val="22"/>
          <w:highlight w:val="none"/>
          <w:lang w:bidi="ar-SA"/>
          <w14:textFill>
            <w14:solidFill>
              <w14:schemeClr w14:val="tx1"/>
            </w14:solidFill>
          </w14:textFill>
        </w:rPr>
        <w:t>，确保与项目电子化交易系统中的电子投标文件保持一致，不允许修改和补充。中标（成交）通知书领取地址：西安市雁塔区雁翔路111号赛格·中京坊6幢1（公寓A1）单元2层10201室招标一部。</w:t>
      </w:r>
    </w:p>
    <w:p w14:paraId="7993DF33"/>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BAB5007"/>
    <w:rsid w:val="2BAB50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uiPriority w:val="0"/>
    <w:rPr>
      <w:rFonts w:ascii="Arial" w:hAnsi="Arial" w:eastAsia="Arial" w:cs="Arial"/>
      <w:sz w:val="21"/>
      <w:szCs w:val="21"/>
      <w:lang w:val="en-US" w:eastAsia="en-US" w:bidi="ar-SA"/>
    </w:rPr>
  </w:style>
  <w:style w:type="paragraph" w:customStyle="1" w:styleId="5">
    <w:name w:val="null3"/>
    <w:uiPriority w:val="0"/>
    <w:rPr>
      <w:rFonts w:ascii="Calibri" w:hAnsi="Calibri" w:eastAsia="宋体" w:cs="Times New Roman"/>
      <w:sz w:val="20"/>
      <w:szCs w:val="20"/>
      <w:lang w:val="en-US" w:eastAsia="zh-Han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2026-06-10T11:17:00Z</dcterms:created>
  <dc:creator>杜航</dc:creator>
  <cp:lastModifiedBy>杜航</cp:lastModifiedBy>
  <dcterms:modified xsi:type="dcterms:W3CDTF">2026-06-10T11:19:21Z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E9887251C471467AAFB1286DB0BD1008_11</vt:lpwstr>
  </property>
  <property fmtid="{D5CDD505-2E9C-101B-9397-08002B2CF9AE}" pid="4" name="KSOTemplateDocerSaveRecord">
    <vt:lpwstr>eyJoZGlkIjoiNGVjNGI1ZWQxMDUyODY5ZDAxOTAyNjljNjE1NWUwNGQiLCJ1c2VySWQiOiIzMDgwODY2MDYifQ==</vt:lpwstr>
  </property>
</Properties>
</file>