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版本号：ZBZB-2026-292620260601001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委托开展第九届中国-亚欧博览会陕西形象展展馆搭建及相关服务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ZBZB-2026-2926</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委托开展第九届中国-亚欧博览会陕西形象展展馆搭建及相关服务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委托开展第九届中国-亚欧博览会陕西形象展展馆搭建及相关服务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按照委托开展第九届中国-亚欧博览会陕西形象展展馆搭建及相关服务相关要求，在规定条件下完成服务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采购包1（委托开展第九届中国-亚欧博览会陕西形象展展馆搭建及相关服务）：属于专门面向中小企业采购。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3、财务状况：提供2024或2025年度经审计的完整财务审计报告，或其开标前六个月内基本存款账户开户银行出具的资信证明；</w:t>
      </w:r>
    </w:p>
    <w:p>
      <w:pPr>
        <w:pStyle w:val="null3"/>
      </w:pPr>
      <w:r>
        <w:rPr>
          <w:rFonts w:ascii="仿宋_GB2312" w:hAnsi="仿宋_GB2312" w:cs="仿宋_GB2312" w:eastAsia="仿宋_GB2312"/>
        </w:rPr>
        <w:t>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029-63913866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 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029-85578186转838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开户银行：民生银行西安分行营业部</w:t>
            </w:r>
          </w:p>
          <w:p>
            <w:pPr>
              <w:pStyle w:val="null3"/>
            </w:pPr>
            <w:r>
              <w:rPr>
                <w:rFonts w:ascii="仿宋_GB2312" w:hAnsi="仿宋_GB2312" w:cs="仿宋_GB2312" w:eastAsia="仿宋_GB2312"/>
              </w:rPr>
              <w:t>银行账号：696229944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6000.00元则供应商按6000.00元支付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联系电话：029-85578186转838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委托开展第九届中国-亚欧博览会陕西形象展展馆搭建及相关服务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804,000.00</w:t>
      </w:r>
    </w:p>
    <w:p>
      <w:pPr>
        <w:pStyle w:val="null3"/>
      </w:pPr>
      <w:r>
        <w:rPr>
          <w:rFonts w:ascii="仿宋_GB2312" w:hAnsi="仿宋_GB2312" w:cs="仿宋_GB2312" w:eastAsia="仿宋_GB2312"/>
        </w:rPr>
        <w:t>采购包最高限价（元）: 804,000.00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委托开展第九届中国-亚欧博览会陕西形象展展馆搭建及相关服务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标的名称：委托开展第九届中国-亚欧博览会陕西形象展展馆搭建及相关服务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采购内容：</w:t>
            </w:r>
            <w:r>
              <w:rPr>
                <w:rFonts w:ascii="仿宋_GB2312" w:hAnsi="仿宋_GB2312" w:cs="仿宋_GB2312" w:eastAsia="仿宋_GB2312"/>
                <w:sz w:val="28"/>
              </w:rPr>
              <w:t>委托开展第九届中国</w:t>
            </w:r>
            <w:r>
              <w:rPr>
                <w:rFonts w:ascii="仿宋_GB2312" w:hAnsi="仿宋_GB2312" w:cs="仿宋_GB2312" w:eastAsia="仿宋_GB2312"/>
                <w:sz w:val="28"/>
              </w:rPr>
              <w:t>-</w:t>
            </w:r>
            <w:r>
              <w:rPr>
                <w:rFonts w:ascii="仿宋_GB2312" w:hAnsi="仿宋_GB2312" w:cs="仿宋_GB2312" w:eastAsia="仿宋_GB2312"/>
                <w:sz w:val="28"/>
              </w:rPr>
              <w:t>亚欧博览会陕西形象展展馆搭建及相关服务。展区总面积</w:t>
            </w:r>
            <w:r>
              <w:rPr>
                <w:rFonts w:ascii="仿宋_GB2312" w:hAnsi="仿宋_GB2312" w:cs="仿宋_GB2312" w:eastAsia="仿宋_GB2312"/>
                <w:sz w:val="28"/>
              </w:rPr>
              <w:t xml:space="preserve"> 300 </w:t>
            </w:r>
            <w:r>
              <w:rPr>
                <w:rFonts w:ascii="仿宋_GB2312" w:hAnsi="仿宋_GB2312" w:cs="仿宋_GB2312" w:eastAsia="仿宋_GB2312"/>
                <w:sz w:val="28"/>
              </w:rPr>
              <w:t>平方米（</w:t>
            </w:r>
            <w:r>
              <w:rPr>
                <w:rFonts w:ascii="仿宋_GB2312" w:hAnsi="仿宋_GB2312" w:cs="仿宋_GB2312" w:eastAsia="仿宋_GB2312"/>
                <w:sz w:val="28"/>
              </w:rPr>
              <w:t xml:space="preserve">15 </w:t>
            </w:r>
            <w:r>
              <w:rPr>
                <w:rFonts w:ascii="仿宋_GB2312" w:hAnsi="仿宋_GB2312" w:cs="仿宋_GB2312" w:eastAsia="仿宋_GB2312"/>
                <w:sz w:val="28"/>
              </w:rPr>
              <w:t>米</w:t>
            </w:r>
            <w:r>
              <w:rPr>
                <w:rFonts w:ascii="仿宋_GB2312" w:hAnsi="仿宋_GB2312" w:cs="仿宋_GB2312" w:eastAsia="仿宋_GB2312"/>
                <w:sz w:val="28"/>
              </w:rPr>
              <w:t>×</w:t>
            </w:r>
            <w:r>
              <w:rPr>
                <w:rFonts w:ascii="仿宋_GB2312" w:hAnsi="仿宋_GB2312" w:cs="仿宋_GB2312" w:eastAsia="仿宋_GB2312"/>
                <w:sz w:val="28"/>
              </w:rPr>
              <w:t xml:space="preserve">20 </w:t>
            </w:r>
            <w:r>
              <w:rPr>
                <w:rFonts w:ascii="仿宋_GB2312" w:hAnsi="仿宋_GB2312" w:cs="仿宋_GB2312" w:eastAsia="仿宋_GB2312"/>
                <w:sz w:val="28"/>
              </w:rPr>
              <w:t>米），策展主题为“丝路陕韵・融通亚欧”。</w:t>
            </w:r>
          </w:p>
          <w:p>
            <w:pPr>
              <w:pStyle w:val="null3"/>
              <w:jc w:val="both"/>
            </w:pPr>
            <w:r>
              <w:rPr>
                <w:rFonts w:ascii="仿宋_GB2312" w:hAnsi="仿宋_GB2312" w:cs="仿宋_GB2312" w:eastAsia="仿宋_GB2312"/>
                <w:sz w:val="28"/>
              </w:rPr>
              <w:t>服务包含展馆设计、地面和主体结构搭建，展区展柜制作安装，整体</w:t>
            </w:r>
            <w:r>
              <w:rPr>
                <w:rFonts w:ascii="仿宋_GB2312" w:hAnsi="仿宋_GB2312" w:cs="仿宋_GB2312" w:eastAsia="仿宋_GB2312"/>
                <w:sz w:val="28"/>
              </w:rPr>
              <w:t>LOGO</w:t>
            </w:r>
            <w:r>
              <w:rPr>
                <w:rFonts w:ascii="仿宋_GB2312" w:hAnsi="仿宋_GB2312" w:cs="仿宋_GB2312" w:eastAsia="仿宋_GB2312"/>
                <w:sz w:val="28"/>
              </w:rPr>
              <w:t>字和墙面立体字制作，展区照明布置、电路布线，灯箱和展板制作，多媒体租赁；围绕能源化工、高端制造、文化旅游、羊绒毛产业四大展示板块进行场景布置、图文展板、视频播放、实物及模型陈列配套布置；以及展会全程相关会务配套服务、后期展台拆除等全部工作。</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需满足的要求：</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坚持勤俭节约：展场的设计、搭建应简约大方，注重环保，符合组委会对搭建材质的相关要求。</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会务服务安全：及时周到安全。</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设计布局合理：展场设计应构思新颖，创意独特，方便实用；科学设计参观游览线路，避免拥堵；要严格按照展馆要求进行设计和搭建（包括地台高度和悬挑造型等）。</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保证施工安全及消防要求：供应商布撤展期间必须保证施工安全，遵守场馆相关规定，并组织开展施工搭建安全检查，具有完善的施工安全及消防安全管理办法。供应商须制定搭建及展出安全承诺书，整个搭建及展会期间的安全责任，均由供应商承担，采购人概不负责。</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服务要求：在规定时间内完成展区整体设计，提交采购人进行审核，提出改进意见并修改方案至采购人满意。搭建期间，安排专人现场协调对接落实展区搭建各项具体事宜，严格执行方案，确保展示效果。采购价格为包干价，包括服务商完成展区设计搭建布展及展台拆除所需的全部费用。</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质量保证：展区整体策划要具有专业性、人文性、综合性、时尚性、协调性。设计效果与实际效果要保持一致。在规定的搭建时间内进驻展馆施工，完成布展工作，并确保工程质量符合标准。</w:t>
            </w:r>
          </w:p>
          <w:p>
            <w:pPr>
              <w:pStyle w:val="null3"/>
            </w:pPr>
            <w:r>
              <w:rPr>
                <w:rFonts w:ascii="仿宋_GB2312" w:hAnsi="仿宋_GB2312" w:cs="仿宋_GB2312" w:eastAsia="仿宋_GB2312"/>
                <w:sz w:val="28"/>
              </w:rPr>
              <w:t>7.</w:t>
            </w:r>
            <w:r>
              <w:rPr>
                <w:rFonts w:ascii="仿宋_GB2312" w:hAnsi="仿宋_GB2312" w:cs="仿宋_GB2312" w:eastAsia="仿宋_GB2312"/>
                <w:sz w:val="28"/>
              </w:rPr>
              <w:t>展位搭建所用材料应符合国家相关规定，不得使用劣质材料。中标供应商不得将项目转包、分包。为了确保服务质量，中标供应商应组织一支强有力的技术骨干队伍，建立严格的质量管理体系，规范操作。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合同履行结束并验收合格后一次性付清，达到付款条件起15个工作日内，支付合同总金额的100.0%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解决办法：1．在执行本合同中发生的或与本合同有关的争端，双方应通过友好协商解决，经协商在_10_天内不能达成协议时，则采取方式解决争议：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1.供应商缴纳保证金时请备注：2926保证金。 2.（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提供2024或2025年度经审计的完整财务审计报告，或其开标前六个月内基本存款账户开户银行出具的资信证明；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中小企业声明函 商务应答表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有详细的人员配置方案，有健全的组织机构及工作安排，岗位分工明确，得 7-10分；有详细的人员配置方案，组织机构及工作安排基本完善、合理，岗位分工明确得，4-7 分；有详细的人员配置方案，组织机构及工作安排合理性差，岗位分工不明确，得 1-4 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具有良好的服务能力，能够准确提供本地化服务。提供 7*24 小时售后， 如设备或系统发生故障，在10分钟内响应，2小时内到达现场解决问题，附本项目售后人员联系方式。（包括但不限于服务人员配备、响应时间、响应程度、解决问题能力、紧急故障处理预案等）进行综合评价。售后服务方案齐全合理、可操作性强；7-10 分； 售后服务方案基本满足项目需求；3-7 分； 售后服务方案不完整或合理性低 0-3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(1)展会进行前，供应商需对相应人员进行技术培训，在设备发生故障时的补救措施等方面有明确的承诺，承诺内容完善、合理、可行计 4-6 分，承诺内容基本完善、可行计 2-4 分，承诺内容欠缺，可行性差计 0-2 分，未提供不计分。 (2)供应商须确保项目能按时、按质完成，提供服务承诺；且有具体的技术服务保障措施、服务能力方案；方案完善、合理、可行计4-6 分，提供方案内容基本完善、可行计 2-4 分，提供方案内容欠缺，可行性差计 0-2 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供应商提供（2023年6月至今）类似项目业绩（承接过类似活动、会议、会展的设计搭建和服务保障工作），每提供 1 个得 1 分，最高得 3分；业绩证明（以合同或中标通知书为准，须在文件中附合同的扫描件加盖单位公章。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针对本项目服务要求编制，结合项目实际情况，对供应商服务方案的完善程度及合理性进行赋分。方案合理、完善的赋7-10分，方案较为合理、完善赋 4-7分，方案较差、措施一般赋0-4分。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工作进度计划及服务质量保障措施</w:t>
            </w:r>
          </w:p>
        </w:tc>
        <w:tc>
          <w:tcPr>
            <w:tcW w:type="dxa" w:w="2492"/>
          </w:tcPr>
          <w:p>
            <w:pPr>
              <w:pStyle w:val="null3"/>
            </w:pPr>
            <w:r>
              <w:rPr>
                <w:rFonts w:ascii="仿宋_GB2312" w:hAnsi="仿宋_GB2312" w:cs="仿宋_GB2312" w:eastAsia="仿宋_GB2312"/>
              </w:rPr>
              <w:t>工作进度计划合理、有可操作性，有详细的服务质量保障措施,在采购人规定的时间内高质量完成服务。措施方案合理、完善的赋 7-10 分，措施方案较为合理、完善赋 4-7 分，措施方案较差、一般赋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展会布置</w:t>
            </w:r>
          </w:p>
        </w:tc>
        <w:tc>
          <w:tcPr>
            <w:tcW w:type="dxa" w:w="2492"/>
          </w:tcPr>
          <w:p>
            <w:pPr>
              <w:pStyle w:val="null3"/>
            </w:pPr>
            <w:r>
              <w:rPr>
                <w:rFonts w:ascii="仿宋_GB2312" w:hAnsi="仿宋_GB2312" w:cs="仿宋_GB2312" w:eastAsia="仿宋_GB2312"/>
              </w:rPr>
              <w:t>布局合理、创意独特、构思新颖，根据采购内容服务要求，舞台搭建、现场布置，场地规划等方案。主题突出、特色鲜明、设计新颖、简洁大方，将传统与现代相结合，方案完善、合理、可行，得 7-10 分；方案基本合理、可行，得 4-7 分；方案内容简单，基本满足项目需求计 1-4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具有可行完善的突发事件及紧急情况处理措施方案</w:t>
            </w:r>
          </w:p>
        </w:tc>
        <w:tc>
          <w:tcPr>
            <w:tcW w:type="dxa" w:w="2492"/>
          </w:tcPr>
          <w:p>
            <w:pPr>
              <w:pStyle w:val="null3"/>
            </w:pPr>
            <w:r>
              <w:rPr>
                <w:rFonts w:ascii="仿宋_GB2312" w:hAnsi="仿宋_GB2312" w:cs="仿宋_GB2312" w:eastAsia="仿宋_GB2312"/>
              </w:rPr>
              <w:t>方案细致完整、可行、描述条理清晰，内容齐全，有较高的针对性赋 4-7分，方案较完整，针对性一般赋2-4分，方案含糊，针对性较差赋 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消防安全、设施设备等确保活动顺利实施</w:t>
            </w:r>
          </w:p>
        </w:tc>
        <w:tc>
          <w:tcPr>
            <w:tcW w:type="dxa" w:w="2492"/>
          </w:tcPr>
          <w:p>
            <w:pPr>
              <w:pStyle w:val="null3"/>
            </w:pPr>
            <w:r>
              <w:rPr>
                <w:rFonts w:ascii="仿宋_GB2312" w:hAnsi="仿宋_GB2312" w:cs="仿宋_GB2312" w:eastAsia="仿宋_GB2312"/>
              </w:rPr>
              <w:t>提供本项目消防安全、设施设备等确保活动顺利实施。方案完善、合理、可行，得 6-8 分；方案基本合理、可行，得 3-6 分；方案内容简单，基本满足项目需求得，0-3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保证活动顺利进行的安全方案。方案完善、合理、可行，得 7-10 分；方案基本合理、可行，得 4-7 分；方案内容简单，基本满足项目需求，得1-4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