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版本号：ZCTH2026-05-04620260604001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西安引镇街道鸿翔街供水工程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ZCTH2026-05-046</w:t>
      </w:r>
      <w:r>
        <w:br/>
      </w:r>
      <w:r>
        <w:br/>
      </w:r>
      <w:r>
        <w:br/>
      </w:r>
    </w:p>
    <w:p>
      <w:pPr>
        <w:pStyle w:val="null3"/>
        <w:jc w:val="center"/>
        <w:outlineLvl w:val="2"/>
      </w:pPr>
      <w:r>
        <w:rPr>
          <w:rFonts w:ascii="仿宋_GB2312" w:hAnsi="仿宋_GB2312" w:cs="仿宋_GB2312" w:eastAsia="仿宋_GB2312"/>
          <w:sz w:val="28"/>
          <w:b/>
        </w:rPr>
        <w:t>西安市长安区引镇街道办事处</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西安市长安区引镇街道办事处</w:t>
      </w:r>
      <w:r>
        <w:rPr>
          <w:rFonts w:ascii="仿宋_GB2312" w:hAnsi="仿宋_GB2312" w:cs="仿宋_GB2312" w:eastAsia="仿宋_GB2312"/>
        </w:rPr>
        <w:t>委托，拟对</w:t>
      </w:r>
      <w:r>
        <w:rPr>
          <w:rFonts w:ascii="仿宋_GB2312" w:hAnsi="仿宋_GB2312" w:cs="仿宋_GB2312" w:eastAsia="仿宋_GB2312"/>
        </w:rPr>
        <w:t>西安引镇街道鸿翔街供水工程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ZCTH2026-05-046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西安引镇街道鸿翔街供水工程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西安引镇街道鸿翔街供水工程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采购包1（西安引镇街道鸿翔街供水工程）：属于专门面向中小企业采购。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2、法定代表人授权委托书：法定代表人参加投标的，须出示身份证复印件加盖公章；法定代表人授权他人参加投标的，须提供法定代表人授权委托书及被授权人身份证复印件加盖公章</w:t>
      </w:r>
    </w:p>
    <w:p>
      <w:pPr>
        <w:pStyle w:val="null3"/>
      </w:pPr>
      <w:r>
        <w:rPr>
          <w:rFonts w:ascii="仿宋_GB2312" w:hAnsi="仿宋_GB2312" w:cs="仿宋_GB2312" w:eastAsia="仿宋_GB2312"/>
        </w:rPr>
        <w:t>3、财务状况报告：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6、资质证书、安全生产许可证：供应商需具备市政公用工程施工总承包叁级（含叁级）以上资质且具备有效的安全生产许可证</w:t>
      </w:r>
    </w:p>
    <w:p>
      <w:pPr>
        <w:pStyle w:val="null3"/>
      </w:pPr>
      <w:r>
        <w:rPr>
          <w:rFonts w:ascii="仿宋_GB2312" w:hAnsi="仿宋_GB2312" w:cs="仿宋_GB2312" w:eastAsia="仿宋_GB2312"/>
        </w:rPr>
        <w:t>7、项目经理：拟派项目经理具备市政工程专业贰级（含贰级）以上注册建造师资质，具备有效的安全生产考核合格证书（安全生产考核 B 类证书），且无在建工程（提供承诺书)</w:t>
      </w:r>
    </w:p>
    <w:p>
      <w:pPr>
        <w:pStyle w:val="null3"/>
      </w:pPr>
      <w:r>
        <w:rPr>
          <w:rFonts w:ascii="仿宋_GB2312" w:hAnsi="仿宋_GB2312" w:cs="仿宋_GB2312" w:eastAsia="仿宋_GB2312"/>
        </w:rPr>
        <w:t>8、书面声明：提供具有履行本合同所必需的设备和专业技术能力的声明、参加采购活动前3年内在经营活动中没有重大违法记录的书面承诺</w:t>
      </w:r>
    </w:p>
    <w:p>
      <w:pPr>
        <w:pStyle w:val="null3"/>
      </w:pPr>
      <w:r>
        <w:rPr>
          <w:rFonts w:ascii="仿宋_GB2312" w:hAnsi="仿宋_GB2312" w:cs="仿宋_GB2312" w:eastAsia="仿宋_GB2312"/>
        </w:rPr>
        <w:t>9、其他：供应商基本信息及项目经理的基本信息在“陕西省住房和城乡建设厅网站（http://js.shaanxi.gov.cn/）陕西省建筑市场监管与诚信信息发布平台”可查询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西安市长安区引镇街道办事处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西安市长安区引镇街道鸿翔东街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西安市长安区引镇街道办事处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杨玉婷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采购包1：931,995.09元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1.代理服务费以采购项目的中标（成交）金额作为收费基数，按照国家计委（计价格【2002】1980号）《招标代理服务收费管理暂行办法》规定的货物类收费标准收取。由成交供应商向采购代理机构一次性支付，具体收费金额以采购结果公示为准。 2.成交单位在领取成交通知书前，须向采购代理机构一次性支付采购代理服务费。 3.代理费缴存账户： 开户收款单位：陕西中诚天和项目管理有限公司；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西安市长安区引镇街道办事处</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西安市长安区引镇街道办事处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西安市长安区引镇街道办事处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满⾜采购需求，符合国家相关⾏业标准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931,995.09</w:t>
      </w:r>
    </w:p>
    <w:p>
      <w:pPr>
        <w:pStyle w:val="null3"/>
      </w:pPr>
      <w:r>
        <w:rPr>
          <w:rFonts w:ascii="仿宋_GB2312" w:hAnsi="仿宋_GB2312" w:cs="仿宋_GB2312" w:eastAsia="仿宋_GB2312"/>
        </w:rPr>
        <w:t>采购包最高限价（元）: 931,995.09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西安引镇街道鸿翔街供水工程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931,995.09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标的名称：西安引镇街道鸿翔街供水工程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28"/>
                <w:b/>
                <w:color w:val="000000"/>
              </w:rPr>
              <w:t>一、工程概况</w:t>
            </w:r>
          </w:p>
          <w:p>
            <w:pPr>
              <w:pStyle w:val="null3"/>
              <w:ind w:firstLine="560"/>
              <w:jc w:val="left"/>
            </w:pP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位于西安市长安区引镇街道办鸿翔街，已建成的水源为鸿翔街两侧住户供水水源，由该水源水箱接</w:t>
            </w:r>
            <w:r>
              <w:rPr>
                <w:rFonts w:ascii="仿宋_GB2312" w:hAnsi="仿宋_GB2312" w:cs="仿宋_GB2312" w:eastAsia="仿宋_GB2312"/>
                <w:sz w:val="28"/>
                <w:color w:val="000000"/>
              </w:rPr>
              <w:t>DN200PE 出水管管道，并更换街道输水管网。</w:t>
            </w:r>
          </w:p>
          <w:p>
            <w:pPr>
              <w:pStyle w:val="null3"/>
              <w:ind w:firstLine="562"/>
              <w:jc w:val="left"/>
            </w:pPr>
            <w:r>
              <w:rPr>
                <w:rFonts w:ascii="仿宋_GB2312" w:hAnsi="仿宋_GB2312" w:cs="仿宋_GB2312" w:eastAsia="仿宋_GB2312"/>
                <w:sz w:val="28"/>
                <w:b/>
                <w:color w:val="000000"/>
              </w:rPr>
              <w:t>二、编制范围</w:t>
            </w:r>
          </w:p>
          <w:p>
            <w:pPr>
              <w:pStyle w:val="null3"/>
              <w:ind w:firstLine="560"/>
              <w:jc w:val="left"/>
            </w:pPr>
            <w:r>
              <w:rPr>
                <w:rFonts w:ascii="仿宋_GB2312" w:hAnsi="仿宋_GB2312" w:cs="仿宋_GB2312" w:eastAsia="仿宋_GB2312"/>
                <w:sz w:val="28"/>
                <w:color w:val="000000"/>
              </w:rPr>
              <w:t>本项目为</w:t>
            </w:r>
            <w:r>
              <w:rPr>
                <w:rFonts w:ascii="仿宋_GB2312" w:hAnsi="仿宋_GB2312" w:cs="仿宋_GB2312" w:eastAsia="仿宋_GB2312"/>
                <w:sz w:val="28"/>
                <w:color w:val="000000"/>
              </w:rPr>
              <w:t>西安市长安区引镇街道鸿翔街供水工程</w:t>
            </w:r>
            <w:r>
              <w:rPr>
                <w:rFonts w:ascii="仿宋_GB2312" w:hAnsi="仿宋_GB2312" w:cs="仿宋_GB2312" w:eastAsia="仿宋_GB2312"/>
                <w:sz w:val="28"/>
                <w:color w:val="000000"/>
              </w:rPr>
              <w:t>，项目建设主要内容为</w:t>
            </w:r>
            <w:r>
              <w:rPr>
                <w:rFonts w:ascii="仿宋_GB2312" w:hAnsi="仿宋_GB2312" w:cs="仿宋_GB2312" w:eastAsia="仿宋_GB2312"/>
                <w:sz w:val="28"/>
                <w:color w:val="000000"/>
              </w:rPr>
              <w:t>铺设管道及配套阀门井</w:t>
            </w:r>
            <w:r>
              <w:rPr>
                <w:rFonts w:ascii="仿宋_GB2312" w:hAnsi="仿宋_GB2312" w:cs="仿宋_GB2312" w:eastAsia="仿宋_GB2312"/>
                <w:sz w:val="28"/>
                <w:color w:val="000000"/>
              </w:rPr>
              <w:t>，具体内容以施工图纸及工程量清单为准。</w:t>
            </w:r>
          </w:p>
          <w:p>
            <w:pPr>
              <w:pStyle w:val="null3"/>
              <w:ind w:firstLine="562"/>
              <w:jc w:val="left"/>
            </w:pPr>
            <w:r>
              <w:rPr>
                <w:rFonts w:ascii="仿宋_GB2312" w:hAnsi="仿宋_GB2312" w:cs="仿宋_GB2312" w:eastAsia="仿宋_GB2312"/>
                <w:sz w:val="28"/>
                <w:b/>
                <w:color w:val="000000"/>
              </w:rPr>
              <w:t>三、编制依据</w:t>
            </w:r>
          </w:p>
          <w:p>
            <w:pPr>
              <w:pStyle w:val="null3"/>
              <w:ind w:firstLine="560"/>
              <w:jc w:val="left"/>
            </w:pPr>
            <w:r>
              <w:rPr>
                <w:rFonts w:ascii="仿宋_GB2312" w:hAnsi="仿宋_GB2312" w:cs="仿宋_GB2312" w:eastAsia="仿宋_GB2312"/>
                <w:sz w:val="28"/>
                <w:color w:val="000000"/>
              </w:rPr>
              <w:t>1、设计图纸：</w:t>
            </w:r>
            <w:r>
              <w:rPr>
                <w:rFonts w:ascii="仿宋_GB2312" w:hAnsi="仿宋_GB2312" w:cs="仿宋_GB2312" w:eastAsia="仿宋_GB2312"/>
                <w:sz w:val="28"/>
                <w:color w:val="000000"/>
              </w:rPr>
              <w:t>西安市长安区引镇街道鸿翔街供水工程</w:t>
            </w:r>
            <w:r>
              <w:rPr>
                <w:rFonts w:ascii="仿宋_GB2312" w:hAnsi="仿宋_GB2312" w:cs="仿宋_GB2312" w:eastAsia="仿宋_GB2312"/>
                <w:sz w:val="28"/>
                <w:color w:val="000000"/>
              </w:rPr>
              <w:t>设计施工图。</w:t>
            </w:r>
          </w:p>
          <w:p>
            <w:pPr>
              <w:pStyle w:val="null3"/>
              <w:ind w:firstLine="56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、《建设工程工程量清单计价规范》（</w:t>
            </w:r>
            <w:r>
              <w:rPr>
                <w:rFonts w:ascii="仿宋_GB2312" w:hAnsi="仿宋_GB2312" w:cs="仿宋_GB2312" w:eastAsia="仿宋_GB2312"/>
                <w:sz w:val="28"/>
                <w:color w:val="000000"/>
              </w:rPr>
              <w:t>GB505002008）。</w:t>
            </w:r>
          </w:p>
          <w:p>
            <w:pPr>
              <w:pStyle w:val="null3"/>
              <w:ind w:firstLine="560"/>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、依据</w:t>
            </w:r>
            <w:r>
              <w:rPr>
                <w:rFonts w:ascii="仿宋_GB2312" w:hAnsi="仿宋_GB2312" w:cs="仿宋_GB2312" w:eastAsia="仿宋_GB2312"/>
                <w:sz w:val="28"/>
                <w:color w:val="000000"/>
              </w:rPr>
              <w:t>《</w:t>
            </w:r>
            <w:r>
              <w:rPr>
                <w:rFonts w:ascii="仿宋_GB2312" w:hAnsi="仿宋_GB2312" w:cs="仿宋_GB2312" w:eastAsia="仿宋_GB2312"/>
                <w:sz w:val="28"/>
                <w:color w:val="000000"/>
              </w:rPr>
              <w:t>陕西省水利水电预算定额》（</w:t>
            </w:r>
            <w:r>
              <w:rPr>
                <w:rFonts w:ascii="仿宋_GB2312" w:hAnsi="仿宋_GB2312" w:cs="仿宋_GB2312" w:eastAsia="仿宋_GB2312"/>
                <w:sz w:val="28"/>
                <w:color w:val="000000"/>
              </w:rPr>
              <w:t>2019）等计价依据的批复，陕西省发改委陕发改投资［2016］1303号“关于《陕西省水利水电工程营业税改增值税计价依据调整办法》的批复”</w:t>
            </w:r>
            <w:r>
              <w:rPr>
                <w:rFonts w:ascii="仿宋_GB2312" w:hAnsi="仿宋_GB2312" w:cs="仿宋_GB2312" w:eastAsia="仿宋_GB2312"/>
                <w:sz w:val="24"/>
                <w:color w:val="000000"/>
              </w:rPr>
              <w:t>，</w:t>
            </w:r>
            <w:r>
              <w:rPr>
                <w:rFonts w:ascii="仿宋_GB2312" w:hAnsi="仿宋_GB2312" w:cs="仿宋_GB2312" w:eastAsia="仿宋_GB2312"/>
                <w:sz w:val="28"/>
                <w:color w:val="000000"/>
              </w:rPr>
              <w:t>陕发改项目</w:t>
            </w:r>
            <w:r>
              <w:rPr>
                <w:rFonts w:ascii="仿宋_GB2312" w:hAnsi="仿宋_GB2312" w:cs="仿宋_GB2312" w:eastAsia="仿宋_GB2312"/>
                <w:sz w:val="28"/>
                <w:color w:val="000000"/>
              </w:rPr>
              <w:t>[2017]1606号，</w:t>
            </w:r>
            <w:r>
              <w:rPr>
                <w:rFonts w:ascii="仿宋_GB2312" w:hAnsi="仿宋_GB2312" w:cs="仿宋_GB2312" w:eastAsia="仿宋_GB2312"/>
                <w:sz w:val="28"/>
                <w:color w:val="000000"/>
              </w:rPr>
              <w:t>及国家、地方现行相关规定。</w:t>
            </w:r>
          </w:p>
          <w:p>
            <w:pPr>
              <w:pStyle w:val="null3"/>
              <w:ind w:firstLine="560"/>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、与建设项目相关的标准、规范等技术资料。</w:t>
            </w:r>
          </w:p>
          <w:p>
            <w:pPr>
              <w:pStyle w:val="null3"/>
              <w:ind w:firstLine="560"/>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、本工程主要材料价格参照市场价计入。</w:t>
            </w:r>
          </w:p>
          <w:p>
            <w:pPr>
              <w:pStyle w:val="null3"/>
              <w:ind w:firstLine="562"/>
              <w:jc w:val="left"/>
            </w:pPr>
            <w:r>
              <w:rPr>
                <w:rFonts w:ascii="仿宋_GB2312" w:hAnsi="仿宋_GB2312" w:cs="仿宋_GB2312" w:eastAsia="仿宋_GB2312"/>
                <w:sz w:val="28"/>
                <w:b/>
                <w:color w:val="000000"/>
              </w:rPr>
              <w:t>四、版本号说明</w:t>
            </w:r>
          </w:p>
          <w:p>
            <w:pPr>
              <w:pStyle w:val="null3"/>
              <w:ind w:firstLine="560"/>
              <w:jc w:val="left"/>
            </w:pPr>
            <w:r>
              <w:rPr>
                <w:rFonts w:ascii="仿宋_GB2312" w:hAnsi="仿宋_GB2312" w:cs="仿宋_GB2312" w:eastAsia="仿宋_GB2312"/>
                <w:sz w:val="28"/>
                <w:color w:val="000000"/>
              </w:rPr>
              <w:t>1、本工程采用</w:t>
            </w:r>
            <w:r>
              <w:rPr>
                <w:rFonts w:ascii="仿宋_GB2312" w:hAnsi="仿宋_GB2312" w:cs="仿宋_GB2312" w:eastAsia="仿宋_GB2312"/>
                <w:sz w:val="28"/>
                <w:color w:val="000000"/>
              </w:rPr>
              <w:t>易投造价软件编制</w:t>
            </w:r>
            <w:r>
              <w:rPr>
                <w:rFonts w:ascii="仿宋_GB2312" w:hAnsi="仿宋_GB2312" w:cs="仿宋_GB2312" w:eastAsia="仿宋_GB2312"/>
                <w:sz w:val="28"/>
                <w:color w:val="000000"/>
              </w:rPr>
              <w:t>。</w:t>
            </w:r>
          </w:p>
          <w:p>
            <w:pPr>
              <w:pStyle w:val="null3"/>
              <w:ind w:firstLine="562"/>
              <w:jc w:val="left"/>
            </w:pPr>
            <w:r>
              <w:rPr>
                <w:rFonts w:ascii="仿宋_GB2312" w:hAnsi="仿宋_GB2312" w:cs="仿宋_GB2312" w:eastAsia="仿宋_GB2312"/>
                <w:sz w:val="28"/>
                <w:b/>
                <w:color w:val="000000"/>
              </w:rPr>
              <w:t>五、其它说明</w:t>
            </w:r>
          </w:p>
          <w:p>
            <w:pPr>
              <w:pStyle w:val="null3"/>
              <w:ind w:firstLine="5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、本工程量清单所提供工程项目特征仅表达了主要工程做法。组价时应依据设计图纸、相关图集、技术规范等进行组价。</w:t>
            </w:r>
          </w:p>
          <w:p>
            <w:pPr>
              <w:pStyle w:val="null3"/>
            </w:pPr>
            <w:r>
              <w:rPr>
                <w:rFonts w:ascii="仿宋_GB2312" w:hAnsi="仿宋_GB2312" w:cs="仿宋_GB2312" w:eastAsia="仿宋_GB2312"/>
                <w:sz w:val="28"/>
                <w:color w:val="000000"/>
              </w:rPr>
              <w:t xml:space="preserve">    2</w:t>
            </w:r>
            <w:r>
              <w:rPr>
                <w:rFonts w:ascii="仿宋_GB2312" w:hAnsi="仿宋_GB2312" w:cs="仿宋_GB2312" w:eastAsia="仿宋_GB2312"/>
                <w:sz w:val="28"/>
                <w:color w:val="000000"/>
              </w:rPr>
              <w:t>、所有回填土、灰土用土均按现场土考虑，不计黄土价</w:t>
            </w:r>
            <w:r>
              <w:rPr>
                <w:rFonts w:ascii="仿宋_GB2312" w:hAnsi="仿宋_GB2312" w:cs="仿宋_GB2312" w:eastAsia="仿宋_GB2312"/>
                <w:sz w:val="28"/>
                <w:color w:val="000000"/>
              </w:rPr>
              <w:t>,并需在综合单价中考虑现场倒运。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2个月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《建设工程安全生产管理条例》 《西安市建筑垃圾管理条例》 《西安市扬尘污染防治条例》 《建筑机械使用安全技术规程》</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施工质量要求 1.质量目标 （1）保证本工程一次交验达到合格标准。 （2）严格按国家现行施工验收规范施工，严格按照国家相关防雷规范标准，检评各分部分项工程，确保本工程一次性交验合格并争取达到合格标准。 （3）加强工程质量过程控制，确保各施工过程、施工工艺处于受控状态。 （4）坚决贯彻执行《建设工程质量管理条例》及《工程建设标准强制条文》的有关条款，严格履行供应单位的质量责任和义务，确保建设工程施工质量。 （5）保证圆满实现本项目的所有各项使用功能，并加强对主要分部的质量控制，彻底消除质量通病。 2.安全生产、文明施工目标 （1）创安全文明施工达标现场，杜绝重伤事故、火灾事故。 （2）认真贯彻实施国家标准《建筑施工安全检查标准》JGJ 59-2011、《声环境质量标准》GB 3096-2008及相关标准、规范要求。四、工程量清单（详见附件） （说明：工程量清单应当结合《政府采购需求管理办法》（财库〔2021〕22号）第六条第二款规定，明确相关性能、材料、结构、外观、安全、标准等。）</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或2025年度的经会计师事务所或审计机构审计的财务审计报告或在开标日期前六个月内其基本开户银行出具的资信证明或财政部门认可的政府采购专业担保机构出具的投标担保函。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法定代表人参加投标的，须出示身份证复印件加盖公章；法定代表人授权他人参加投标的，须提供法定代表人授权委托书及被授权人身份证复印件加盖公章</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资质证书、安全生产许可证</w:t>
            </w:r>
          </w:p>
        </w:tc>
        <w:tc>
          <w:tcPr>
            <w:tcW w:type="dxa" w:w="3322"/>
          </w:tcPr>
          <w:p>
            <w:pPr>
              <w:pStyle w:val="null3"/>
            </w:pPr>
            <w:r>
              <w:rPr>
                <w:rFonts w:ascii="仿宋_GB2312" w:hAnsi="仿宋_GB2312" w:cs="仿宋_GB2312" w:eastAsia="仿宋_GB2312"/>
              </w:rPr>
              <w:t>供应商需具备市政公用工程施工总承包叁级（含叁级）以上资质且具备有效的安全生产许可证</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拟派项目经理具备市政工程专业贰级（含贰级）以上注册建造师资质，具备有效的安全生产考核合格证书（安全生产考核 B 类证书），且无在建工程（提供承诺书)</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供应商基本信息及项目经理的基本信息在“陕西省住房和城乡建设厅网站（http://js.shaanxi.gov.cn/）陕西省建筑市场监管与诚信信息发布平台”可查询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供应商资质证明文件(1).docx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其他证明材料.docx 响应函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工期、工程质量</w:t>
            </w:r>
          </w:p>
        </w:tc>
        <w:tc>
          <w:tcPr>
            <w:tcW w:type="dxa" w:w="3322"/>
          </w:tcPr>
          <w:p>
            <w:pPr>
              <w:pStyle w:val="null3"/>
            </w:pPr>
            <w:r>
              <w:rPr>
                <w:rFonts w:ascii="仿宋_GB2312" w:hAnsi="仿宋_GB2312" w:cs="仿宋_GB2312" w:eastAsia="仿宋_GB2312"/>
              </w:rPr>
              <w:t>符合“采购需求”的规定</w:t>
            </w:r>
          </w:p>
        </w:tc>
        <w:tc>
          <w:tcPr>
            <w:tcW w:type="dxa" w:w="1661"/>
          </w:tcPr>
          <w:p>
            <w:pPr>
              <w:pStyle w:val="null3"/>
            </w:pPr>
            <w:r>
              <w:rPr>
                <w:rFonts w:ascii="仿宋_GB2312" w:hAnsi="仿宋_GB2312" w:cs="仿宋_GB2312" w:eastAsia="仿宋_GB2312"/>
              </w:rPr>
              <w:t>已标价工程量清单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符合磋商文件给出的范围和数量</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技术标准和要求</w:t>
            </w:r>
          </w:p>
        </w:tc>
        <w:tc>
          <w:tcPr>
            <w:tcW w:type="dxa" w:w="3322"/>
          </w:tcPr>
          <w:p>
            <w:pPr>
              <w:pStyle w:val="null3"/>
            </w:pPr>
            <w:r>
              <w:rPr>
                <w:rFonts w:ascii="仿宋_GB2312" w:hAnsi="仿宋_GB2312" w:cs="仿宋_GB2312" w:eastAsia="仿宋_GB2312"/>
              </w:rPr>
              <w:t>符合“采购需求”的规定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符合“政府采购合同格式”条款中实质性要求和条件</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施工总体流程安排合理，对项目关键技术、工艺的表述全面深入，对重点难点工程有先进 、合理的建议，提出的解决方案完整、经济、安全、切实可行得7.0-10.0分。施工总体流 程安排合理，对项目关键技术、工艺不够全面深入，对重点难点工程分析不全面彻底，提 出的解决方案基本满足要求得4-6.9分。施工总体流程安排合理，对项目关键技术、工艺 描述不足，缺乏对重点难点工程的分析，提出的解决方案不能充分满足工程需要得0-3.9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分析本项目进度目标及关键节点，同时针对关键节点、具体环节提出相应进度保障措施， 并根据本项目的工期要求，提供全面的确保工程按期按质完成的进度计划安排。整体进度 安排（施工进度表或施工网络图）及各阶段进度保证措施内容合理、方案具体可行、完全 符合要求得7.0-10.0分；内容较合理、方案可行性一般，基本符合要求得4.0-6.9分；内 容不完备、方案可行性差、不能全面符合要求得0-3.9分；未提供不得分。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施工应急预案</w:t>
            </w:r>
          </w:p>
        </w:tc>
        <w:tc>
          <w:tcPr>
            <w:tcW w:type="dxa" w:w="2492"/>
          </w:tcPr>
          <w:p>
            <w:pPr>
              <w:pStyle w:val="null3"/>
            </w:pPr>
            <w:r>
              <w:rPr>
                <w:rFonts w:ascii="仿宋_GB2312" w:hAnsi="仿宋_GB2312" w:cs="仿宋_GB2312" w:eastAsia="仿宋_GB2312"/>
              </w:rPr>
              <w:t>针对本项目制定切实可行的人工、材料、设备的组织方案、给出有针对性的施工应急预案 。内容合理、方案具体可行、完全符合要求得3.0-5.0分；内容较合理、方案可行性一般 , 基本符合要求得1.0-2.9分；内容不完备、方案可行性差、不能全面符合要求得0-0.9分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针对本项目作出合理有效的工程施工承诺（包括但不限于不得拖欠施工人员工资、具体可行并符合国家相关保修规范的售后服务承诺等），按其响应程度计 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针对本项目制定切实可行的总体质量控制目标，且对质量控制目标进行合理分解、规划， 确保本项目质量标准符合相关标准。内容合理、方案具体可行、完全符合要求得7.0-10.0 分；内容较合理、方案可行性一般，基本符合要求得4.0-6.9分；内容不完备、方案可行 性差、不能全面符合要求得0-3.9分；未提供不得分。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项目部组成人员配备合理、分工明确，有详细的安排计划得7.0-10.0分；组成人员配备较 合理、分工较明确，安排计划较合理得4.0-6.9分；组成人员配备基本合理、分工基本明 确，安排计划基本合理得0-3.9分；未提供不得分。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安全文明施工措施计划</w:t>
            </w:r>
          </w:p>
        </w:tc>
        <w:tc>
          <w:tcPr>
            <w:tcW w:type="dxa" w:w="2492"/>
          </w:tcPr>
          <w:p>
            <w:pPr>
              <w:pStyle w:val="null3"/>
            </w:pPr>
            <w:r>
              <w:rPr>
                <w:rFonts w:ascii="仿宋_GB2312" w:hAnsi="仿宋_GB2312" w:cs="仿宋_GB2312" w:eastAsia="仿宋_GB2312"/>
              </w:rPr>
              <w:t>结合工程环境、特点分析安全隐患，给出有针对性的安全生产、文明施工、环保施工、防 尘降噪等保证措施。安全文明、环保保证体系组织措施和控制点设置合理，内容合理、方 案具体可行、完全符合要求得4.0-6.0分；内容较合理、方案可行性一般，基本符合要求 得2.0-3.9分；内容不完备、方案可行性差、不能全面符合要求得0-1.9分；未提供不得分。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可实施性强得6-9分； 可实施性一般得3-5.9分；可实施性较低得0-2.9分；未提供不得分。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供应商应提供2023年1月起至今承接过类似项目的业绩合同证明材料（以合同的签订日期为准，须提供合同复印件加盖公章）（每提供一个得1分，满分5分）。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详见附件：供应商资质证明文件(1).docx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