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版本号：SXZH-2026-04720260513001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末端处理设施各类污染物及其周边土壤环境检测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SXZH-2026-047</w:t>
      </w:r>
      <w:r>
        <w:br/>
      </w:r>
      <w:r>
        <w:br/>
      </w:r>
      <w:r>
        <w:br/>
      </w:r>
    </w:p>
    <w:p>
      <w:pPr>
        <w:pStyle w:val="null3"/>
        <w:jc w:val="center"/>
        <w:outlineLvl w:val="2"/>
      </w:pPr>
      <w:r>
        <w:rPr>
          <w:rFonts w:ascii="仿宋_GB2312" w:hAnsi="仿宋_GB2312" w:cs="仿宋_GB2312" w:eastAsia="仿宋_GB2312"/>
          <w:sz w:val="28"/>
          <w:b/>
        </w:rPr>
        <w:t>西安市生活垃圾分类服务中心</w:t>
      </w:r>
    </w:p>
    <w:p>
      <w:pPr>
        <w:pStyle w:val="null3"/>
        <w:jc w:val="center"/>
        <w:outlineLvl w:val="2"/>
      </w:pPr>
      <w:r>
        <w:rPr>
          <w:rFonts w:ascii="仿宋_GB2312" w:hAnsi="仿宋_GB2312" w:cs="仿宋_GB2312" w:eastAsia="仿宋_GB2312"/>
          <w:sz w:val="28"/>
          <w:b/>
        </w:rPr>
        <w:t>陕西筑辉工程咨询有限公司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陕西筑辉工程咨询有限公司</w:t>
      </w:r>
      <w:r>
        <w:rPr>
          <w:rFonts w:ascii="仿宋_GB2312" w:hAnsi="仿宋_GB2312" w:cs="仿宋_GB2312" w:eastAsia="仿宋_GB2312"/>
        </w:rPr>
        <w:t>（以下简称“代理机构”）受</w:t>
      </w:r>
      <w:r>
        <w:rPr>
          <w:rFonts w:ascii="仿宋_GB2312" w:hAnsi="仿宋_GB2312" w:cs="仿宋_GB2312" w:eastAsia="仿宋_GB2312"/>
        </w:rPr>
        <w:t>西安市生活垃圾分类服务中心</w:t>
      </w:r>
      <w:r>
        <w:rPr>
          <w:rFonts w:ascii="仿宋_GB2312" w:hAnsi="仿宋_GB2312" w:cs="仿宋_GB2312" w:eastAsia="仿宋_GB2312"/>
        </w:rPr>
        <w:t>委托，拟对</w:t>
      </w:r>
      <w:r>
        <w:rPr>
          <w:rFonts w:ascii="仿宋_GB2312" w:hAnsi="仿宋_GB2312" w:cs="仿宋_GB2312" w:eastAsia="仿宋_GB2312"/>
        </w:rPr>
        <w:t>末端处理设施各类污染物及其周边土壤环境检测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SXZH-2026-047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末端处理设施各类污染物及其周边土壤环境检测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5座焚烧厂+4座厨余（餐厨）垃圾处理厂各类污染物及其周边土壤环境检测，对各末端处理设施产生的各类污染物及其周边土壤环境进行检测，判断是否对周边环境造成负面影响，并提出改进建议，为政府监管提供第一手技术数据，促进各处理设施安全、达标、稳定运行。</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采购包1（末端处理设施各类污染物及其周边土壤环境检测）：属于专门面向中小企业采购。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1、供应商需具有检验检测机构资质认定证书(CMA）：供应商需具有检验检测机构资质认定证书(CMA）</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西安市生活垃圾分类服务中心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西安市莲湖区太白北路320号华弘大厦4楼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029-89381575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陕西筑辉工程咨询有限公司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陕西省西安市雁塔区南二环东段22号凯森盛世1号B座2层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17392900503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采购包1：728,000.00元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的计算方法：以成交金额为基数，参考《招标代理服务收费管理暂行办法》（计价格【2002】1980号）及《关于降低部分建设项目收费标准规范收费行为等有关问题的通知》（发改价格[2011]534号）规定按标准下浮5%收取。 2、采购代理服务费可以采取现金、支票、银行汇票、电汇、网银等方式缴纳。 3、招标代理服务费缴纳信息： 银行户名：陕西筑辉工程咨询有限公司 开户银行：北京银行股份有限公司西安经济技术开发区支行 账 号：20000041418600030109571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西安市生活垃圾分类服务中心</w:t>
      </w:r>
      <w:r>
        <w:rPr>
          <w:rFonts w:ascii="仿宋_GB2312" w:hAnsi="仿宋_GB2312" w:cs="仿宋_GB2312" w:eastAsia="仿宋_GB2312"/>
        </w:rPr>
        <w:t>和</w:t>
      </w:r>
      <w:r>
        <w:rPr>
          <w:rFonts w:ascii="仿宋_GB2312" w:hAnsi="仿宋_GB2312" w:cs="仿宋_GB2312" w:eastAsia="仿宋_GB2312"/>
        </w:rPr>
        <w:t>陕西筑辉工程咨询有限公司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西安市生活垃圾分类服务中心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陕西筑辉工程咨询有限公司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西安市生活垃圾分类服务中心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陕西筑辉工程咨询有限公司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和成交供应商共同对项目进行整体验收。其内容包括是否按照采购人要求进行服务、是否在规定时间内服务完毕、服务工作是否存在失误。验收合格后，填写政府采购项目验收单作为对本服务的最终认可。服务商向采购人提供服务过程中的所有相关资料，以便采购人日后管理。验收依据为竞争性磋商文件、磋商响应文件、澄清表（函）、政府采购合同及附件文本、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陕西筑辉工程咨询有限公司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陕西筑辉工程咨询有限公司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陕西筑辉工程咨询有限公司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联系人：孙誉</w:t>
      </w:r>
    </w:p>
    <w:p>
      <w:pPr>
        <w:pStyle w:val="null3"/>
      </w:pPr>
      <w:r>
        <w:rPr>
          <w:rFonts w:ascii="仿宋_GB2312" w:hAnsi="仿宋_GB2312" w:cs="仿宋_GB2312" w:eastAsia="仿宋_GB2312"/>
        </w:rPr>
        <w:t>联系电话：17392900503</w:t>
      </w:r>
    </w:p>
    <w:p>
      <w:pPr>
        <w:pStyle w:val="null3"/>
      </w:pPr>
      <w:r>
        <w:rPr>
          <w:rFonts w:ascii="仿宋_GB2312" w:hAnsi="仿宋_GB2312" w:cs="仿宋_GB2312" w:eastAsia="仿宋_GB2312"/>
        </w:rPr>
        <w:t>地址：西安市雁塔区南二环东段22号（凯森盛世1号）B座2层</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5座焚烧厂+4座厨余（餐厨）垃圾处理厂各类污染物及其周边土壤环境检测，对各末端处理设施产生的各类污染物及其周边土壤环境进行检测，判断是否对周边环境造成负面影响，并提出改进建议，为政府监管提供第一手技术数据，促进各处理设施安全、达标、稳定运行。</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728,000.00</w:t>
      </w:r>
    </w:p>
    <w:p>
      <w:pPr>
        <w:pStyle w:val="null3"/>
      </w:pPr>
      <w:r>
        <w:rPr>
          <w:rFonts w:ascii="仿宋_GB2312" w:hAnsi="仿宋_GB2312" w:cs="仿宋_GB2312" w:eastAsia="仿宋_GB2312"/>
        </w:rPr>
        <w:t>采购包最高限价（元）: 728,000.00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末端处理设施各类污染物及其周边土壤环境检测</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728,000.00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标的名称：末端处理设施各类污染物及其周边土壤环境检测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327"/>
              <w:gridCol w:w="345"/>
              <w:gridCol w:w="576"/>
              <w:gridCol w:w="909"/>
              <w:gridCol w:w="395"/>
            </w:tblGrid>
            <w:tr>
              <w:tc>
                <w:tcPr>
                  <w:tcW w:type="dxa" w:w="3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项目</w:t>
                  </w:r>
                </w:p>
                <w:p>
                  <w:pPr>
                    <w:pStyle w:val="null3"/>
                    <w:jc w:val="center"/>
                  </w:pPr>
                  <w:r>
                    <w:rPr>
                      <w:rFonts w:ascii="仿宋_GB2312" w:hAnsi="仿宋_GB2312" w:cs="仿宋_GB2312" w:eastAsia="仿宋_GB2312"/>
                      <w:sz w:val="21"/>
                      <w:b/>
                      <w:color w:val="000000"/>
                    </w:rPr>
                    <w:t>类型</w:t>
                  </w:r>
                </w:p>
              </w:tc>
              <w:tc>
                <w:tcPr>
                  <w:tcW w:type="dxa" w:w="3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检测</w:t>
                  </w:r>
                </w:p>
                <w:p>
                  <w:pPr>
                    <w:pStyle w:val="null3"/>
                    <w:jc w:val="center"/>
                  </w:pPr>
                  <w:r>
                    <w:rPr>
                      <w:rFonts w:ascii="仿宋_GB2312" w:hAnsi="仿宋_GB2312" w:cs="仿宋_GB2312" w:eastAsia="仿宋_GB2312"/>
                      <w:sz w:val="21"/>
                      <w:b/>
                      <w:color w:val="000000"/>
                    </w:rPr>
                    <w:t>类型</w:t>
                  </w:r>
                </w:p>
              </w:tc>
              <w:tc>
                <w:tcPr>
                  <w:tcW w:type="dxa" w:w="5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监测点位</w:t>
                  </w:r>
                </w:p>
              </w:tc>
              <w:tc>
                <w:tcPr>
                  <w:tcW w:type="dxa" w:w="9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2"/>
                    <w:jc w:val="center"/>
                  </w:pPr>
                  <w:r>
                    <w:rPr>
                      <w:rFonts w:ascii="仿宋_GB2312" w:hAnsi="仿宋_GB2312" w:cs="仿宋_GB2312" w:eastAsia="仿宋_GB2312"/>
                      <w:sz w:val="21"/>
                      <w:b/>
                      <w:color w:val="000000"/>
                    </w:rPr>
                    <w:t>监测项目</w:t>
                  </w:r>
                </w:p>
              </w:tc>
              <w:tc>
                <w:tcPr>
                  <w:tcW w:type="dxa" w:w="3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项目数量（个）</w:t>
                  </w:r>
                </w:p>
              </w:tc>
            </w:tr>
            <w:tr>
              <w:tc>
                <w:tcPr>
                  <w:tcW w:type="dxa" w:w="3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厨余（餐厨）垃圾处理厂</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有组织废气</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除臭系统废气排气筒出口设</w:t>
                  </w:r>
                  <w:r>
                    <w:rPr>
                      <w:rFonts w:ascii="仿宋_GB2312" w:hAnsi="仿宋_GB2312" w:cs="仿宋_GB2312" w:eastAsia="仿宋_GB2312"/>
                      <w:sz w:val="21"/>
                      <w:color w:val="000000"/>
                    </w:rPr>
                    <w:t>1个监测点位</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氨、硫化氢、臭气浓度等</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w:t>
                  </w:r>
                </w:p>
              </w:tc>
            </w:tr>
            <w:tr>
              <w:tc>
                <w:tcPr>
                  <w:tcW w:type="dxa" w:w="327"/>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沼气发电废气排气筒出口设</w:t>
                  </w:r>
                  <w:r>
                    <w:rPr>
                      <w:rFonts w:ascii="仿宋_GB2312" w:hAnsi="仿宋_GB2312" w:cs="仿宋_GB2312" w:eastAsia="仿宋_GB2312"/>
                      <w:sz w:val="21"/>
                      <w:color w:val="000000"/>
                    </w:rPr>
                    <w:t>1个监测点位</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二氧化硫、氮氧化物、烟尘等</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w:t>
                  </w:r>
                </w:p>
              </w:tc>
            </w:tr>
            <w:tr>
              <w:tc>
                <w:tcPr>
                  <w:tcW w:type="dxa" w:w="327"/>
                  <w:vMerge/>
                  <w:tcBorders>
                    <w:top w:val="none" w:color="000000" w:sz="4"/>
                    <w:left w:val="single" w:color="000000" w:sz="4"/>
                    <w:bottom w:val="single" w:color="000000" w:sz="4"/>
                    <w:right w:val="single" w:color="000000" w:sz="4"/>
                  </w:tcBorders>
                </w:tcP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无组织废气</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下风向设置</w:t>
                  </w:r>
                  <w:r>
                    <w:rPr>
                      <w:rFonts w:ascii="仿宋_GB2312" w:hAnsi="仿宋_GB2312" w:cs="仿宋_GB2312" w:eastAsia="仿宋_GB2312"/>
                      <w:sz w:val="21"/>
                      <w:color w:val="000000"/>
                    </w:rPr>
                    <w:t>3个监控点</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氨气、硫化氢、臭气浓度等</w:t>
                  </w:r>
                </w:p>
              </w:tc>
              <w:tc>
                <w:tcPr>
                  <w:tcW w:type="dxa" w:w="3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w:t>
                  </w:r>
                </w:p>
              </w:tc>
            </w:tr>
            <w:tr>
              <w:tc>
                <w:tcPr>
                  <w:tcW w:type="dxa" w:w="327"/>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在厂区上风向设置</w:t>
                  </w:r>
                  <w:r>
                    <w:rPr>
                      <w:rFonts w:ascii="仿宋_GB2312" w:hAnsi="仿宋_GB2312" w:cs="仿宋_GB2312" w:eastAsia="仿宋_GB2312"/>
                      <w:sz w:val="21"/>
                      <w:color w:val="000000"/>
                    </w:rPr>
                    <w:t>1个对照点、下风向设置2个监控点</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二氧化硫、氮氧化物、颗粒物、非甲烷总烃等</w:t>
                  </w:r>
                </w:p>
              </w:tc>
              <w:tc>
                <w:tcPr>
                  <w:tcW w:type="dxa" w:w="395"/>
                  <w:vMerge/>
                  <w:tcBorders>
                    <w:top w:val="none" w:color="000000" w:sz="4"/>
                    <w:left w:val="none" w:color="000000" w:sz="4"/>
                    <w:bottom w:val="single" w:color="000000" w:sz="4"/>
                    <w:right w:val="single" w:color="000000" w:sz="4"/>
                  </w:tcBorders>
                </w:tcPr>
                <w:p/>
              </w:tc>
            </w:tr>
            <w:tr>
              <w:tc>
                <w:tcPr>
                  <w:tcW w:type="dxa" w:w="327"/>
                  <w:vMerge/>
                  <w:tcBorders>
                    <w:top w:val="none" w:color="000000" w:sz="4"/>
                    <w:left w:val="single" w:color="000000" w:sz="4"/>
                    <w:bottom w:val="single" w:color="000000" w:sz="4"/>
                    <w:right w:val="single" w:color="000000" w:sz="4"/>
                  </w:tcBorders>
                </w:tcPr>
                <w:p/>
              </w:tc>
              <w:tc>
                <w:tcPr>
                  <w:tcW w:type="dxa" w:w="34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噪声监测</w:t>
                  </w:r>
                </w:p>
              </w:tc>
              <w:tc>
                <w:tcPr>
                  <w:tcW w:type="dxa" w:w="57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厂界四周各设</w:t>
                  </w:r>
                  <w:r>
                    <w:rPr>
                      <w:rFonts w:ascii="仿宋_GB2312" w:hAnsi="仿宋_GB2312" w:cs="仿宋_GB2312" w:eastAsia="仿宋_GB2312"/>
                      <w:sz w:val="21"/>
                      <w:color w:val="000000"/>
                    </w:rPr>
                    <w:t>1个监测点位，共4个点位</w:t>
                  </w:r>
                </w:p>
              </w:tc>
              <w:tc>
                <w:tcPr>
                  <w:tcW w:type="dxa" w:w="90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昼、夜等效连续</w:t>
                  </w:r>
                  <w:r>
                    <w:rPr>
                      <w:rFonts w:ascii="仿宋_GB2312" w:hAnsi="仿宋_GB2312" w:cs="仿宋_GB2312" w:eastAsia="仿宋_GB2312"/>
                      <w:sz w:val="21"/>
                      <w:color w:val="000000"/>
                    </w:rPr>
                    <w:t>A声级Leq（A）</w:t>
                  </w:r>
                </w:p>
              </w:tc>
              <w:tc>
                <w:tcPr>
                  <w:tcW w:type="dxa" w:w="39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w:t>
                  </w:r>
                </w:p>
              </w:tc>
            </w:tr>
            <w:tr>
              <w:tc>
                <w:tcPr>
                  <w:tcW w:type="dxa" w:w="327"/>
                  <w:vMerge/>
                  <w:tcBorders>
                    <w:top w:val="none" w:color="000000" w:sz="4"/>
                    <w:left w:val="single" w:color="000000" w:sz="4"/>
                    <w:bottom w:val="single" w:color="000000" w:sz="4"/>
                    <w:right w:val="single" w:color="000000" w:sz="4"/>
                  </w:tcBorders>
                </w:tcPr>
                <w:p/>
              </w:tc>
              <w:tc>
                <w:tcPr>
                  <w:tcW w:type="dxa" w:w="34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土壤监测</w:t>
                  </w:r>
                </w:p>
              </w:tc>
              <w:tc>
                <w:tcPr>
                  <w:tcW w:type="dxa" w:w="57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监测点位：厂区按照标准抽取土壤样品</w:t>
                  </w:r>
                  <w:r>
                    <w:rPr>
                      <w:rFonts w:ascii="仿宋_GB2312" w:hAnsi="仿宋_GB2312" w:cs="仿宋_GB2312" w:eastAsia="仿宋_GB2312"/>
                      <w:sz w:val="21"/>
                      <w:color w:val="000000"/>
                    </w:rPr>
                    <w:t>1个</w:t>
                  </w:r>
                </w:p>
              </w:tc>
              <w:tc>
                <w:tcPr>
                  <w:tcW w:type="dxa" w:w="90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砷、镉、铬（六价）、铜、铅、汞、镍等</w:t>
                  </w:r>
                </w:p>
              </w:tc>
              <w:tc>
                <w:tcPr>
                  <w:tcW w:type="dxa" w:w="39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w:t>
                  </w:r>
                </w:p>
              </w:tc>
            </w:tr>
            <w:tr>
              <w:tc>
                <w:tcPr>
                  <w:tcW w:type="dxa" w:w="327"/>
                  <w:vMerge/>
                  <w:tcBorders>
                    <w:top w:val="none" w:color="000000" w:sz="4"/>
                    <w:left w:val="single" w:color="000000" w:sz="4"/>
                    <w:bottom w:val="single" w:color="000000" w:sz="4"/>
                    <w:right w:val="single" w:color="000000" w:sz="4"/>
                  </w:tcBorders>
                </w:tcPr>
                <w:p/>
              </w:tc>
              <w:tc>
                <w:tcPr>
                  <w:tcW w:type="dxa" w:w="3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废水监测</w:t>
                  </w:r>
                </w:p>
              </w:tc>
              <w:tc>
                <w:tcPr>
                  <w:tcW w:type="dxa" w:w="5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污水进口、总排口各</w:t>
                  </w:r>
                  <w:r>
                    <w:rPr>
                      <w:rFonts w:ascii="仿宋_GB2312" w:hAnsi="仿宋_GB2312" w:cs="仿宋_GB2312" w:eastAsia="仿宋_GB2312"/>
                      <w:sz w:val="21"/>
                      <w:color w:val="000000"/>
                    </w:rPr>
                    <w:t>1个监测点位</w:t>
                  </w:r>
                </w:p>
              </w:tc>
              <w:tc>
                <w:tcPr>
                  <w:tcW w:type="dxa" w:w="9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pH、色度、化学需氧量、生化需氧量、悬浮物、总氮、氨氮、总磷、阴离子表面活性剂、粪大肠菌群数、动植物油、石油类等</w:t>
                  </w:r>
                </w:p>
              </w:tc>
              <w:tc>
                <w:tcPr>
                  <w:tcW w:type="dxa" w:w="3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w:t>
                  </w:r>
                </w:p>
              </w:tc>
            </w:tr>
            <w:tr>
              <w:tc>
                <w:tcPr>
                  <w:tcW w:type="dxa" w:w="327"/>
                  <w:vMerge/>
                  <w:tcBorders>
                    <w:top w:val="none" w:color="000000" w:sz="4"/>
                    <w:left w:val="singl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地下水</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项目污染源监控井设</w:t>
                  </w:r>
                  <w:r>
                    <w:rPr>
                      <w:rFonts w:ascii="仿宋_GB2312" w:hAnsi="仿宋_GB2312" w:cs="仿宋_GB2312" w:eastAsia="仿宋_GB2312"/>
                      <w:sz w:val="21"/>
                      <w:color w:val="000000"/>
                    </w:rPr>
                    <w:t>1个监测点位，共1个点位</w:t>
                  </w:r>
                </w:p>
                <w:p>
                  <w:pPr>
                    <w:pStyle w:val="null3"/>
                    <w:jc w:val="both"/>
                  </w:pP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度、嗅和味、浑浊度、⾁眼可见物、</w:t>
                  </w:r>
                  <w:r>
                    <w:rPr>
                      <w:rFonts w:ascii="仿宋_GB2312" w:hAnsi="仿宋_GB2312" w:cs="仿宋_GB2312" w:eastAsia="仿宋_GB2312"/>
                      <w:sz w:val="21"/>
                      <w:color w:val="000000"/>
                    </w:rPr>
                    <w:t>pH、总硬度、溶解性总固体、硫酸盐、氯化物、铁、锰、铜、锌、铝、挥发酚类、阴离⼦表面活性剂、耗氧量、氨氮、硫化物、钠、总⼤肠菌群、菌落总数、亚氯酸盐、硝酸盐、氰化物、氟化物、碘化物、汞、砷、硒、镉、铬（六价）、铅、三氯甲烷、四氯化碳、苯、甲苯等</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w:t>
                  </w:r>
                </w:p>
              </w:tc>
            </w:tr>
            <w:tr>
              <w:tc>
                <w:tcPr>
                  <w:tcW w:type="dxa" w:w="3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生活垃圾焚烧厂</w:t>
                  </w:r>
                </w:p>
              </w:tc>
              <w:tc>
                <w:tcPr>
                  <w:tcW w:type="dxa" w:w="34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有组织废气</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处理工艺设备产生的废气排气筒出口设</w:t>
                  </w:r>
                  <w:r>
                    <w:rPr>
                      <w:rFonts w:ascii="仿宋_GB2312" w:hAnsi="仿宋_GB2312" w:cs="仿宋_GB2312" w:eastAsia="仿宋_GB2312"/>
                      <w:sz w:val="21"/>
                      <w:color w:val="000000"/>
                    </w:rPr>
                    <w:t>1个监测点位</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颗粒物、二氧化硫、氮氧化物、氯化氢、汞及其化合物（以</w:t>
                  </w:r>
                  <w:r>
                    <w:rPr>
                      <w:rFonts w:ascii="仿宋_GB2312" w:hAnsi="仿宋_GB2312" w:cs="仿宋_GB2312" w:eastAsia="仿宋_GB2312"/>
                      <w:sz w:val="21"/>
                      <w:color w:val="000000"/>
                    </w:rPr>
                    <w:t>Hg 计）、[镉、铊及其化合物（以 Cd +Ti 计）]、[锑、砷、铅、铬、钴、铜、锰、镍及其化合物 （以 Sb+As+Pb+Cr+Co+Cu+Mn+Ni 计）]、一氧化碳、二噁英类等</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5</w:t>
                  </w:r>
                </w:p>
              </w:tc>
            </w:tr>
            <w:tr>
              <w:tc>
                <w:tcPr>
                  <w:tcW w:type="dxa" w:w="327"/>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none" w:color="000000" w:sz="4"/>
                    <w:right w:val="single" w:color="000000" w:sz="4"/>
                  </w:tcBorders>
                </w:tcP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除臭系统废气排气筒出口设</w:t>
                  </w:r>
                  <w:r>
                    <w:rPr>
                      <w:rFonts w:ascii="仿宋_GB2312" w:hAnsi="仿宋_GB2312" w:cs="仿宋_GB2312" w:eastAsia="仿宋_GB2312"/>
                      <w:sz w:val="21"/>
                      <w:color w:val="000000"/>
                    </w:rPr>
                    <w:t>1个监测点位</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氨、硫化氢、臭气浓度等</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5</w:t>
                  </w:r>
                </w:p>
              </w:tc>
            </w:tr>
            <w:tr>
              <w:tc>
                <w:tcPr>
                  <w:tcW w:type="dxa" w:w="327"/>
                  <w:vMerge/>
                  <w:tcBorders>
                    <w:top w:val="none" w:color="000000" w:sz="4"/>
                    <w:left w:val="single" w:color="000000" w:sz="4"/>
                    <w:bottom w:val="single" w:color="000000" w:sz="4"/>
                    <w:right w:val="single" w:color="000000" w:sz="4"/>
                  </w:tcBorders>
                </w:tcPr>
                <w:p/>
              </w:tc>
              <w:tc>
                <w:tcPr>
                  <w:tcW w:type="dxa" w:w="34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无组织废气</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厂区下风向设置</w:t>
                  </w:r>
                  <w:r>
                    <w:rPr>
                      <w:rFonts w:ascii="仿宋_GB2312" w:hAnsi="仿宋_GB2312" w:cs="仿宋_GB2312" w:eastAsia="仿宋_GB2312"/>
                      <w:sz w:val="21"/>
                      <w:color w:val="000000"/>
                    </w:rPr>
                    <w:t>3个监控点</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氨气、硫化氢、臭气浓度等</w:t>
                  </w:r>
                </w:p>
              </w:tc>
              <w:tc>
                <w:tcPr>
                  <w:tcW w:type="dxa" w:w="3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5</w:t>
                  </w:r>
                </w:p>
              </w:tc>
            </w:tr>
            <w:tr>
              <w:tc>
                <w:tcPr>
                  <w:tcW w:type="dxa" w:w="327"/>
                  <w:vMerge/>
                  <w:tcBorders>
                    <w:top w:val="none" w:color="000000" w:sz="4"/>
                    <w:left w:val="single" w:color="000000" w:sz="4"/>
                    <w:bottom w:val="single" w:color="000000" w:sz="4"/>
                    <w:right w:val="single" w:color="000000" w:sz="4"/>
                  </w:tcBorders>
                </w:tcPr>
                <w:p/>
              </w:tc>
              <w:tc>
                <w:tcPr>
                  <w:tcW w:type="dxa" w:w="345"/>
                  <w:vMerge/>
                  <w:tcBorders>
                    <w:top w:val="single" w:color="000000" w:sz="4"/>
                    <w:left w:val="none" w:color="000000" w:sz="4"/>
                    <w:bottom w:val="single" w:color="000000" w:sz="4"/>
                    <w:right w:val="single" w:color="000000" w:sz="4"/>
                  </w:tcBorders>
                </w:tcP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在厂区上风向设置</w:t>
                  </w:r>
                  <w:r>
                    <w:rPr>
                      <w:rFonts w:ascii="仿宋_GB2312" w:hAnsi="仿宋_GB2312" w:cs="仿宋_GB2312" w:eastAsia="仿宋_GB2312"/>
                      <w:sz w:val="21"/>
                      <w:color w:val="000000"/>
                    </w:rPr>
                    <w:t>1个对照点、下风向设置3个监控点</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二氧化硫、氮氧化物、颗粒物、非甲烷总烃等</w:t>
                  </w:r>
                </w:p>
              </w:tc>
              <w:tc>
                <w:tcPr>
                  <w:tcW w:type="dxa" w:w="395"/>
                  <w:vMerge/>
                  <w:tcBorders>
                    <w:top w:val="none" w:color="000000" w:sz="4"/>
                    <w:left w:val="none" w:color="000000" w:sz="4"/>
                    <w:bottom w:val="single" w:color="000000" w:sz="4"/>
                    <w:right w:val="single" w:color="000000" w:sz="4"/>
                  </w:tcBorders>
                </w:tcPr>
                <w:p/>
              </w:tc>
            </w:tr>
            <w:tr>
              <w:tc>
                <w:tcPr>
                  <w:tcW w:type="dxa" w:w="327"/>
                  <w:vMerge/>
                  <w:tcBorders>
                    <w:top w:val="none" w:color="000000" w:sz="4"/>
                    <w:left w:val="singl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噪声</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厂区厂界四周各设一个监测点位，共</w:t>
                  </w:r>
                  <w:r>
                    <w:rPr>
                      <w:rFonts w:ascii="仿宋_GB2312" w:hAnsi="仿宋_GB2312" w:cs="仿宋_GB2312" w:eastAsia="仿宋_GB2312"/>
                      <w:sz w:val="21"/>
                      <w:color w:val="000000"/>
                    </w:rPr>
                    <w:t>4个点位</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昼、夜等效连续</w:t>
                  </w:r>
                  <w:r>
                    <w:rPr>
                      <w:rFonts w:ascii="仿宋_GB2312" w:hAnsi="仿宋_GB2312" w:cs="仿宋_GB2312" w:eastAsia="仿宋_GB2312"/>
                      <w:sz w:val="21"/>
                      <w:color w:val="000000"/>
                    </w:rPr>
                    <w:t>A声级Leq（A）</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5</w:t>
                  </w:r>
                </w:p>
              </w:tc>
            </w:tr>
            <w:tr>
              <w:tc>
                <w:tcPr>
                  <w:tcW w:type="dxa" w:w="327"/>
                  <w:vMerge/>
                  <w:tcBorders>
                    <w:top w:val="none" w:color="000000" w:sz="4"/>
                    <w:left w:val="singl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地下水</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项目污染源监控井设</w:t>
                  </w:r>
                  <w:r>
                    <w:rPr>
                      <w:rFonts w:ascii="仿宋_GB2312" w:hAnsi="仿宋_GB2312" w:cs="仿宋_GB2312" w:eastAsia="仿宋_GB2312"/>
                      <w:sz w:val="21"/>
                      <w:color w:val="000000"/>
                    </w:rPr>
                    <w:t>1个监测点位</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色度、嗅和味、浑浊度、肉眼可见物、</w:t>
                  </w:r>
                  <w:r>
                    <w:rPr>
                      <w:rFonts w:ascii="仿宋_GB2312" w:hAnsi="仿宋_GB2312" w:cs="仿宋_GB2312" w:eastAsia="仿宋_GB2312"/>
                      <w:sz w:val="21"/>
                      <w:color w:val="000000"/>
                    </w:rPr>
                    <w:t>pH、总硬度、溶解性总固体、硫酸盐、氯化物、铁、锰、铜、锌、铝、挥发酚类、阴离⼦表面活性剂、耗氧量、氨氮、硫化物、钠、总⼤肠菌群、菌落总数、亚氯酸盐、硝酸盐、氰化物、氟化物、碘化物、汞、砷、硒、镉、铬（六价）、铅、三氯甲烷、四氯化碳、苯、甲苯等</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5</w:t>
                  </w:r>
                </w:p>
              </w:tc>
            </w:tr>
            <w:tr>
              <w:tc>
                <w:tcPr>
                  <w:tcW w:type="dxa" w:w="327"/>
                  <w:vMerge/>
                  <w:tcBorders>
                    <w:top w:val="none" w:color="000000" w:sz="4"/>
                    <w:left w:val="singl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飞灰监测</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厂区按照标准抽取飞灰样品</w:t>
                  </w:r>
                  <w:r>
                    <w:rPr>
                      <w:rFonts w:ascii="仿宋_GB2312" w:hAnsi="仿宋_GB2312" w:cs="仿宋_GB2312" w:eastAsia="仿宋_GB2312"/>
                      <w:sz w:val="21"/>
                      <w:color w:val="000000"/>
                    </w:rPr>
                    <w:t>1个</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含水率、二噁英、汞、铜、锌、铅、镉、铍、钡、镍、砷、总铬、六价铬、硒等</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5</w:t>
                  </w:r>
                </w:p>
              </w:tc>
            </w:tr>
            <w:tr>
              <w:tc>
                <w:tcPr>
                  <w:tcW w:type="dxa" w:w="327"/>
                  <w:vMerge/>
                  <w:tcBorders>
                    <w:top w:val="none" w:color="000000" w:sz="4"/>
                    <w:left w:val="singl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土壤监测</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厂区按照标准抽取土壤样品</w:t>
                  </w:r>
                  <w:r>
                    <w:rPr>
                      <w:rFonts w:ascii="仿宋_GB2312" w:hAnsi="仿宋_GB2312" w:cs="仿宋_GB2312" w:eastAsia="仿宋_GB2312"/>
                      <w:sz w:val="21"/>
                      <w:color w:val="000000"/>
                    </w:rPr>
                    <w:t>1个</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砷、镉、铬（六价）、铜、铅、汞、镍、二噁英等</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5</w:t>
                  </w:r>
                </w:p>
              </w:tc>
            </w:tr>
            <w:tr>
              <w:tc>
                <w:tcPr>
                  <w:tcW w:type="dxa" w:w="327"/>
                  <w:vMerge/>
                  <w:tcBorders>
                    <w:top w:val="none" w:color="000000" w:sz="4"/>
                    <w:left w:val="singl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炉渣监测</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厂区按照标准抽取炉渣样品</w:t>
                  </w:r>
                  <w:r>
                    <w:rPr>
                      <w:rFonts w:ascii="仿宋_GB2312" w:hAnsi="仿宋_GB2312" w:cs="仿宋_GB2312" w:eastAsia="仿宋_GB2312"/>
                      <w:sz w:val="21"/>
                      <w:color w:val="000000"/>
                    </w:rPr>
                    <w:t>1个</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热灼减率</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5</w:t>
                  </w:r>
                </w:p>
              </w:tc>
            </w:tr>
            <w:tr>
              <w:tc>
                <w:tcPr>
                  <w:tcW w:type="dxa" w:w="327"/>
                  <w:vMerge/>
                  <w:tcBorders>
                    <w:top w:val="none" w:color="000000" w:sz="4"/>
                    <w:left w:val="singl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废水监测</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污水进口、总排口各</w:t>
                  </w:r>
                  <w:r>
                    <w:rPr>
                      <w:rFonts w:ascii="仿宋_GB2312" w:hAnsi="仿宋_GB2312" w:cs="仿宋_GB2312" w:eastAsia="仿宋_GB2312"/>
                      <w:sz w:val="21"/>
                      <w:color w:val="000000"/>
                    </w:rPr>
                    <w:t>1个监测点位</w:t>
                  </w:r>
                </w:p>
              </w:tc>
              <w:tc>
                <w:tcPr>
                  <w:tcW w:type="dxa" w:w="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pH、色度、化学需氧量、生化需氧量、悬浮物、总氮、氨氮、总磷、粪大肠菌群数、总汞、总镉、总铬、六价铬、总砷、总铅等</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5</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根据采购内容自行配置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根据采购内容自行配置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所属行业：其他未列明行业，其划分标准为从业人员300人以下的为中小微型企业。其中，从业人员100人及以上的为中型企业；从业人员10人及以上的为小型企业；从业人员10人以下的为微型企业。</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90日历天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西安市生活垃圾分类服务中心甲方指定地点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和成交供应商共同对项目进行整体验收。其内容包括是否按照采购人要求进行服务、是否在规定时间内服务完毕、服务工作是否存在失误。验收合格后，填写政府采购项目验收单作为对本服务的最终认可。服务商向采购人提供服务过程中的所有相关资料，以便采购人日后管理。验收依据为竞争性磋商文件、磋商响应文件、澄清表（函）、政府采购合同及附件文本、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签订合同后支付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检测完成并提交检测报告后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1、乙方应按合同约定时间完成各阶段合同义务，若发生延迟，乙方应向甲方支付合同总价款10%的违约金，且甲方有权单方解除本合同。但甲方书面同意延迟或因甲方原因导致延迟的，乙方不承担违约责任。 2、如甲方未能在本合同约定时间内支付款项，每延迟一天，甲方须向乙方承担迟延支付费用的0.5‰作为违约金，并将服务周期予以相应顺延。 3、本次活动因乙方原因导致侵害甲方或第三方合法权益的，应由乙方承担相应赔偿责任，并向甲方支付合同总价款10%的违约金。 4、若乙方未经甲方同意泄露本合同约定的任何秘密信息的，乙方应按照合同总价款的10%向甲方支付违约金，并赔偿因此给甲方造成的损失。 5、乙方保证向甲方开具发票的真实性、合法性，若乙方向甲方开具的发票存在真实性、合法性问题，给甲方造成损失的，乙方应按合同总价款的10%向甲方支付违约金，违约金不足以弥补损失的，乙方还应承担相应赔偿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在领取成交通知书前，须向采购代理机构提供纸质版响应文件3套，且提供的响应文件必须与在陕西省政府采购综合管理平台的项目电子化交易系统中递交的电子响应文件内容一致，纸质版响应文件必须装订成册签字盖章。 2.如磋商文件中融资相关内容与新政策要求有出入，按照最新要求执行。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2024或2025年度经审计的财务报告（包括“四表一注”，即资产负债表、利润表、现金流量表、所有者权益变动表（如有）及其附注，或者提供响应文件截止时间三个月内其基本账户开户银行出具的资信证明，或信用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资格要求证明文件.docx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法定代表人直接参加磋商的，须出具法定代表人身份证明及法人身份证；法定代表人授权代表参加磋商的，须出具法定代表人授权委托书和被授权人身份证。</w:t>
            </w:r>
          </w:p>
        </w:tc>
        <w:tc>
          <w:tcPr>
            <w:tcW w:type="dxa" w:w="1661"/>
          </w:tcPr>
          <w:p>
            <w:pPr>
              <w:pStyle w:val="null3"/>
            </w:pPr>
            <w:r>
              <w:rPr>
                <w:rFonts w:ascii="仿宋_GB2312" w:hAnsi="仿宋_GB2312" w:cs="仿宋_GB2312" w:eastAsia="仿宋_GB2312"/>
              </w:rPr>
              <w:t>资格要求证明文件.docx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供应商需具有检验检测机构资质认定证书(CMA）</w:t>
            </w:r>
          </w:p>
        </w:tc>
        <w:tc>
          <w:tcPr>
            <w:tcW w:type="dxa" w:w="3322"/>
          </w:tcPr>
          <w:p>
            <w:pPr>
              <w:pStyle w:val="null3"/>
            </w:pPr>
            <w:r>
              <w:rPr>
                <w:rFonts w:ascii="仿宋_GB2312" w:hAnsi="仿宋_GB2312" w:cs="仿宋_GB2312" w:eastAsia="仿宋_GB2312"/>
              </w:rPr>
              <w:t>供应商需具有检验检测机构资质认定证书(CMA）</w:t>
            </w:r>
          </w:p>
        </w:tc>
        <w:tc>
          <w:tcPr>
            <w:tcW w:type="dxa" w:w="1661"/>
          </w:tcPr>
          <w:p>
            <w:pPr>
              <w:pStyle w:val="null3"/>
            </w:pPr>
            <w:r>
              <w:rPr>
                <w:rFonts w:ascii="仿宋_GB2312" w:hAnsi="仿宋_GB2312" w:cs="仿宋_GB2312" w:eastAsia="仿宋_GB2312"/>
              </w:rPr>
              <w:t>资格要求证明文件.docx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2、报价货币符合磋商文件要求 ; 3、未超出采购预算或磋商文件规定的最高限价。</w:t>
            </w:r>
          </w:p>
        </w:tc>
        <w:tc>
          <w:tcPr>
            <w:tcW w:type="dxa" w:w="1661"/>
          </w:tcPr>
          <w:p>
            <w:pPr>
              <w:pStyle w:val="null3"/>
            </w:pPr>
            <w:r>
              <w:rPr>
                <w:rFonts w:ascii="仿宋_GB2312" w:hAnsi="仿宋_GB2312" w:cs="仿宋_GB2312" w:eastAsia="仿宋_GB2312"/>
              </w:rPr>
              <w:t>分项报价表.docx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与所投项目名称、项目编号一致，且符合磋商文件签署盖章要求。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商务技术偏离表.docx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项目总体分析</w:t>
            </w:r>
          </w:p>
        </w:tc>
        <w:tc>
          <w:tcPr>
            <w:tcW w:type="dxa" w:w="2492"/>
          </w:tcPr>
          <w:p>
            <w:pPr>
              <w:pStyle w:val="null3"/>
            </w:pPr>
            <w:r>
              <w:rPr>
                <w:rFonts w:ascii="仿宋_GB2312" w:hAnsi="仿宋_GB2312" w:cs="仿宋_GB2312" w:eastAsia="仿宋_GB2312"/>
              </w:rPr>
              <w:t>项目分析针对项目背景、可行性与必要性分析、目标分析等全面、准确、合理，计(7-10]分；分析内容基本符合项目建设，较为合理，计(4-7]分，分析空洞、无实质内容，计[1-4]分。未提供方案不得分。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方案逻辑清晰、关键技术方法科学合理，符合检测工作的要求和特点，计(10-15]分；方案逻辑较为清晰，关键技术方法基本到位，提出检测内容大纲，计(5-10]分；方案空洞、无实质性内容，计[1-5]分。未提供方案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组织实施方案</w:t>
            </w:r>
          </w:p>
        </w:tc>
        <w:tc>
          <w:tcPr>
            <w:tcW w:type="dxa" w:w="2492"/>
          </w:tcPr>
          <w:p>
            <w:pPr>
              <w:pStyle w:val="null3"/>
            </w:pPr>
            <w:r>
              <w:rPr>
                <w:rFonts w:ascii="仿宋_GB2312" w:hAnsi="仿宋_GB2312" w:cs="仿宋_GB2312" w:eastAsia="仿宋_GB2312"/>
              </w:rPr>
              <w:t>组织实施方案内容全面，分工明确，进度计划安排合理，工作方法符合实际情况、可操作性强，计(8-12]分；组织实施方案较全面，分工基本明确，进度计划安排基本合理，计(4-8]分；组织实施方案空洞、无实质性内容，计[1-4]分。未提供方案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工作与技术规范</w:t>
            </w:r>
          </w:p>
        </w:tc>
        <w:tc>
          <w:tcPr>
            <w:tcW w:type="dxa" w:w="2492"/>
          </w:tcPr>
          <w:p>
            <w:pPr>
              <w:pStyle w:val="null3"/>
            </w:pPr>
            <w:r>
              <w:rPr>
                <w:rFonts w:ascii="仿宋_GB2312" w:hAnsi="仿宋_GB2312" w:cs="仿宋_GB2312" w:eastAsia="仿宋_GB2312"/>
              </w:rPr>
              <w:t>针对本项目所依据的工作与技术规范、标准全面、严格反映和执行了国家和行业有关政策、规范、指南等，计(7-10]分；依据的工作与技术规范较为全面，较为准确，计(4-7]分；工作与技术规范不全面或不准确，计[1-4]分。未提供方案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重点、难点分析及应对措施</w:t>
            </w:r>
          </w:p>
        </w:tc>
        <w:tc>
          <w:tcPr>
            <w:tcW w:type="dxa" w:w="2492"/>
          </w:tcPr>
          <w:p>
            <w:pPr>
              <w:pStyle w:val="null3"/>
            </w:pPr>
            <w:r>
              <w:rPr>
                <w:rFonts w:ascii="仿宋_GB2312" w:hAnsi="仿宋_GB2312" w:cs="仿宋_GB2312" w:eastAsia="仿宋_GB2312"/>
              </w:rPr>
              <w:t>针对本项目开展存在的重点、难点分析准确、充分，提出针对性强、科学合理的应对措施，计(4-8]分；对项目开展存在的重点、难点分析较薄弱、无实质性内容，计[1-4]分。未提供方案不得分。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管理与保障措施</w:t>
            </w:r>
          </w:p>
        </w:tc>
        <w:tc>
          <w:tcPr>
            <w:tcW w:type="dxa" w:w="2492"/>
          </w:tcPr>
          <w:p>
            <w:pPr>
              <w:pStyle w:val="null3"/>
            </w:pPr>
            <w:r>
              <w:rPr>
                <w:rFonts w:ascii="仿宋_GB2312" w:hAnsi="仿宋_GB2312" w:cs="仿宋_GB2312" w:eastAsia="仿宋_GB2312"/>
              </w:rPr>
              <w:t>针对本项目的管理与保障措施全面、可行，能够保障项目顺利实施，计(4-8]分；管理与保障措施较薄弱、无实质性内容，计[1-4]分。未提供方案不得分。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根据本项目采购需求提供拟投入人员配备（包括但不限于人员分工、岗位配备及职责，组织机构）。 人员分工明确得当、岗位配备及职责阐述全面详细，且组织机构设置科学的计（8-12分]；人员分工较明确、岗位配备及职责阐述较详细，组织机构设置较科学的计（4-8分]；人员分工不明确、岗位配备及职责阐述不全面，组织机构设置不科学的计[1-4分]；未提供，或明显存在不合理性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检测设备</w:t>
            </w:r>
          </w:p>
        </w:tc>
        <w:tc>
          <w:tcPr>
            <w:tcW w:type="dxa" w:w="2492"/>
          </w:tcPr>
          <w:p>
            <w:pPr>
              <w:pStyle w:val="null3"/>
            </w:pPr>
            <w:r>
              <w:rPr>
                <w:rFonts w:ascii="仿宋_GB2312" w:hAnsi="仿宋_GB2312" w:cs="仿宋_GB2312" w:eastAsia="仿宋_GB2312"/>
              </w:rPr>
              <w:t>根据本项目采购需求提供拟投入设备情况（包括但不限于设备列表、设备照片、设备发票等相关证明材料）。 设备列表齐全、证明材料完整得（4-6分]；设备列表齐全、证明材料不全得（2-4分]；设备列表不全、证明材料不全得[1-2分]；未提供证明材料不得分。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供应商具有近三年（2023年1月1 日至今，以合同签订时间为准）的环境检测类似项目业绩，每提供一个得3分, 最高得9分。注：供应商响应文件中提供合同复印件加盖公章。</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业绩相关证明材料.docx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详见附件：业绩相关证明材料.docx</w:t>
      </w:r>
    </w:p>
    <w:p>
      <w:pPr>
        <w:pStyle w:val="null3"/>
        <w:ind w:firstLine="960"/>
      </w:pPr>
      <w:r>
        <w:rPr>
          <w:rFonts w:ascii="仿宋_GB2312" w:hAnsi="仿宋_GB2312" w:cs="仿宋_GB2312" w:eastAsia="仿宋_GB2312"/>
        </w:rPr>
        <w:t>详见附件：商务技术偏离表.docx</w:t>
      </w:r>
    </w:p>
    <w:p>
      <w:pPr>
        <w:pStyle w:val="null3"/>
        <w:ind w:firstLine="960"/>
      </w:pPr>
      <w:r>
        <w:rPr>
          <w:rFonts w:ascii="仿宋_GB2312" w:hAnsi="仿宋_GB2312" w:cs="仿宋_GB2312" w:eastAsia="仿宋_GB2312"/>
        </w:rPr>
        <w:t>详见附件：资格要求证明文件.docx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