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版本号：2026-（117）1568-CG-（16）10820260821003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2026年勉县元墩镇喇家寨社区海勉农业产业园区二期配套建设项目（设备）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2026-（117）1568-CG-（16）108</w:t>
      </w:r>
      <w:r>
        <w:br/>
      </w:r>
      <w:r>
        <w:br/>
      </w:r>
      <w:r>
        <w:br/>
      </w:r>
    </w:p>
    <w:p>
      <w:pPr>
        <w:pStyle w:val="null3"/>
        <w:jc w:val="center"/>
        <w:outlineLvl w:val="2"/>
      </w:pPr>
      <w:r>
        <w:rPr>
          <w:rFonts w:ascii="仿宋_GB2312" w:hAnsi="仿宋_GB2312" w:cs="仿宋_GB2312" w:eastAsia="仿宋_GB2312"/>
          <w:sz w:val="28"/>
          <w:b/>
        </w:rPr>
        <w:t>勉县元墩镇人民政府</w:t>
      </w:r>
    </w:p>
    <w:p>
      <w:pPr>
        <w:pStyle w:val="null3"/>
        <w:jc w:val="center"/>
        <w:outlineLvl w:val="2"/>
      </w:pPr>
      <w:r>
        <w:rPr>
          <w:rFonts w:ascii="仿宋_GB2312" w:hAnsi="仿宋_GB2312" w:cs="仿宋_GB2312" w:eastAsia="仿宋_GB2312"/>
          <w:sz w:val="28"/>
          <w:b/>
        </w:rPr>
        <w:t>陕西汇鑫林丰项目管理有限责任公司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陕西汇鑫林丰项目管理有限责任公司</w:t>
      </w:r>
      <w:r>
        <w:rPr>
          <w:rFonts w:ascii="仿宋_GB2312" w:hAnsi="仿宋_GB2312" w:cs="仿宋_GB2312" w:eastAsia="仿宋_GB2312"/>
        </w:rPr>
        <w:t>（以下简称“代理机构”）受</w:t>
      </w:r>
      <w:r>
        <w:rPr>
          <w:rFonts w:ascii="仿宋_GB2312" w:hAnsi="仿宋_GB2312" w:cs="仿宋_GB2312" w:eastAsia="仿宋_GB2312"/>
        </w:rPr>
        <w:t>勉县元墩镇人民政府</w:t>
      </w:r>
      <w:r>
        <w:rPr>
          <w:rFonts w:ascii="仿宋_GB2312" w:hAnsi="仿宋_GB2312" w:cs="仿宋_GB2312" w:eastAsia="仿宋_GB2312"/>
        </w:rPr>
        <w:t>委托，拟对</w:t>
      </w:r>
      <w:r>
        <w:rPr>
          <w:rFonts w:ascii="仿宋_GB2312" w:hAnsi="仿宋_GB2312" w:cs="仿宋_GB2312" w:eastAsia="仿宋_GB2312"/>
        </w:rPr>
        <w:t>2026年勉县元墩镇喇家寨社区海勉农业产业园区二期配套建设项目（设备）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2026-（117）1568-CG-（16）108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2026年勉县元墩镇喇家寨社区海勉农业产业园区二期配套建设项目（设备）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本项目位于勉县元墩镇喇家寨社区，采购一批设施设备，具体内容详见标的技术要求。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采购包1（2026年勉县元墩镇喇家寨社区海勉农业产业园区二期配套建设项目（设备））：属于专门面向中小企业采购。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磋商，法定代表人直接参加磋商的，须出具法定代表人身份证明，并与营业执照上信息一致。法定代表人授权代表参与磋商的，须出具法定代表人授权书和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勉县元墩镇人民政府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元墩镇喇家寨社区4组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勉县元墩镇人民政府经办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13759803561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陕西汇鑫林丰项目管理有限责任公司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陕西省汉中市汉台区东一环路盛世国际写字楼2107号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0916-8820189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采购包1：685,606.73元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开户名称：陕西汇鑫林丰项目管理有限责任公司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银行账号：61050165500000000788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代理服务费收费标准：参照《招标代理服务收费管理暂行办法》的通知（计价格[2002]1980号）和《关于招标代理服务收费有关问题的通知》（发改办价格[2003]857号）文件有关规定的标准计取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勉县元墩镇人民政府</w:t>
      </w:r>
      <w:r>
        <w:rPr>
          <w:rFonts w:ascii="仿宋_GB2312" w:hAnsi="仿宋_GB2312" w:cs="仿宋_GB2312" w:eastAsia="仿宋_GB2312"/>
        </w:rPr>
        <w:t>和</w:t>
      </w:r>
      <w:r>
        <w:rPr>
          <w:rFonts w:ascii="仿宋_GB2312" w:hAnsi="仿宋_GB2312" w:cs="仿宋_GB2312" w:eastAsia="仿宋_GB2312"/>
        </w:rPr>
        <w:t>陕西汇鑫林丰项目管理有限责任公司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勉县元墩镇人民政府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陕西汇鑫林丰项目管理有限责任公司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勉县元墩镇人民政府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陕西汇鑫林丰项目管理有限责任公司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符合国家相关标准、产品质量标准，及项目需求清单约定的验收要求。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联系人：晏女士</w:t>
      </w:r>
    </w:p>
    <w:p>
      <w:pPr>
        <w:pStyle w:val="null3"/>
      </w:pPr>
      <w:r>
        <w:rPr>
          <w:rFonts w:ascii="仿宋_GB2312" w:hAnsi="仿宋_GB2312" w:cs="仿宋_GB2312" w:eastAsia="仿宋_GB2312"/>
        </w:rPr>
        <w:t>联系电话：0916-8820189</w:t>
      </w:r>
    </w:p>
    <w:p>
      <w:pPr>
        <w:pStyle w:val="null3"/>
      </w:pPr>
      <w:r>
        <w:rPr>
          <w:rFonts w:ascii="仿宋_GB2312" w:hAnsi="仿宋_GB2312" w:cs="仿宋_GB2312" w:eastAsia="仿宋_GB2312"/>
        </w:rPr>
        <w:t>地址：陕西省汉中市汉台区东一环路盛世国际写字楼2107号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本项目位于勉县元墩镇喇家寨社区，采购一批设施设备，具体内容详见标的技术要求。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685,606.73</w:t>
      </w:r>
    </w:p>
    <w:p>
      <w:pPr>
        <w:pStyle w:val="null3"/>
      </w:pPr>
      <w:r>
        <w:rPr>
          <w:rFonts w:ascii="仿宋_GB2312" w:hAnsi="仿宋_GB2312" w:cs="仿宋_GB2312" w:eastAsia="仿宋_GB2312"/>
        </w:rPr>
        <w:t>采购包最高限价（元）: 685,606.73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685,606.73</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513"/>
              <w:gridCol w:w="1663"/>
              <w:gridCol w:w="187"/>
              <w:gridCol w:w="187"/>
            </w:tblGrid>
            <w:tr>
              <w:tc>
                <w:tcPr>
                  <w:tcW w:type="dxa" w:w="255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采购清单</w:t>
                  </w:r>
                </w:p>
              </w:tc>
            </w:tr>
            <w:tr>
              <w:tc>
                <w:tcPr>
                  <w:tcW w:type="dxa" w:w="255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36"/>
                      <w:b/>
                      <w:color w:val="000000"/>
                    </w:rPr>
                    <w:t>一、育肥料线</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规格型号</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r>
            <w:tr>
              <w:tc>
                <w:tcPr>
                  <w:tcW w:type="dxa" w:w="51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料塔</w:t>
                  </w:r>
                </w:p>
              </w:tc>
              <w:tc>
                <w:tcPr>
                  <w:tcW w:type="dxa" w:w="166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养殖料塔及塞盘输料系统技术参数</w:t>
                  </w:r>
                  <w:r>
                    <w:br/>
                  </w:r>
                  <w:r>
                    <w:rPr>
                      <w:rFonts w:ascii="仿宋_GB2312" w:hAnsi="仿宋_GB2312" w:cs="仿宋_GB2312" w:eastAsia="仿宋_GB2312"/>
                      <w:sz w:val="22"/>
                      <w:color w:val="000000"/>
                    </w:rPr>
                    <w:t xml:space="preserve"> 一、料塔主体参数（共2台）</w:t>
                  </w:r>
                  <w:r>
                    <w:br/>
                  </w:r>
                  <w:r>
                    <w:rPr>
                      <w:rFonts w:ascii="仿宋_GB2312" w:hAnsi="仿宋_GB2312" w:cs="仿宋_GB2312" w:eastAsia="仿宋_GB2312"/>
                      <w:sz w:val="22"/>
                      <w:color w:val="000000"/>
                    </w:rPr>
                    <w:t xml:space="preserve">   ▲1.单塔有效装载量≥30吨，有效总容积≥50m³；塔体上下一体镀锌板成型，配套镀锌钢结构支架、爬梯、镀锌螺丝、顶盖、圆变方接口；接口直径≥4.08米，塔体高度≥8.6米；配套加厚版60双管料靴2台。</w:t>
                  </w:r>
                  <w:r>
                    <w:br/>
                  </w:r>
                  <w:r>
                    <w:rPr>
                      <w:rFonts w:ascii="仿宋_GB2312" w:hAnsi="仿宋_GB2312" w:cs="仿宋_GB2312" w:eastAsia="仿宋_GB2312"/>
                      <w:sz w:val="22"/>
                      <w:color w:val="000000"/>
                    </w:rPr>
                    <w:t xml:space="preserve">     2.材质：整体镀锌防腐，适配户外露天养殖环境，防雨防潮、耐饲料酸碱腐蚀。</w:t>
                  </w:r>
                  <w:r>
                    <w:br/>
                  </w:r>
                  <w:r>
                    <w:rPr>
                      <w:rFonts w:ascii="仿宋_GB2312" w:hAnsi="仿宋_GB2312" w:cs="仿宋_GB2312" w:eastAsia="仿宋_GB2312"/>
                      <w:sz w:val="22"/>
                      <w:color w:val="000000"/>
                    </w:rPr>
                    <w:t xml:space="preserve"> 二、动力驱动单元</w:t>
                  </w:r>
                  <w:r>
                    <w:br/>
                  </w:r>
                  <w:r>
                    <w:rPr>
                      <w:rFonts w:ascii="仿宋_GB2312" w:hAnsi="仿宋_GB2312" w:cs="仿宋_GB2312" w:eastAsia="仿宋_GB2312"/>
                      <w:sz w:val="22"/>
                      <w:color w:val="000000"/>
                    </w:rPr>
                    <w:t xml:space="preserve">   ▲1.料线主机3台，外壳加厚款，单机功率≥2.2kW；</w:t>
                  </w:r>
                  <w:r>
                    <w:br/>
                  </w:r>
                  <w:r>
                    <w:rPr>
                      <w:rFonts w:ascii="仿宋_GB2312" w:hAnsi="仿宋_GB2312" w:cs="仿宋_GB2312" w:eastAsia="仿宋_GB2312"/>
                      <w:sz w:val="22"/>
                      <w:color w:val="000000"/>
                    </w:rPr>
                    <w:t xml:space="preserve">    2.主机外壳加强不锈钢材质，板材厚度≥2.25mm；</w:t>
                  </w:r>
                  <w:r>
                    <w:br/>
                  </w:r>
                  <w:r>
                    <w:rPr>
                      <w:rFonts w:ascii="仿宋_GB2312" w:hAnsi="仿宋_GB2312" w:cs="仿宋_GB2312" w:eastAsia="仿宋_GB2312"/>
                      <w:sz w:val="22"/>
                      <w:color w:val="000000"/>
                    </w:rPr>
                    <w:t xml:space="preserve">    3.主动轮、被动轮采用球墨铸铁材质，耐磨抗冲击；</w:t>
                  </w:r>
                  <w:r>
                    <w:br/>
                  </w:r>
                  <w:r>
                    <w:rPr>
                      <w:rFonts w:ascii="仿宋_GB2312" w:hAnsi="仿宋_GB2312" w:cs="仿宋_GB2312" w:eastAsia="仿宋_GB2312"/>
                      <w:sz w:val="22"/>
                      <w:color w:val="000000"/>
                    </w:rPr>
                    <w:t xml:space="preserve">    4.配置1个行程开关，实现料线满料自动停机保护。</w:t>
                  </w:r>
                  <w:r>
                    <w:br/>
                  </w:r>
                  <w:r>
                    <w:rPr>
                      <w:rFonts w:ascii="仿宋_GB2312" w:hAnsi="仿宋_GB2312" w:cs="仿宋_GB2312" w:eastAsia="仿宋_GB2312"/>
                      <w:sz w:val="22"/>
                      <w:color w:val="000000"/>
                    </w:rPr>
                    <w:t xml:space="preserve"> 三、箱体、塞盘与链条配件</w:t>
                  </w:r>
                  <w:r>
                    <w:br/>
                  </w:r>
                  <w:r>
                    <w:rPr>
                      <w:rFonts w:ascii="仿宋_GB2312" w:hAnsi="仿宋_GB2312" w:cs="仿宋_GB2312" w:eastAsia="仿宋_GB2312"/>
                      <w:sz w:val="22"/>
                      <w:color w:val="000000"/>
                    </w:rPr>
                    <w:t xml:space="preserve">   1.箱体内部全部零部件采用不锈钢制作，配套支架、透视观察窗、防雨罩；</w:t>
                  </w:r>
                  <w:r>
                    <w:br/>
                  </w:r>
                  <w:r>
                    <w:rPr>
                      <w:rFonts w:ascii="仿宋_GB2312" w:hAnsi="仿宋_GB2312" w:cs="仿宋_GB2312" w:eastAsia="仿宋_GB2312"/>
                      <w:sz w:val="22"/>
                      <w:color w:val="000000"/>
                    </w:rPr>
                    <w:t xml:space="preserve">   2.输料方式：塞盘塞片传动，支持90度转角输送；</w:t>
                  </w:r>
                  <w:r>
                    <w:br/>
                  </w:r>
                  <w:r>
                    <w:rPr>
                      <w:rFonts w:ascii="仿宋_GB2312" w:hAnsi="仿宋_GB2312" w:cs="仿宋_GB2312" w:eastAsia="仿宋_GB2312"/>
                      <w:sz w:val="22"/>
                      <w:color w:val="000000"/>
                    </w:rPr>
                    <w:t xml:space="preserve">   3.塞盘塞片共48个，不锈钢材质；塞盘外壳不锈钢、铸钢内轮，内部配件均为不锈钢；</w:t>
                  </w:r>
                  <w:r>
                    <w:br/>
                  </w:r>
                  <w:r>
                    <w:rPr>
                      <w:rFonts w:ascii="仿宋_GB2312" w:hAnsi="仿宋_GB2312" w:cs="仿宋_GB2312" w:eastAsia="仿宋_GB2312"/>
                      <w:sz w:val="22"/>
                      <w:color w:val="000000"/>
                    </w:rPr>
                    <w:t xml:space="preserve">   4.塞盘链条总长580米，高强尼龙注塑，链条规格≥Φ45mm；内长35mm、内宽9mm、链径6mm，带锯齿防滑槽；20锰2焊接接口，单条链条可承受4.5T拉力；圆环外径45mm、环距70mm，PA尼龙材质。</w:t>
                  </w:r>
                  <w:r>
                    <w:br/>
                  </w:r>
                  <w:r>
                    <w:rPr>
                      <w:rFonts w:ascii="仿宋_GB2312" w:hAnsi="仿宋_GB2312" w:cs="仿宋_GB2312" w:eastAsia="仿宋_GB2312"/>
                      <w:sz w:val="22"/>
                      <w:color w:val="000000"/>
                    </w:rPr>
                    <w:t xml:space="preserve"> 四、输料管路及配套管件</w:t>
                  </w:r>
                  <w:r>
                    <w:br/>
                  </w:r>
                  <w:r>
                    <w:rPr>
                      <w:rFonts w:ascii="仿宋_GB2312" w:hAnsi="仿宋_GB2312" w:cs="仿宋_GB2312" w:eastAsia="仿宋_GB2312"/>
                      <w:sz w:val="22"/>
                      <w:color w:val="000000"/>
                    </w:rPr>
                    <w:t xml:space="preserve">   1.主输送料管总长580米，不锈钢管材，外径60mm，管壁厚度≥1.08mm；管口打磨去毛刺，专用料线管道；链条接头为60不锈钢防退螺栓，配套300个不锈钢管箍；</w:t>
                  </w:r>
                  <w:r>
                    <w:br/>
                  </w:r>
                  <w:r>
                    <w:rPr>
                      <w:rFonts w:ascii="仿宋_GB2312" w:hAnsi="仿宋_GB2312" w:cs="仿宋_GB2312" w:eastAsia="仿宋_GB2312"/>
                      <w:sz w:val="22"/>
                      <w:color w:val="000000"/>
                    </w:rPr>
                    <w:t xml:space="preserve">   2.配套3条3m×25mm不锈钢单边螺丝一体成型60U型卡，搭配280个热镀锌底座；</w:t>
                  </w:r>
                  <w:r>
                    <w:br/>
                  </w:r>
                  <w:r>
                    <w:rPr>
                      <w:rFonts w:ascii="仿宋_GB2312" w:hAnsi="仿宋_GB2312" w:cs="仿宋_GB2312" w:eastAsia="仿宋_GB2312"/>
                      <w:sz w:val="22"/>
                      <w:color w:val="000000"/>
                    </w:rPr>
                    <w:t xml:space="preserve">   3.下料三通24个，60管聚丙纯原料材质；伸缩套48个聚丙烯材质；</w:t>
                  </w:r>
                  <w:r>
                    <w:br/>
                  </w:r>
                  <w:r>
                    <w:rPr>
                      <w:rFonts w:ascii="仿宋_GB2312" w:hAnsi="仿宋_GB2312" w:cs="仿宋_GB2312" w:eastAsia="仿宋_GB2312"/>
                      <w:sz w:val="22"/>
                      <w:color w:val="000000"/>
                    </w:rPr>
                    <w:t xml:space="preserve">   4.下料软管：63PVC管18根（单根4米）、75PVC管28根（单根4米）；配套76喉箍96个；</w:t>
                  </w:r>
                  <w:r>
                    <w:br/>
                  </w:r>
                  <w:r>
                    <w:rPr>
                      <w:rFonts w:ascii="仿宋_GB2312" w:hAnsi="仿宋_GB2312" w:cs="仿宋_GB2312" w:eastAsia="仿宋_GB2312"/>
                      <w:sz w:val="22"/>
                      <w:color w:val="000000"/>
                    </w:rPr>
                    <w:t xml:space="preserve">   5.回料三通3个，聚丙烯材质，带片三通适配60mm管路，分别用于正常下料、回料放料。</w:t>
                  </w:r>
                  <w:r>
                    <w:br/>
                  </w:r>
                  <w:r>
                    <w:rPr>
                      <w:rFonts w:ascii="仿宋_GB2312" w:hAnsi="仿宋_GB2312" w:cs="仿宋_GB2312" w:eastAsia="仿宋_GB2312"/>
                      <w:sz w:val="22"/>
                      <w:color w:val="000000"/>
                    </w:rPr>
                    <w:t xml:space="preserve"> 五、电气控制配套（2台一拖一不锈钢控制柜）</w:t>
                  </w:r>
                  <w:r>
                    <w:br/>
                  </w:r>
                  <w:r>
                    <w:rPr>
                      <w:rFonts w:ascii="仿宋_GB2312" w:hAnsi="仿宋_GB2312" w:cs="仿宋_GB2312" w:eastAsia="仿宋_GB2312"/>
                      <w:sz w:val="22"/>
                      <w:color w:val="000000"/>
                    </w:rPr>
                    <w:t xml:space="preserve">   1.控制柜外壳为不锈钢箱体，单台控制一条输料线路；</w:t>
                  </w:r>
                  <w:r>
                    <w:br/>
                  </w:r>
                  <w:r>
                    <w:rPr>
                      <w:rFonts w:ascii="仿宋_GB2312" w:hAnsi="仿宋_GB2312" w:cs="仿宋_GB2312" w:eastAsia="仿宋_GB2312"/>
                      <w:sz w:val="22"/>
                      <w:color w:val="000000"/>
                    </w:rPr>
                    <w:t xml:space="preserve">   ▲2.全自动控制功能：内置定时器、漏电保护器、相序保护、延时保护、电机热保护等全套安全电器元件；</w:t>
                  </w:r>
                  <w:r>
                    <w:br/>
                  </w:r>
                  <w:r>
                    <w:rPr>
                      <w:rFonts w:ascii="仿宋_GB2312" w:hAnsi="仿宋_GB2312" w:cs="仿宋_GB2312" w:eastAsia="仿宋_GB2312"/>
                      <w:sz w:val="22"/>
                      <w:color w:val="000000"/>
                    </w:rPr>
                    <w:t xml:space="preserve">   3.配套线缆：3芯电缆线200米、2芯电缆线400米；</w:t>
                  </w:r>
                  <w:r>
                    <w:br/>
                  </w:r>
                  <w:r>
                    <w:rPr>
                      <w:rFonts w:ascii="仿宋_GB2312" w:hAnsi="仿宋_GB2312" w:cs="仿宋_GB2312" w:eastAsia="仿宋_GB2312"/>
                      <w:sz w:val="22"/>
                      <w:color w:val="000000"/>
                    </w:rPr>
                    <w:t xml:space="preserve">   4.安装辅材：40热镀锌万能角铁95根、膨胀螺丝10×10规格共500颗。</w:t>
                  </w:r>
                </w:p>
              </w:tc>
              <w:tc>
                <w:tcPr>
                  <w:tcW w:type="dxa" w:w="18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8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513"/>
                  <w:vMerge/>
                  <w:tcBorders>
                    <w:top w:val="single" w:color="000000" w:sz="4"/>
                    <w:left w:val="single" w:color="000000" w:sz="4"/>
                    <w:bottom w:val="single" w:color="000000" w:sz="4"/>
                    <w:right w:val="single" w:color="000000" w:sz="4"/>
                  </w:tcBorders>
                </w:tcPr>
                <w:p/>
              </w:tc>
              <w:tc>
                <w:tcPr>
                  <w:tcW w:type="dxa" w:w="1663"/>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c>
                <w:tcPr>
                  <w:tcW w:type="dxa" w:w="187"/>
                  <w:vMerge/>
                  <w:tcBorders>
                    <w:top w:val="single" w:color="000000" w:sz="4"/>
                    <w:left w:val="single" w:color="000000" w:sz="4"/>
                    <w:bottom w:val="single" w:color="000000" w:sz="4"/>
                    <w:right w:val="single" w:color="000000" w:sz="4"/>
                  </w:tcBorders>
                </w:tcPr>
                <w:p/>
              </w:tc>
            </w:tr>
            <w:tr>
              <w:tc>
                <w:tcPr>
                  <w:tcW w:type="dxa" w:w="255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36"/>
                      <w:b/>
                      <w:color w:val="000000"/>
                    </w:rPr>
                    <w:t>二、其他设备</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规格型号</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风机</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24"/>
                      <w:color w:val="000000"/>
                    </w:rPr>
                    <w:t xml:space="preserve"> ▲1.纯铜电机功率:≥1.5kw；</w:t>
                  </w:r>
                  <w:r>
                    <w:br/>
                  </w:r>
                  <w:r>
                    <w:rPr>
                      <w:rFonts w:ascii="仿宋_GB2312" w:hAnsi="仿宋_GB2312" w:cs="仿宋_GB2312" w:eastAsia="仿宋_GB2312"/>
                      <w:sz w:val="24"/>
                      <w:color w:val="000000"/>
                    </w:rPr>
                    <w:t xml:space="preserve"> 2.SMC外壳，铸铝扇叶，同等或优于304不锈钢支架，</w:t>
                  </w:r>
                  <w:r>
                    <w:br/>
                  </w:r>
                  <w:r>
                    <w:rPr>
                      <w:rFonts w:ascii="仿宋_GB2312" w:hAnsi="仿宋_GB2312" w:cs="仿宋_GB2312" w:eastAsia="仿宋_GB2312"/>
                      <w:sz w:val="24"/>
                      <w:color w:val="000000"/>
                    </w:rPr>
                    <w:t xml:space="preserve"> 3.白叶窗：扇叶材质，铸铝扇叶，含喷塑护网；</w:t>
                  </w:r>
                  <w:r>
                    <w:br/>
                  </w:r>
                  <w:r>
                    <w:rPr>
                      <w:rFonts w:ascii="仿宋_GB2312" w:hAnsi="仿宋_GB2312" w:cs="仿宋_GB2312" w:eastAsia="仿宋_GB2312"/>
                      <w:sz w:val="24"/>
                      <w:color w:val="000000"/>
                    </w:rPr>
                    <w:t xml:space="preserve"> 4.扇叶数量 ≥3片                    </w:t>
                  </w:r>
                  <w:r>
                    <w:br/>
                  </w:r>
                  <w:r>
                    <w:rPr>
                      <w:rFonts w:ascii="仿宋_GB2312" w:hAnsi="仿宋_GB2312" w:cs="仿宋_GB2312" w:eastAsia="仿宋_GB2312"/>
                      <w:sz w:val="24"/>
                      <w:color w:val="000000"/>
                    </w:rPr>
                    <w:t xml:space="preserve"> 5.扇叶直径：≥1250mm；</w:t>
                  </w:r>
                  <w:r>
                    <w:br/>
                  </w:r>
                  <w:r>
                    <w:rPr>
                      <w:rFonts w:ascii="仿宋_GB2312" w:hAnsi="仿宋_GB2312" w:cs="仿宋_GB2312" w:eastAsia="仿宋_GB2312"/>
                      <w:sz w:val="24"/>
                      <w:color w:val="000000"/>
                    </w:rPr>
                    <w:t xml:space="preserve"> 6.驱动方式：直驱</w:t>
                  </w:r>
                  <w:r>
                    <w:br/>
                  </w:r>
                  <w:r>
                    <w:rPr>
                      <w:rFonts w:ascii="仿宋_GB2312" w:hAnsi="仿宋_GB2312" w:cs="仿宋_GB2312" w:eastAsia="仿宋_GB2312"/>
                      <w:sz w:val="24"/>
                      <w:color w:val="000000"/>
                    </w:rPr>
                    <w:t xml:space="preserve"> 7.支架结构： x型           </w:t>
                  </w:r>
                  <w:r>
                    <w:br/>
                  </w:r>
                  <w:r>
                    <w:rPr>
                      <w:rFonts w:ascii="仿宋_GB2312" w:hAnsi="仿宋_GB2312" w:cs="仿宋_GB2312" w:eastAsia="仿宋_GB2312"/>
                      <w:sz w:val="24"/>
                      <w:color w:val="000000"/>
                    </w:rPr>
                    <w:t xml:space="preserve"> 8.支架材质： 同等或优于304不锈钢</w:t>
                  </w:r>
                  <w:r>
                    <w:br/>
                  </w:r>
                  <w:r>
                    <w:rPr>
                      <w:rFonts w:ascii="仿宋_GB2312" w:hAnsi="仿宋_GB2312" w:cs="仿宋_GB2312" w:eastAsia="仿宋_GB2312"/>
                      <w:sz w:val="24"/>
                      <w:color w:val="000000"/>
                    </w:rPr>
                    <w:t xml:space="preserve"> 9.百叶窗 PVC材质；</w:t>
                  </w:r>
                  <w:r>
                    <w:br/>
                  </w:r>
                  <w:r>
                    <w:rPr>
                      <w:rFonts w:ascii="仿宋_GB2312" w:hAnsi="仿宋_GB2312" w:cs="仿宋_GB2312" w:eastAsia="仿宋_GB2312"/>
                      <w:sz w:val="24"/>
                      <w:color w:val="000000"/>
                    </w:rPr>
                    <w:t xml:space="preserve"> 10.护网材质：铍锌喷塑 </w:t>
                  </w:r>
                  <w:r>
                    <w:br/>
                  </w:r>
                  <w:r>
                    <w:rPr>
                      <w:rFonts w:ascii="仿宋_GB2312" w:hAnsi="仿宋_GB2312" w:cs="仿宋_GB2312" w:eastAsia="仿宋_GB2312"/>
                      <w:sz w:val="24"/>
                      <w:color w:val="000000"/>
                    </w:rPr>
                    <w:t xml:space="preserve"> 11.电压：380V               </w:t>
                  </w:r>
                  <w:r>
                    <w:br/>
                  </w:r>
                  <w:r>
                    <w:rPr>
                      <w:rFonts w:ascii="仿宋_GB2312" w:hAnsi="仿宋_GB2312" w:cs="仿宋_GB2312" w:eastAsia="仿宋_GB2312"/>
                      <w:sz w:val="24"/>
                      <w:color w:val="000000"/>
                    </w:rPr>
                    <w:t xml:space="preserve"> ▲12.功率：≥1500W                    </w:t>
                  </w:r>
                  <w:r>
                    <w:br/>
                  </w:r>
                  <w:r>
                    <w:rPr>
                      <w:rFonts w:ascii="仿宋_GB2312" w:hAnsi="仿宋_GB2312" w:cs="仿宋_GB2312" w:eastAsia="仿宋_GB2312"/>
                      <w:sz w:val="24"/>
                      <w:color w:val="000000"/>
                    </w:rPr>
                    <w:t xml:space="preserve"> 13.额定电流（A）：3.9A    </w:t>
                  </w:r>
                  <w:r>
                    <w:br/>
                  </w:r>
                  <w:r>
                    <w:rPr>
                      <w:rFonts w:ascii="仿宋_GB2312" w:hAnsi="仿宋_GB2312" w:cs="仿宋_GB2312" w:eastAsia="仿宋_GB2312"/>
                      <w:sz w:val="24"/>
                      <w:color w:val="000000"/>
                    </w:rPr>
                    <w:t xml:space="preserve"> 14.扇叶转速：≥720rpm             </w:t>
                  </w:r>
                  <w:r>
                    <w:br/>
                  </w:r>
                  <w:r>
                    <w:rPr>
                      <w:rFonts w:ascii="仿宋_GB2312" w:hAnsi="仿宋_GB2312" w:cs="仿宋_GB2312" w:eastAsia="仿宋_GB2312"/>
                      <w:sz w:val="24"/>
                      <w:color w:val="000000"/>
                    </w:rPr>
                    <w:t xml:space="preserve"> 15.电机转速：≥720rpm</w:t>
                  </w:r>
                  <w:r>
                    <w:br/>
                  </w:r>
                  <w:r>
                    <w:rPr>
                      <w:rFonts w:ascii="仿宋_GB2312" w:hAnsi="仿宋_GB2312" w:cs="仿宋_GB2312" w:eastAsia="仿宋_GB2312"/>
                      <w:sz w:val="24"/>
                      <w:color w:val="000000"/>
                    </w:rPr>
                    <w:t xml:space="preserve"> 16.风量：≥42000m°/h             </w:t>
                  </w:r>
                  <w:r>
                    <w:br/>
                  </w:r>
                  <w:r>
                    <w:rPr>
                      <w:rFonts w:ascii="仿宋_GB2312" w:hAnsi="仿宋_GB2312" w:cs="仿宋_GB2312" w:eastAsia="仿宋_GB2312"/>
                      <w:sz w:val="24"/>
                      <w:color w:val="000000"/>
                    </w:rPr>
                    <w:t xml:space="preserve"> 17.电机保护等级：≥IP55</w:t>
                  </w:r>
                  <w:r>
                    <w:br/>
                  </w:r>
                  <w:r>
                    <w:rPr>
                      <w:rFonts w:ascii="仿宋_GB2312" w:hAnsi="仿宋_GB2312" w:cs="仿宋_GB2312" w:eastAsia="仿宋_GB2312"/>
                    </w:rPr>
                    <w:t xml:space="preserve">  </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除臭机</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1.名称:养殖除臭机</w:t>
                  </w:r>
                  <w:r>
                    <w:br/>
                  </w:r>
                  <w:r>
                    <w:rPr>
                      <w:rFonts w:ascii="仿宋_GB2312" w:hAnsi="仿宋_GB2312" w:cs="仿宋_GB2312" w:eastAsia="仿宋_GB2312"/>
                      <w:sz w:val="24"/>
                      <w:color w:val="000000"/>
                    </w:rPr>
                    <w:t xml:space="preserve"> 2.参数:2000(含接风□长度)*1560*1850mm，±4mm；</w:t>
                  </w:r>
                  <w:r>
                    <w:br/>
                  </w:r>
                  <w:r>
                    <w:rPr>
                      <w:rFonts w:ascii="仿宋_GB2312" w:hAnsi="仿宋_GB2312" w:cs="仿宋_GB2312" w:eastAsia="仿宋_GB2312"/>
                      <w:sz w:val="24"/>
                      <w:color w:val="000000"/>
                    </w:rPr>
                    <w:t xml:space="preserve"> ▲3.水箱容积：≥200L</w:t>
                  </w:r>
                  <w:r>
                    <w:br/>
                  </w:r>
                  <w:r>
                    <w:rPr>
                      <w:rFonts w:ascii="仿宋_GB2312" w:hAnsi="仿宋_GB2312" w:cs="仿宋_GB2312" w:eastAsia="仿宋_GB2312"/>
                      <w:sz w:val="24"/>
                      <w:color w:val="000000"/>
                    </w:rPr>
                    <w:t xml:space="preserve"> 4.材质:PP外壳(低风阻型)、FRP(玻璃钢)接风口、全不锈钢螺丝</w:t>
                  </w:r>
                  <w:r>
                    <w:br/>
                  </w:r>
                  <w:r>
                    <w:rPr>
                      <w:rFonts w:ascii="仿宋_GB2312" w:hAnsi="仿宋_GB2312" w:cs="仿宋_GB2312" w:eastAsia="仿宋_GB2312"/>
                      <w:sz w:val="24"/>
                      <w:color w:val="000000"/>
                    </w:rPr>
                    <w:t xml:space="preserve"> 5.水洗系统:矩形PVC喷管、污水污物潜水泵(≥0.55kw)、玻璃钢水箱、pp除臭湿帘(共聚PP高分子材料)、蜂窝吸水纸</w:t>
                  </w:r>
                  <w:r>
                    <w:br/>
                  </w:r>
                  <w:r>
                    <w:rPr>
                      <w:rFonts w:ascii="仿宋_GB2312" w:hAnsi="仿宋_GB2312" w:cs="仿宋_GB2312" w:eastAsia="仿宋_GB2312"/>
                    </w:rPr>
                    <w:t xml:space="preserve">  </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水帘</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1.名称:养殖专业水帘墙双面不锈钢防鼠网  </w:t>
                  </w:r>
                  <w:r>
                    <w:br/>
                  </w:r>
                  <w:r>
                    <w:rPr>
                      <w:rFonts w:ascii="仿宋_GB2312" w:hAnsi="仿宋_GB2312" w:cs="仿宋_GB2312" w:eastAsia="仿宋_GB2312"/>
                      <w:sz w:val="24"/>
                      <w:color w:val="000000"/>
                    </w:rPr>
                    <w:t xml:space="preserve"> 2.型号:150铝合金内循环湿帘型                                    </w:t>
                  </w:r>
                  <w:r>
                    <w:br/>
                  </w:r>
                  <w:r>
                    <w:rPr>
                      <w:rFonts w:ascii="仿宋_GB2312" w:hAnsi="仿宋_GB2312" w:cs="仿宋_GB2312" w:eastAsia="仿宋_GB2312"/>
                      <w:sz w:val="24"/>
                      <w:color w:val="000000"/>
                    </w:rPr>
                    <w:t xml:space="preserve"> ▲3.材质：铝合金厚度≥1.2mm，双面不锈钢防鼠网，木浆纸日照华泰≥95克，圣泉9100新胶水，7090型水帘纸芯。</w:t>
                  </w:r>
                  <w:r>
                    <w:br/>
                  </w:r>
                  <w:r>
                    <w:rPr>
                      <w:rFonts w:ascii="仿宋_GB2312" w:hAnsi="仿宋_GB2312" w:cs="仿宋_GB2312" w:eastAsia="仿宋_GB2312"/>
                      <w:sz w:val="24"/>
                      <w:color w:val="000000"/>
                    </w:rPr>
                    <w:t xml:space="preserve"> ▲4.每60CM≥85张纸；</w:t>
                  </w:r>
                  <w:r>
                    <w:br/>
                  </w:r>
                  <w:r>
                    <w:rPr>
                      <w:rFonts w:ascii="仿宋_GB2312" w:hAnsi="仿宋_GB2312" w:cs="仿宋_GB2312" w:eastAsia="仿宋_GB2312"/>
                      <w:sz w:val="24"/>
                      <w:color w:val="000000"/>
                    </w:rPr>
                    <w:t xml:space="preserve"> 5.标准厚度：≥150mm；</w:t>
                  </w:r>
                  <w:r>
                    <w:br/>
                  </w:r>
                  <w:r>
                    <w:rPr>
                      <w:rFonts w:ascii="仿宋_GB2312" w:hAnsi="仿宋_GB2312" w:cs="仿宋_GB2312" w:eastAsia="仿宋_GB2312"/>
                      <w:sz w:val="24"/>
                      <w:color w:val="000000"/>
                    </w:rPr>
                    <w:t xml:space="preserve"> 6.单片模数：宽 600mm；高度2000mm，±10mm，通高拼接无漏风。</w:t>
                  </w:r>
                  <w:r>
                    <w:br/>
                  </w:r>
                  <w:r>
                    <w:rPr>
                      <w:rFonts w:ascii="仿宋_GB2312" w:hAnsi="仿宋_GB2312" w:cs="仿宋_GB2312" w:eastAsia="仿宋_GB2312"/>
                      <w:sz w:val="24"/>
                      <w:color w:val="000000"/>
                    </w:rPr>
                    <w:t xml:space="preserve"> 7.防鼠网：不锈钢防鼠网.</w:t>
                  </w:r>
                  <w:r>
                    <w:br/>
                  </w:r>
                  <w:r>
                    <w:rPr>
                      <w:rFonts w:ascii="仿宋_GB2312" w:hAnsi="仿宋_GB2312" w:cs="仿宋_GB2312" w:eastAsia="仿宋_GB2312"/>
                      <w:sz w:val="24"/>
                      <w:color w:val="000000"/>
                    </w:rPr>
                    <w:t xml:space="preserve"> 8.设计过帘风速：1.5～2.0 m/s</w:t>
                  </w:r>
                  <w:r>
                    <w:br/>
                  </w:r>
                  <w:r>
                    <w:rPr>
                      <w:rFonts w:ascii="仿宋_GB2312" w:hAnsi="仿宋_GB2312" w:cs="仿宋_GB2312" w:eastAsia="仿宋_GB2312"/>
                      <w:sz w:val="24"/>
                      <w:color w:val="000000"/>
                    </w:rPr>
                    <w:t xml:space="preserve"> 9.空气阻力：20～40 Pa</w:t>
                  </w:r>
                  <w:r>
                    <w:br/>
                  </w:r>
                  <w:r>
                    <w:rPr>
                      <w:rFonts w:ascii="仿宋_GB2312" w:hAnsi="仿宋_GB2312" w:cs="仿宋_GB2312" w:eastAsia="仿宋_GB2312"/>
                      <w:sz w:val="24"/>
                      <w:color w:val="000000"/>
                    </w:rPr>
                    <w:t xml:space="preserve"> 10.单位布水量：4～5 L/(㎡・min)，全域均匀布水无干区、无滴水，</w:t>
                  </w:r>
                  <w:r>
                    <w:br/>
                  </w:r>
                  <w:r>
                    <w:rPr>
                      <w:rFonts w:ascii="仿宋_GB2312" w:hAnsi="仿宋_GB2312" w:cs="仿宋_GB2312" w:eastAsia="仿宋_GB2312"/>
                      <w:sz w:val="24"/>
                      <w:color w:val="000000"/>
                    </w:rPr>
                    <w:t xml:space="preserve"> 11.单个水帘高1.5米*宽3米，±10mm</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自动温控制箱</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▲1、箱体同等或优于201不锈钢材质;</w:t>
                  </w:r>
                  <w:r>
                    <w:br/>
                  </w:r>
                  <w:r>
                    <w:rPr>
                      <w:rFonts w:ascii="仿宋_GB2312" w:hAnsi="仿宋_GB2312" w:cs="仿宋_GB2312" w:eastAsia="仿宋_GB2312"/>
                      <w:sz w:val="24"/>
                      <w:color w:val="000000"/>
                    </w:rPr>
                    <w:t xml:space="preserve"> ▲2、中文电子控制屏幕，≥6路路带相序，延时启动 防止电流冲击</w:t>
                  </w:r>
                  <w:r>
                    <w:br/>
                  </w:r>
                  <w:r>
                    <w:rPr>
                      <w:rFonts w:ascii="仿宋_GB2312" w:hAnsi="仿宋_GB2312" w:cs="仿宋_GB2312" w:eastAsia="仿宋_GB2312"/>
                      <w:sz w:val="24"/>
                      <w:color w:val="000000"/>
                    </w:rPr>
                    <w:t xml:space="preserve"> 每路按顺序可以自由设置延时启动时间，防止多路同时启动，造成电流冲击。</w:t>
                  </w:r>
                  <w:r>
                    <w:br/>
                  </w:r>
                  <w:r>
                    <w:rPr>
                      <w:rFonts w:ascii="仿宋_GB2312" w:hAnsi="仿宋_GB2312" w:cs="仿宋_GB2312" w:eastAsia="仿宋_GB2312"/>
                      <w:sz w:val="24"/>
                      <w:color w:val="000000"/>
                    </w:rPr>
                    <w:t xml:space="preserve"> 3、过载保护，10米5探头，温控湿控循环控制，高温低温断电报警，故障声光报警直流12V报警，每路独立控制；相序保护器，相序保护器屏蔽开关，电源空开，零线排，温度传感器，温控器，指示灯，交流接触器，热过载保护器，三档旋钮开关，功率1.5KW 三相四线供电控制箱  </w:t>
                  </w:r>
                  <w:r>
                    <w:br/>
                  </w:r>
                  <w:r>
                    <w:rPr>
                      <w:rFonts w:ascii="仿宋_GB2312" w:hAnsi="仿宋_GB2312" w:cs="仿宋_GB2312" w:eastAsia="仿宋_GB2312"/>
                      <w:sz w:val="24"/>
                      <w:color w:val="000000"/>
                    </w:rPr>
                    <w:t xml:space="preserve"> ▲4.功率：≥1.5KW，380V</w:t>
                  </w:r>
                  <w:r>
                    <w:br/>
                  </w:r>
                  <w:r>
                    <w:rPr>
                      <w:rFonts w:ascii="仿宋_GB2312" w:hAnsi="仿宋_GB2312" w:cs="仿宋_GB2312" w:eastAsia="仿宋_GB2312"/>
                      <w:sz w:val="24"/>
                      <w:color w:val="000000"/>
                    </w:rPr>
                    <w:t xml:space="preserve"> 5.空气开关;热过载保护器;交流接触器                      </w:t>
                  </w:r>
                  <w:r>
                    <w:br/>
                  </w:r>
                  <w:r>
                    <w:rPr>
                      <w:rFonts w:ascii="仿宋_GB2312" w:hAnsi="仿宋_GB2312" w:cs="仿宋_GB2312" w:eastAsia="仿宋_GB2312"/>
                      <w:sz w:val="24"/>
                      <w:color w:val="000000"/>
                    </w:rPr>
                    <w:t xml:space="preserve"> 6.温控、时控 自由切换温控和时控自由切换，循环启动，间隔排风，操作简单，使用方便。                                            </w:t>
                  </w:r>
                  <w:r>
                    <w:br/>
                  </w:r>
                  <w:r>
                    <w:rPr>
                      <w:rFonts w:ascii="仿宋_GB2312" w:hAnsi="仿宋_GB2312" w:cs="仿宋_GB2312" w:eastAsia="仿宋_GB2312"/>
                      <w:sz w:val="24"/>
                      <w:color w:val="000000"/>
                    </w:rPr>
                    <w:t xml:space="preserve"> 7.双传感器控温更广更精准;应急处置功能;操作更简易; 间隔排氨气;高低温报警功能;智能控温，最小控温单位 0.1°C;温控时控，循环工作，恒温通风;独立输出，每路加热、制冷单独设置;顺序启动，间隔可调，防止负荷冲击;优质变压器，供电电压波动不会损坏</w:t>
                  </w:r>
                  <w:r>
                    <w:br/>
                  </w:r>
                  <w:r>
                    <w:rPr>
                      <w:rFonts w:ascii="仿宋_GB2312" w:hAnsi="仿宋_GB2312" w:cs="仿宋_GB2312" w:eastAsia="仿宋_GB2312"/>
                      <w:sz w:val="24"/>
                      <w:color w:val="000000"/>
                    </w:rPr>
                    <w:t xml:space="preserve"> 8、可联动除臭机、风机，水帘；</w:t>
                  </w:r>
                  <w:r>
                    <w:br/>
                  </w:r>
                  <w:r>
                    <w:rPr>
                      <w:rFonts w:ascii="仿宋_GB2312" w:hAnsi="仿宋_GB2312" w:cs="仿宋_GB2312" w:eastAsia="仿宋_GB2312"/>
                      <w:sz w:val="24"/>
                      <w:color w:val="000000"/>
                    </w:rPr>
                    <w:t xml:space="preserve"> 9、控温精度： ±0.1°C;</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育肥围栏</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育肥围栏技术参数</w:t>
                  </w:r>
                  <w:r>
                    <w:br/>
                  </w:r>
                  <w:r>
                    <w:rPr>
                      <w:rFonts w:ascii="仿宋_GB2312" w:hAnsi="仿宋_GB2312" w:cs="仿宋_GB2312" w:eastAsia="仿宋_GB2312"/>
                      <w:sz w:val="22"/>
                      <w:color w:val="000000"/>
                    </w:rPr>
                    <w:t xml:space="preserve"> 一、立柱规格参数</w:t>
                  </w:r>
                  <w:r>
                    <w:br/>
                  </w:r>
                  <w:r>
                    <w:rPr>
                      <w:rFonts w:ascii="仿宋_GB2312" w:hAnsi="仿宋_GB2312" w:cs="仿宋_GB2312" w:eastAsia="仿宋_GB2312"/>
                      <w:sz w:val="22"/>
                      <w:color w:val="000000"/>
                    </w:rPr>
                    <w:t xml:space="preserve">   ▲1.猪门立柱：58mm×900mm，±1mm</w:t>
                  </w:r>
                  <w:r>
                    <w:br/>
                  </w:r>
                  <w:r>
                    <w:rPr>
                      <w:rFonts w:ascii="仿宋_GB2312" w:hAnsi="仿宋_GB2312" w:cs="仿宋_GB2312" w:eastAsia="仿宋_GB2312"/>
                      <w:sz w:val="22"/>
                      <w:color w:val="000000"/>
                    </w:rPr>
                    <w:t xml:space="preserve">   ▲2.转角立柱：95mm×900mm，±1mm</w:t>
                  </w:r>
                  <w:r>
                    <w:br/>
                  </w:r>
                  <w:r>
                    <w:rPr>
                      <w:rFonts w:ascii="仿宋_GB2312" w:hAnsi="仿宋_GB2312" w:cs="仿宋_GB2312" w:eastAsia="仿宋_GB2312"/>
                      <w:sz w:val="22"/>
                      <w:color w:val="000000"/>
                    </w:rPr>
                    <w:t xml:space="preserve">   ▲3.穿管立柱：65mm×900mm，±1mm</w:t>
                  </w:r>
                  <w:r>
                    <w:br/>
                  </w:r>
                  <w:r>
                    <w:rPr>
                      <w:rFonts w:ascii="仿宋_GB2312" w:hAnsi="仿宋_GB2312" w:cs="仿宋_GB2312" w:eastAsia="仿宋_GB2312"/>
                      <w:sz w:val="22"/>
                      <w:color w:val="000000"/>
                    </w:rPr>
                    <w:t xml:space="preserve">   ▲4.靠墙立柱：58mm×900mm，±1mm</w:t>
                  </w:r>
                  <w:r>
                    <w:br/>
                  </w:r>
                  <w:r>
                    <w:rPr>
                      <w:rFonts w:ascii="仿宋_GB2312" w:hAnsi="仿宋_GB2312" w:cs="仿宋_GB2312" w:eastAsia="仿宋_GB2312"/>
                      <w:sz w:val="22"/>
                      <w:color w:val="000000"/>
                    </w:rPr>
                    <w:t xml:space="preserve"> 二、板材与防腐工艺</w:t>
                  </w:r>
                  <w:r>
                    <w:br/>
                  </w:r>
                  <w:r>
                    <w:rPr>
                      <w:rFonts w:ascii="仿宋_GB2312" w:hAnsi="仿宋_GB2312" w:cs="仿宋_GB2312" w:eastAsia="仿宋_GB2312"/>
                      <w:sz w:val="22"/>
                      <w:color w:val="000000"/>
                    </w:rPr>
                    <w:t xml:space="preserve">   围栏主体采用厚度≥5mm碳钢板制作，整体经过热镀锌防腐处理，配套镀锌U型件、镀锌固定螺丝，适配养殖舍高湿、粪污腐蚀环境，不易生锈。</w:t>
                  </w:r>
                  <w:r>
                    <w:br/>
                  </w:r>
                  <w:r>
                    <w:rPr>
                      <w:rFonts w:ascii="仿宋_GB2312" w:hAnsi="仿宋_GB2312" w:cs="仿宋_GB2312" w:eastAsia="仿宋_GB2312"/>
                      <w:sz w:val="22"/>
                      <w:color w:val="000000"/>
                    </w:rPr>
                    <w:t xml:space="preserve"> 三、横撑管材要求</w:t>
                  </w:r>
                  <w:r>
                    <w:br/>
                  </w:r>
                  <w:r>
                    <w:rPr>
                      <w:rFonts w:ascii="仿宋_GB2312" w:hAnsi="仿宋_GB2312" w:cs="仿宋_GB2312" w:eastAsia="仿宋_GB2312"/>
                      <w:sz w:val="22"/>
                      <w:color w:val="000000"/>
                    </w:rPr>
                    <w:t xml:space="preserve">   ▲横向支撑采用6分热镀锌圆管，管材壁厚≥2.5mm，结构强度高，抗猪只冲撞变形。</w:t>
                  </w:r>
                  <w:r>
                    <w:br/>
                  </w:r>
                  <w:r>
                    <w:rPr>
                      <w:rFonts w:ascii="仿宋_GB2312" w:hAnsi="仿宋_GB2312" w:cs="仿宋_GB2312" w:eastAsia="仿宋_GB2312"/>
                      <w:sz w:val="22"/>
                      <w:color w:val="000000"/>
                    </w:rPr>
                    <w:t xml:space="preserve"> 四、围栏整体尺寸与栏柱间距</w:t>
                  </w:r>
                  <w:r>
                    <w:br/>
                  </w:r>
                  <w:r>
                    <w:rPr>
                      <w:rFonts w:ascii="仿宋_GB2312" w:hAnsi="仿宋_GB2312" w:cs="仿宋_GB2312" w:eastAsia="仿宋_GB2312"/>
                      <w:sz w:val="22"/>
                      <w:color w:val="000000"/>
                    </w:rPr>
                    <w:t xml:space="preserve">   ▲1.围栏总高度：900mm，±10mm；</w:t>
                  </w:r>
                  <w:r>
                    <w:br/>
                  </w:r>
                  <w:r>
                    <w:rPr>
                      <w:rFonts w:ascii="仿宋_GB2312" w:hAnsi="仿宋_GB2312" w:cs="仿宋_GB2312" w:eastAsia="仿宋_GB2312"/>
                      <w:sz w:val="22"/>
                      <w:color w:val="000000"/>
                    </w:rPr>
                    <w:t xml:space="preserve">   ▲2.栏柱间距设计为上宽下窄：上栏柱间距165mm，±1mm，下栏柱间距85mm，±1mm，可防止猪只卡头、卡肢，保障饲养安全。</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636.20 </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防粪饮水盆</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防粪饮水盆技术参数</w:t>
                  </w:r>
                  <w:r>
                    <w:br/>
                  </w:r>
                  <w:r>
                    <w:rPr>
                      <w:rFonts w:ascii="仿宋_GB2312" w:hAnsi="仿宋_GB2312" w:cs="仿宋_GB2312" w:eastAsia="仿宋_GB2312"/>
                      <w:sz w:val="24"/>
                      <w:color w:val="000000"/>
                    </w:rPr>
                    <w:t xml:space="preserve"> 一、管路配件规格</w:t>
                  </w:r>
                  <w:r>
                    <w:br/>
                  </w:r>
                  <w:r>
                    <w:rPr>
                      <w:rFonts w:ascii="仿宋_GB2312" w:hAnsi="仿宋_GB2312" w:cs="仿宋_GB2312" w:eastAsia="仿宋_GB2312"/>
                      <w:sz w:val="24"/>
                      <w:color w:val="000000"/>
                    </w:rPr>
                    <w:t xml:space="preserve">   1.出水软管：长度≥80cm，内置钢丝加强软管，抗拉扯不易弯折堵水；</w:t>
                  </w:r>
                  <w:r>
                    <w:br/>
                  </w:r>
                  <w:r>
                    <w:rPr>
                      <w:rFonts w:ascii="仿宋_GB2312" w:hAnsi="仿宋_GB2312" w:cs="仿宋_GB2312" w:eastAsia="仿宋_GB2312"/>
                      <w:sz w:val="24"/>
                      <w:color w:val="000000"/>
                    </w:rPr>
                    <w:t xml:space="preserve">   2.引水管：总长1.2米，管材为不锈钢材质，管壁厚度≥1.4mm，耐腐蚀、抗水压。</w:t>
                  </w:r>
                  <w:r>
                    <w:br/>
                  </w:r>
                  <w:r>
                    <w:rPr>
                      <w:rFonts w:ascii="仿宋_GB2312" w:hAnsi="仿宋_GB2312" w:cs="仿宋_GB2312" w:eastAsia="仿宋_GB2312"/>
                      <w:sz w:val="24"/>
                      <w:color w:val="000000"/>
                    </w:rPr>
                    <w:t xml:space="preserve"> 二、水位控制核心组件</w:t>
                  </w:r>
                  <w:r>
                    <w:br/>
                  </w:r>
                  <w:r>
                    <w:rPr>
                      <w:rFonts w:ascii="仿宋_GB2312" w:hAnsi="仿宋_GB2312" w:cs="仿宋_GB2312" w:eastAsia="仿宋_GB2312"/>
                      <w:sz w:val="24"/>
                      <w:color w:val="000000"/>
                    </w:rPr>
                    <w:t xml:space="preserve">   ▲1.水位仪壳体材质：ABS或PA高分子材质，全自动水位感应控制，自动补水、停水；</w:t>
                  </w:r>
                  <w:r>
                    <w:br/>
                  </w:r>
                  <w:r>
                    <w:rPr>
                      <w:rFonts w:ascii="仿宋_GB2312" w:hAnsi="仿宋_GB2312" w:cs="仿宋_GB2312" w:eastAsia="仿宋_GB2312"/>
                      <w:sz w:val="24"/>
                      <w:color w:val="000000"/>
                    </w:rPr>
                    <w:t xml:space="preserve">   2.密封配件：阀芯内置进口硅胶密封圈，密封性能强，长期使用不渗水、不漏水；</w:t>
                  </w:r>
                  <w:r>
                    <w:br/>
                  </w:r>
                  <w:r>
                    <w:rPr>
                      <w:rFonts w:ascii="仿宋_GB2312" w:hAnsi="仿宋_GB2312" w:cs="仿宋_GB2312" w:eastAsia="仿宋_GB2312"/>
                      <w:sz w:val="24"/>
                      <w:color w:val="000000"/>
                    </w:rPr>
                    <w:t xml:space="preserve">   3.适配水压：工作水压区间1.5–5.0bar（0.2–0.5Mpa），适配养殖场常规供水压力。</w:t>
                  </w:r>
                  <w:r>
                    <w:br/>
                  </w:r>
                  <w:r>
                    <w:rPr>
                      <w:rFonts w:ascii="仿宋_GB2312" w:hAnsi="仿宋_GB2312" w:cs="仿宋_GB2312" w:eastAsia="仿宋_GB2312"/>
                      <w:sz w:val="24"/>
                      <w:color w:val="000000"/>
                    </w:rPr>
                    <w:t xml:space="preserve"> 三、盆体防护材质配置</w:t>
                  </w:r>
                  <w:r>
                    <w:br/>
                  </w:r>
                  <w:r>
                    <w:rPr>
                      <w:rFonts w:ascii="仿宋_GB2312" w:hAnsi="仿宋_GB2312" w:cs="仿宋_GB2312" w:eastAsia="仿宋_GB2312"/>
                      <w:sz w:val="24"/>
                      <w:color w:val="000000"/>
                    </w:rPr>
                    <w:t xml:space="preserve">   1.饮水盆主体：同等或优于304不锈钢一体成型水盆，耐啃咬、耐酸碱粪污腐蚀，易冲洗消毒；</w:t>
                  </w:r>
                  <w:r>
                    <w:br/>
                  </w:r>
                  <w:r>
                    <w:rPr>
                      <w:rFonts w:ascii="仿宋_GB2312" w:hAnsi="仿宋_GB2312" w:cs="仿宋_GB2312" w:eastAsia="仿宋_GB2312"/>
                      <w:sz w:val="24"/>
                      <w:color w:val="000000"/>
                    </w:rPr>
                    <w:t xml:space="preserve">   2.配套防护件：搭配同等或优于201不锈钢防粪罩，阻挡猪只粪便、饲料残渣落入水盆，保持饮水洁净，减少水资源浪费。</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不锈钢双面料槽</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不锈钢双面料槽技术参数</w:t>
                  </w:r>
                  <w:r>
                    <w:br/>
                  </w:r>
                  <w:r>
                    <w:rPr>
                      <w:rFonts w:ascii="仿宋_GB2312" w:hAnsi="仿宋_GB2312" w:cs="仿宋_GB2312" w:eastAsia="仿宋_GB2312"/>
                      <w:sz w:val="24"/>
                      <w:color w:val="000000"/>
                    </w:rPr>
                    <w:t xml:space="preserve"> 一、材质厚度要求</w:t>
                  </w:r>
                  <w:r>
                    <w:br/>
                  </w:r>
                  <w:r>
                    <w:rPr>
                      <w:rFonts w:ascii="仿宋_GB2312" w:hAnsi="仿宋_GB2312" w:cs="仿宋_GB2312" w:eastAsia="仿宋_GB2312"/>
                      <w:sz w:val="24"/>
                      <w:color w:val="000000"/>
                    </w:rPr>
                    <w:t xml:space="preserve">    ▲1、整体板材采用201不锈钢，板材厚度不小于1.1mm；</w:t>
                  </w:r>
                  <w:r>
                    <w:br/>
                  </w:r>
                  <w:r>
                    <w:rPr>
                      <w:rFonts w:ascii="仿宋_GB2312" w:hAnsi="仿宋_GB2312" w:cs="仿宋_GB2312" w:eastAsia="仿宋_GB2312"/>
                      <w:sz w:val="24"/>
                      <w:color w:val="000000"/>
                    </w:rPr>
                    <w:t xml:space="preserve">    2、耐腐蚀、抗形变，适配养殖舍潮湿、酸碱粪污环境。</w:t>
                  </w:r>
                  <w:r>
                    <w:br/>
                  </w:r>
                  <w:r>
                    <w:rPr>
                      <w:rFonts w:ascii="仿宋_GB2312" w:hAnsi="仿宋_GB2312" w:cs="仿宋_GB2312" w:eastAsia="仿宋_GB2312"/>
                      <w:sz w:val="24"/>
                      <w:color w:val="000000"/>
                    </w:rPr>
                    <w:t xml:space="preserve"> 二、采食孔配置</w:t>
                  </w:r>
                  <w:r>
                    <w:br/>
                  </w:r>
                  <w:r>
                    <w:rPr>
                      <w:rFonts w:ascii="仿宋_GB2312" w:hAnsi="仿宋_GB2312" w:cs="仿宋_GB2312" w:eastAsia="仿宋_GB2312"/>
                      <w:sz w:val="24"/>
                      <w:color w:val="000000"/>
                    </w:rPr>
                    <w:t xml:space="preserve">    双侧面采食设计，每面开设采食孔，合计双面18孔，满足多头畜禽同时采食，采食均匀无抢食死角。</w:t>
                  </w:r>
                  <w:r>
                    <w:br/>
                  </w:r>
                  <w:r>
                    <w:rPr>
                      <w:rFonts w:ascii="仿宋_GB2312" w:hAnsi="仿宋_GB2312" w:cs="仿宋_GB2312" w:eastAsia="仿宋_GB2312"/>
                      <w:sz w:val="24"/>
                      <w:color w:val="000000"/>
                    </w:rPr>
                    <w:t xml:space="preserve"> 三、外形尺寸规格及要求</w:t>
                  </w:r>
                  <w:r>
                    <w:br/>
                  </w:r>
                  <w:r>
                    <w:rPr>
                      <w:rFonts w:ascii="仿宋_GB2312" w:hAnsi="仿宋_GB2312" w:cs="仿宋_GB2312" w:eastAsia="仿宋_GB2312"/>
                      <w:sz w:val="24"/>
                      <w:color w:val="000000"/>
                    </w:rPr>
                    <w:t xml:space="preserve">    ▲1.整体外形尺寸：长2400mm × 宽750mm × 高900mm，±10mm。</w:t>
                  </w:r>
                  <w:r>
                    <w:br/>
                  </w:r>
                  <w:r>
                    <w:rPr>
                      <w:rFonts w:ascii="仿宋_GB2312" w:hAnsi="仿宋_GB2312" w:cs="仿宋_GB2312" w:eastAsia="仿宋_GB2312"/>
                      <w:sz w:val="24"/>
                      <w:color w:val="000000"/>
                    </w:rPr>
                    <w:t xml:space="preserve">    2.外观无毛刺、焊缝平整光滑，无漏水漏料缝隙。</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猪圈门</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▲1、尺寸：800mm*800mm，±10mm；</w:t>
                  </w:r>
                  <w:r>
                    <w:br/>
                  </w:r>
                  <w:r>
                    <w:rPr>
                      <w:rFonts w:ascii="仿宋_GB2312" w:hAnsi="仿宋_GB2312" w:cs="仿宋_GB2312" w:eastAsia="仿宋_GB2312"/>
                      <w:sz w:val="24"/>
                      <w:color w:val="000000"/>
                    </w:rPr>
                    <w:t xml:space="preserve"> ▲2、整体6分圆管焊接，厚度≥2.5mm，立柱之间间隙5公分，±3mm；</w:t>
                  </w:r>
                  <w:r>
                    <w:br/>
                  </w:r>
                  <w:r>
                    <w:rPr>
                      <w:rFonts w:ascii="仿宋_GB2312" w:hAnsi="仿宋_GB2312" w:cs="仿宋_GB2312" w:eastAsia="仿宋_GB2312"/>
                      <w:sz w:val="24"/>
                      <w:color w:val="000000"/>
                    </w:rPr>
                    <w:t xml:space="preserve"> 3、整体热侵锌处理；</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r>
            <w:tr>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自动刮粪系统(核心产品)</w:t>
                  </w:r>
                </w:p>
              </w:tc>
              <w:tc>
                <w:tcPr>
                  <w:tcW w:type="dxa" w:w="16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自动刮粪系统技术参数</w:t>
                  </w:r>
                  <w:r>
                    <w:br/>
                  </w:r>
                  <w:r>
                    <w:rPr>
                      <w:rFonts w:ascii="仿宋_GB2312" w:hAnsi="仿宋_GB2312" w:cs="仿宋_GB2312" w:eastAsia="仿宋_GB2312"/>
                      <w:sz w:val="22"/>
                      <w:color w:val="000000"/>
                    </w:rPr>
                    <w:t xml:space="preserve"> 一、设备整体配置与功率</w:t>
                  </w:r>
                  <w:r>
                    <w:br/>
                  </w:r>
                  <w:r>
                    <w:rPr>
                      <w:rFonts w:ascii="仿宋_GB2312" w:hAnsi="仿宋_GB2312" w:cs="仿宋_GB2312" w:eastAsia="仿宋_GB2312"/>
                      <w:sz w:val="22"/>
                      <w:color w:val="000000"/>
                    </w:rPr>
                    <w:t xml:space="preserve">   ★1.成套设备包含自动刮粪机2台；</w:t>
                  </w:r>
                  <w:r>
                    <w:br/>
                  </w:r>
                  <w:r>
                    <w:rPr>
                      <w:rFonts w:ascii="仿宋_GB2312" w:hAnsi="仿宋_GB2312" w:cs="仿宋_GB2312" w:eastAsia="仿宋_GB2312"/>
                      <w:sz w:val="22"/>
                      <w:color w:val="000000"/>
                    </w:rPr>
                    <w:t xml:space="preserve">   ★2.整套系统总装机功率不小于3kW。</w:t>
                  </w:r>
                  <w:r>
                    <w:br/>
                  </w:r>
                  <w:r>
                    <w:rPr>
                      <w:rFonts w:ascii="仿宋_GB2312" w:hAnsi="仿宋_GB2312" w:cs="仿宋_GB2312" w:eastAsia="仿宋_GB2312"/>
                      <w:sz w:val="22"/>
                      <w:color w:val="000000"/>
                    </w:rPr>
                    <w:t xml:space="preserve"> 二、核心机械配件明细</w:t>
                  </w:r>
                  <w:r>
                    <w:br/>
                  </w:r>
                  <w:r>
                    <w:rPr>
                      <w:rFonts w:ascii="仿宋_GB2312" w:hAnsi="仿宋_GB2312" w:cs="仿宋_GB2312" w:eastAsia="仿宋_GB2312"/>
                      <w:sz w:val="22"/>
                      <w:color w:val="000000"/>
                    </w:rPr>
                    <w:t xml:space="preserve">   1.动力单元：配套电机2台、减速机2台；</w:t>
                  </w:r>
                  <w:r>
                    <w:br/>
                  </w:r>
                  <w:r>
                    <w:rPr>
                      <w:rFonts w:ascii="仿宋_GB2312" w:hAnsi="仿宋_GB2312" w:cs="仿宋_GB2312" w:eastAsia="仿宋_GB2312"/>
                      <w:sz w:val="22"/>
                      <w:color w:val="000000"/>
                    </w:rPr>
                    <w:t xml:space="preserve">   2.导向牵引部件：转角轮12个、牵引钢丝绳总长280米；</w:t>
                  </w:r>
                  <w:r>
                    <w:br/>
                  </w:r>
                  <w:r>
                    <w:rPr>
                      <w:rFonts w:ascii="仿宋_GB2312" w:hAnsi="仿宋_GB2312" w:cs="仿宋_GB2312" w:eastAsia="仿宋_GB2312"/>
                      <w:sz w:val="22"/>
                      <w:color w:val="000000"/>
                    </w:rPr>
                    <w:t xml:space="preserve">   3.清粪执行部件：3块同等或优于304不锈钢材质刮粪板，单块刮粪板长度2.76米；</w:t>
                  </w:r>
                  <w:r>
                    <w:br/>
                  </w:r>
                  <w:r>
                    <w:rPr>
                      <w:rFonts w:ascii="仿宋_GB2312" w:hAnsi="仿宋_GB2312" w:cs="仿宋_GB2312" w:eastAsia="仿宋_GB2312"/>
                      <w:sz w:val="22"/>
                      <w:color w:val="000000"/>
                    </w:rPr>
                    <w:t xml:space="preserve">   4.控制单元：同等或优于304不锈钢材质控制柜1台，配套控制探头2个；</w:t>
                  </w:r>
                  <w:r>
                    <w:br/>
                  </w:r>
                  <w:r>
                    <w:rPr>
                      <w:rFonts w:ascii="仿宋_GB2312" w:hAnsi="仿宋_GB2312" w:cs="仿宋_GB2312" w:eastAsia="仿宋_GB2312"/>
                      <w:sz w:val="22"/>
                      <w:color w:val="000000"/>
                    </w:rPr>
                    <w:t xml:space="preserve">   5.辅材全套配齐：转角轮、牵引钢丝绳及安装配套零配件。</w:t>
                  </w:r>
                  <w:r>
                    <w:br/>
                  </w:r>
                  <w:r>
                    <w:rPr>
                      <w:rFonts w:ascii="仿宋_GB2312" w:hAnsi="仿宋_GB2312" w:cs="仿宋_GB2312" w:eastAsia="仿宋_GB2312"/>
                      <w:sz w:val="22"/>
                      <w:color w:val="000000"/>
                    </w:rPr>
                    <w:t xml:space="preserve"> 三、材质与工况适配说明</w:t>
                  </w:r>
                  <w:r>
                    <w:br/>
                  </w:r>
                  <w:r>
                    <w:rPr>
                      <w:rFonts w:ascii="仿宋_GB2312" w:hAnsi="仿宋_GB2312" w:cs="仿宋_GB2312" w:eastAsia="仿宋_GB2312"/>
                      <w:sz w:val="22"/>
                      <w:color w:val="000000"/>
                    </w:rPr>
                    <w:t xml:space="preserve">   1.刮粪板、控制柜均采用304不锈钢，耐养殖粪污酸碱腐蚀，适配舍内高湿、高氨气环境；</w:t>
                  </w:r>
                  <w:r>
                    <w:br/>
                  </w:r>
                  <w:r>
                    <w:rPr>
                      <w:rFonts w:ascii="仿宋_GB2312" w:hAnsi="仿宋_GB2312" w:cs="仿宋_GB2312" w:eastAsia="仿宋_GB2312"/>
                      <w:sz w:val="22"/>
                      <w:color w:val="000000"/>
                    </w:rPr>
                    <w:t xml:space="preserve">   2.双机独立驱动，可分栏分段自动清粪，配合控制探头实现限位启停、自动往返刮粪；</w:t>
                  </w:r>
                  <w:r>
                    <w:br/>
                  </w:r>
                  <w:r>
                    <w:rPr>
                      <w:rFonts w:ascii="仿宋_GB2312" w:hAnsi="仿宋_GB2312" w:cs="仿宋_GB2312" w:eastAsia="仿宋_GB2312"/>
                      <w:sz w:val="22"/>
                      <w:color w:val="000000"/>
                    </w:rPr>
                    <w:t xml:space="preserve">   3.可与前述养殖温控箱联动，实现通风、降温、清粪全流程自动化管理。</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进度款，乙方供货安装完成，甲方验收合格后，达到付款条件起15个工作日内，支付合同总金额的40.0%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进度款，乙方调试完成，设备投入运行，经甲方验收确认后，达到付款条件起15个工作日内，支付合同总金额的20.0%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按国家/行业相关标准执行，质量符合法规及采购人提供参数要求；供应商完成设备安装调试至正常运行、提供操作培训，提交设备合格证等资料，经采购人现场查验合格后通过验收。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自动刮粪系统。2、缴纳磋商保证金时请备注项目名称，并将缴纳凭证附在投标文件中，未按时缴纳成功磋商保证金的，将视为无效响应。如提交保函，请在开标时间前将保函正本送至采购代理机构，如提供电子保函，请将电子保函发送至代理机构指定邮箱1129432496@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供应商应授权合法的人员参与磋商，法定代表人直接参加磋商的，须出具法定代表人身份证明，并与营业执照上信息一致。法定代表人授权代表参与磋商的，须出具法定代表人授权书和授权代表身份证；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响应文件签字、盖章及响应有效期符合采购文件要求。</w:t>
            </w:r>
          </w:p>
        </w:tc>
        <w:tc>
          <w:tcPr>
            <w:tcW w:type="dxa" w:w="1661"/>
          </w:tcPr>
          <w:p>
            <w:pPr>
              <w:pStyle w:val="null3"/>
            </w:pPr>
            <w:r>
              <w:rPr>
                <w:rFonts w:ascii="仿宋_GB2312" w:hAnsi="仿宋_GB2312" w:cs="仿宋_GB2312" w:eastAsia="仿宋_GB2312"/>
              </w:rPr>
              <w:t>响应文件封面 技术偏离表.docx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磋商报价未超出采购预算金额（采购文件有最高限价的，磋商报价未超过最高限价）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符合采购文件要求；响应产品的技术参数要求（标记“★”参数）为实质性参数，供应商必须响应并满足，还须提供相应佐证资料，佐证资料包括不限于技术白皮书、产品彩页、厂家产品说明、功能截图、检测报告等。</w:t>
            </w:r>
          </w:p>
        </w:tc>
        <w:tc>
          <w:tcPr>
            <w:tcW w:type="dxa" w:w="1661"/>
          </w:tcPr>
          <w:p>
            <w:pPr>
              <w:pStyle w:val="null3"/>
            </w:pPr>
            <w:r>
              <w:rPr>
                <w:rFonts w:ascii="仿宋_GB2312" w:hAnsi="仿宋_GB2312" w:cs="仿宋_GB2312" w:eastAsia="仿宋_GB2312"/>
              </w:rPr>
              <w:t>分项报价表.docx 技术偏离表.docx 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没有出现法律法规或采购文件明确规定的被视为“无效响应”的情形、未实质性响应或不满足采购文件要求的情况</w:t>
            </w:r>
          </w:p>
        </w:tc>
        <w:tc>
          <w:tcPr>
            <w:tcW w:type="dxa" w:w="1661"/>
          </w:tcPr>
          <w:p>
            <w:pPr>
              <w:pStyle w:val="null3"/>
            </w:pPr>
            <w:r>
              <w:rPr>
                <w:rFonts w:ascii="仿宋_GB2312" w:hAnsi="仿宋_GB2312" w:cs="仿宋_GB2312" w:eastAsia="仿宋_GB2312"/>
              </w:rPr>
              <w:t>磋商保证金.docx 技术偏离表.docx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产品技术指标评审内容</w:t>
            </w:r>
          </w:p>
        </w:tc>
        <w:tc>
          <w:tcPr>
            <w:tcW w:type="dxa" w:w="2492"/>
          </w:tcPr>
          <w:p>
            <w:pPr>
              <w:pStyle w:val="null3"/>
            </w:pPr>
            <w:r>
              <w:rPr>
                <w:rFonts w:ascii="仿宋_GB2312" w:hAnsi="仿宋_GB2312" w:cs="仿宋_GB2312" w:eastAsia="仿宋_GB2312"/>
              </w:rPr>
              <w:t>根据产品设备的技术和性能响应情况打分：1.完全响应磋商文件要求，满足采购需求、技术参数没有负偏离，计满分36.8分；2.标记“★”为实质性参数，供应商必须响应并满足。3.标记“▲”为重要参数，满分23，每负偏离一项扣1分。 4.无标识参数为一般参数，满分13.8，每负偏离一项扣0.2分。评审依据：实质性参数及重要参数除偏离表响应外还须提供相应的指标证明资料（包括不限于技术白皮书、产品彩页、厂家产品说明、功能截图、检测报告等），否则不计分。</w:t>
            </w:r>
          </w:p>
        </w:tc>
        <w:tc>
          <w:tcPr>
            <w:tcW w:type="dxa" w:w="831"/>
          </w:tcPr>
          <w:p>
            <w:pPr>
              <w:pStyle w:val="null3"/>
              <w:jc w:val="right"/>
            </w:pPr>
            <w:r>
              <w:rPr>
                <w:rFonts w:ascii="仿宋_GB2312" w:hAnsi="仿宋_GB2312" w:cs="仿宋_GB2312" w:eastAsia="仿宋_GB2312"/>
              </w:rPr>
              <w:t>36.8000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料塔、风机、除臭机、水帘、自动温控制箱、育肥围栏、防粪饮水盆、不锈钢双面料槽、猪圈门、自动刮粪系统）合法来源渠道证明文件，确保供应的产品有品质保证，无假货且无产权纠纷，每提供一个产品的证明文件得0.5分，满分5分，未提供不得分。 注：证明文件（佐证材料）包括但不限于：厂家授权、代理协议、销售协议、厂家说明、合格证等。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提供2023年1月1日至响应文件递交截止时间（以供货合同签订时间为准）同类产品业绩，每提供一个业绩得2分，满分6分。 评审依据 ：以加盖公章的供应商或制造商业绩（供货合同复印件）为准，合同至少需包含合同首页、产品页、签章页。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特点和需求等内容提供利于本项目开展的服务承诺（例如：增值服务、专项服务、延长质保期等承诺）。每提供一项承诺，得1.4分，满分4.2分。承诺格式自拟，无承诺不得分，响应在附件—其他资料里。</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一、评审内容：供应商针对本项目提供完整、合理、详细的实施方案，方案包含：①总体计划（含项目组织、人员安排、采购运输、供货、安装计划）；②质量保证措施；③验收及交接计划。 二、评审标准：1、完整性:方案内容全面，对评审内容中的各项内容有详细描述;2、针对性:方案能够完全切合本项目实际情况;3、可实施性:方案流程完善，实施步骤清晰、科学合理，具有可实施性。 三、赋分标准(满分9分)：共3项内容，每项内容满分3分，缺一项扣3分。按照“评审标准”，每项内容每完全满足一项评审标准得1分。每有一处内容存在缺陷的扣0.5分，扣完为止。 注:“缺陷”是指项目名称错误、内容与本项目需求无关、仅有框架或标题、内容过于简单、明显复制其他项目内容、内容不完整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针对本项目提供完整、合理、详细的售后服务方案，方案包含：①售后服务（含质保范围、时限、服务内容、响应方式及时效）；②培训方案（含培训方式、培训时间）；③维保及应急保障措施。 二、评审标准：1、完整性:方案内容全面，对评审内容中的各项内容有详细描述;2、针对性:方案能够完全切合本项目实际情况;3、可实施性:方案流程完善，实施步骤清晰、科学合理，具有可实施性。 三、赋分标准(满分9分)：共3项内容，每项内容满分3分，缺一项扣3分。按照“评审标准”，每项内容每完全满足一项评审标准得1分。每有一处内容存在缺陷的扣0.5分，扣完为止。 注:“缺陷”是指项目名称错误、内容与本项目需求无关、仅有框架或标题、内容过于简单、明显复制其他项目内容、内容不完整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