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CFD15">
      <w:pPr>
        <w:spacing w:line="500" w:lineRule="atLeast"/>
        <w:jc w:val="center"/>
        <w:outlineLvl w:val="0"/>
        <w:rPr>
          <w:rFonts w:ascii="宋体" w:hAnsi="宋体" w:cs="宋体"/>
          <w:b/>
          <w:bCs/>
          <w:kern w:val="0"/>
          <w:sz w:val="44"/>
          <w:szCs w:val="44"/>
        </w:rPr>
      </w:pPr>
      <w:r>
        <w:rPr>
          <w:rFonts w:hint="eastAsia" w:ascii="宋体" w:hAnsi="宋体" w:cs="宋体"/>
          <w:b/>
          <w:bCs/>
          <w:kern w:val="0"/>
          <w:sz w:val="44"/>
          <w:szCs w:val="44"/>
        </w:rPr>
        <w:t>合同范本</w:t>
      </w:r>
    </w:p>
    <w:p w14:paraId="6135DB61">
      <w:pPr>
        <w:jc w:val="center"/>
        <w:rPr>
          <w:rFonts w:ascii="宋体" w:hAnsi="宋体"/>
          <w:b/>
          <w:bCs/>
          <w:sz w:val="32"/>
          <w:szCs w:val="32"/>
        </w:rPr>
      </w:pPr>
      <w:bookmarkStart w:id="0" w:name="_Toc8896"/>
      <w:bookmarkStart w:id="1" w:name="_Toc12912"/>
      <w:bookmarkStart w:id="2" w:name="_Toc9069"/>
    </w:p>
    <w:p w14:paraId="0EED042E">
      <w:pPr>
        <w:jc w:val="center"/>
        <w:outlineLvl w:val="1"/>
        <w:rPr>
          <w:rFonts w:hint="eastAsia" w:ascii="宋体" w:hAnsi="宋体"/>
          <w:b/>
          <w:bCs/>
          <w:sz w:val="32"/>
          <w:szCs w:val="32"/>
        </w:rPr>
      </w:pPr>
      <w:bookmarkStart w:id="3" w:name="_Toc22529"/>
      <w:bookmarkStart w:id="4" w:name="_Toc9119"/>
      <w:r>
        <w:rPr>
          <w:rFonts w:hint="eastAsia" w:ascii="宋体" w:hAnsi="宋体"/>
          <w:b/>
          <w:bCs/>
          <w:sz w:val="32"/>
          <w:szCs w:val="32"/>
        </w:rPr>
        <w:t>（仅供参考）</w:t>
      </w:r>
      <w:bookmarkEnd w:id="0"/>
      <w:bookmarkEnd w:id="1"/>
      <w:bookmarkEnd w:id="2"/>
      <w:bookmarkEnd w:id="3"/>
      <w:bookmarkEnd w:id="4"/>
    </w:p>
    <w:p w14:paraId="36250F11">
      <w:pPr>
        <w:spacing w:line="552" w:lineRule="auto"/>
        <w:ind w:left="3076" w:leftChars="174" w:right="-31" w:rightChars="-15" w:hanging="2711" w:hangingChars="750"/>
        <w:rPr>
          <w:rFonts w:hint="eastAsia"/>
          <w:b/>
          <w:bCs/>
          <w:sz w:val="36"/>
        </w:rPr>
      </w:pPr>
    </w:p>
    <w:p w14:paraId="32D21947">
      <w:pPr>
        <w:pStyle w:val="2"/>
        <w:rPr>
          <w:rFonts w:hint="eastAsia"/>
          <w:b/>
          <w:bCs/>
          <w:sz w:val="36"/>
        </w:rPr>
      </w:pPr>
    </w:p>
    <w:p w14:paraId="53B11FB9">
      <w:pPr>
        <w:rPr>
          <w:rFonts w:hint="eastAsia"/>
          <w:b/>
          <w:bCs/>
          <w:sz w:val="36"/>
        </w:rPr>
      </w:pPr>
    </w:p>
    <w:p w14:paraId="25B87A36">
      <w:pPr>
        <w:pStyle w:val="2"/>
        <w:rPr>
          <w:rFonts w:hint="eastAsia"/>
        </w:rPr>
      </w:pPr>
    </w:p>
    <w:p w14:paraId="350806FC">
      <w:pPr>
        <w:spacing w:line="552" w:lineRule="auto"/>
        <w:ind w:left="3076" w:leftChars="174" w:right="-31" w:rightChars="-15" w:hanging="2711" w:hangingChars="750"/>
        <w:rPr>
          <w:rFonts w:hint="eastAsia"/>
          <w:b/>
          <w:bCs/>
          <w:sz w:val="36"/>
        </w:rPr>
      </w:pPr>
    </w:p>
    <w:p w14:paraId="63BC1CAF">
      <w:pPr>
        <w:spacing w:line="552" w:lineRule="auto"/>
        <w:ind w:left="3076" w:leftChars="174" w:right="-31" w:rightChars="-15" w:hanging="2711" w:hangingChars="750"/>
        <w:rPr>
          <w:rFonts w:hint="eastAsia"/>
          <w:b/>
          <w:bCs/>
          <w:sz w:val="36"/>
        </w:rPr>
      </w:pPr>
    </w:p>
    <w:p w14:paraId="69899E48">
      <w:pPr>
        <w:rPr>
          <w:rFonts w:hint="eastAsia"/>
          <w:b/>
          <w:bCs/>
          <w:sz w:val="36"/>
        </w:rPr>
      </w:pPr>
    </w:p>
    <w:p w14:paraId="03C98FFD">
      <w:pPr>
        <w:pStyle w:val="2"/>
        <w:rPr>
          <w:rFonts w:hint="eastAsia"/>
          <w:b/>
          <w:bCs/>
          <w:sz w:val="36"/>
        </w:rPr>
      </w:pPr>
    </w:p>
    <w:p w14:paraId="7FAEF3D9">
      <w:pPr>
        <w:rPr>
          <w:rFonts w:hint="eastAsia"/>
          <w:b/>
          <w:bCs/>
          <w:sz w:val="36"/>
        </w:rPr>
      </w:pPr>
    </w:p>
    <w:p w14:paraId="07BDAF63">
      <w:pPr>
        <w:pStyle w:val="2"/>
        <w:rPr>
          <w:rFonts w:hint="eastAsia"/>
        </w:rPr>
      </w:pPr>
    </w:p>
    <w:p w14:paraId="47873327">
      <w:pPr>
        <w:rPr>
          <w:rFonts w:hint="eastAsia"/>
        </w:rPr>
      </w:pPr>
    </w:p>
    <w:p w14:paraId="078D411F">
      <w:pPr>
        <w:spacing w:line="552" w:lineRule="auto"/>
        <w:ind w:right="-31" w:rightChars="-15" w:firstLine="964" w:firstLineChars="300"/>
        <w:rPr>
          <w:rFonts w:eastAsia="楷体_GB2312"/>
          <w:sz w:val="32"/>
          <w:szCs w:val="32"/>
          <w:u w:val="single"/>
        </w:rPr>
      </w:pPr>
      <w:r>
        <w:rPr>
          <w:rFonts w:hint="eastAsia"/>
          <w:b/>
          <w:bCs/>
          <w:sz w:val="32"/>
          <w:szCs w:val="32"/>
        </w:rPr>
        <w:t>委托方（甲方）</w:t>
      </w:r>
      <w:r>
        <w:rPr>
          <w:rFonts w:hint="eastAsia" w:eastAsia="楷体_GB2312"/>
          <w:b/>
          <w:bCs/>
          <w:sz w:val="32"/>
          <w:szCs w:val="32"/>
        </w:rPr>
        <w:t>：</w:t>
      </w:r>
      <w:r>
        <w:rPr>
          <w:rFonts w:hint="eastAsia" w:eastAsia="楷体_GB2312"/>
          <w:sz w:val="32"/>
          <w:szCs w:val="32"/>
          <w:u w:val="single"/>
        </w:rPr>
        <w:t xml:space="preserve"> </w:t>
      </w:r>
      <w:r>
        <w:rPr>
          <w:rFonts w:eastAsia="楷体_GB2312"/>
          <w:sz w:val="32"/>
          <w:szCs w:val="32"/>
          <w:u w:val="single"/>
        </w:rPr>
        <w:t xml:space="preserve">                     </w:t>
      </w:r>
      <w:r>
        <w:rPr>
          <w:rFonts w:hint="eastAsia" w:eastAsia="楷体_GB2312"/>
          <w:sz w:val="32"/>
          <w:szCs w:val="32"/>
          <w:u w:val="single"/>
        </w:rPr>
        <w:t xml:space="preserve">  </w:t>
      </w:r>
      <w:r>
        <w:rPr>
          <w:rFonts w:eastAsia="楷体_GB2312"/>
          <w:sz w:val="32"/>
          <w:szCs w:val="32"/>
          <w:u w:val="single"/>
        </w:rPr>
        <w:t xml:space="preserve"> </w:t>
      </w:r>
    </w:p>
    <w:p w14:paraId="4B2E152E">
      <w:pPr>
        <w:spacing w:line="552" w:lineRule="auto"/>
        <w:ind w:right="-15" w:firstLine="964" w:firstLineChars="300"/>
        <w:rPr>
          <w:rFonts w:eastAsia="楷体_GB2312"/>
          <w:sz w:val="32"/>
          <w:szCs w:val="32"/>
          <w:u w:val="single"/>
        </w:rPr>
      </w:pPr>
      <w:r>
        <w:rPr>
          <w:rFonts w:hint="eastAsia"/>
          <w:b/>
          <w:bCs/>
          <w:sz w:val="32"/>
          <w:szCs w:val="32"/>
        </w:rPr>
        <w:t>受托方（乙方）</w:t>
      </w:r>
      <w:r>
        <w:rPr>
          <w:rFonts w:hint="eastAsia" w:eastAsia="楷体_GB2312"/>
          <w:b/>
          <w:bCs/>
          <w:sz w:val="32"/>
          <w:szCs w:val="32"/>
        </w:rPr>
        <w:t>：</w:t>
      </w:r>
      <w:r>
        <w:rPr>
          <w:rFonts w:hint="eastAsia" w:eastAsia="楷体_GB2312"/>
          <w:sz w:val="32"/>
          <w:szCs w:val="32"/>
          <w:u w:val="single"/>
        </w:rPr>
        <w:t xml:space="preserve"> </w:t>
      </w:r>
      <w:r>
        <w:rPr>
          <w:rFonts w:eastAsia="楷体_GB2312"/>
          <w:sz w:val="32"/>
          <w:szCs w:val="32"/>
          <w:u w:val="single"/>
        </w:rPr>
        <w:t xml:space="preserve">                      </w:t>
      </w:r>
      <w:r>
        <w:rPr>
          <w:rFonts w:hint="eastAsia" w:eastAsia="楷体_GB2312"/>
          <w:sz w:val="32"/>
          <w:szCs w:val="32"/>
          <w:u w:val="single"/>
        </w:rPr>
        <w:t xml:space="preserve">  </w:t>
      </w:r>
    </w:p>
    <w:p w14:paraId="290E8F63">
      <w:pPr>
        <w:spacing w:line="552" w:lineRule="auto"/>
        <w:ind w:left="-181" w:leftChars="-86" w:right="-15" w:firstLine="1121" w:firstLineChars="349"/>
        <w:rPr>
          <w:sz w:val="32"/>
          <w:szCs w:val="32"/>
          <w:u w:val="single"/>
        </w:rPr>
      </w:pPr>
      <w:r>
        <w:rPr>
          <w:rFonts w:hint="eastAsia"/>
          <w:b/>
          <w:bCs/>
          <w:sz w:val="32"/>
          <w:szCs w:val="32"/>
        </w:rPr>
        <w:t>签订时间：</w:t>
      </w:r>
      <w:r>
        <w:rPr>
          <w:rFonts w:hint="eastAsia" w:eastAsia="楷体_GB2312"/>
          <w:sz w:val="32"/>
          <w:szCs w:val="32"/>
          <w:u w:val="single"/>
        </w:rPr>
        <w:t xml:space="preserve"> </w:t>
      </w:r>
      <w:r>
        <w:rPr>
          <w:rFonts w:eastAsia="楷体_GB2312"/>
          <w:sz w:val="32"/>
          <w:szCs w:val="32"/>
          <w:u w:val="single"/>
        </w:rPr>
        <w:t xml:space="preserve">                             </w:t>
      </w:r>
    </w:p>
    <w:p w14:paraId="6B55FC72">
      <w:pPr>
        <w:spacing w:line="552" w:lineRule="auto"/>
        <w:ind w:right="-15" w:firstLine="964" w:firstLineChars="300"/>
        <w:rPr>
          <w:rFonts w:eastAsia="楷体_GB2312"/>
          <w:sz w:val="32"/>
          <w:szCs w:val="32"/>
          <w:u w:val="single"/>
        </w:rPr>
      </w:pPr>
      <w:r>
        <w:rPr>
          <w:rFonts w:hint="eastAsia"/>
          <w:b/>
          <w:bCs/>
          <w:sz w:val="32"/>
          <w:szCs w:val="32"/>
        </w:rPr>
        <w:t>签订地点</w:t>
      </w:r>
      <w:r>
        <w:rPr>
          <w:rFonts w:hint="eastAsia" w:eastAsia="楷体_GB2312"/>
          <w:b/>
          <w:bCs/>
          <w:sz w:val="32"/>
          <w:szCs w:val="32"/>
        </w:rPr>
        <w:t>：</w:t>
      </w:r>
      <w:r>
        <w:rPr>
          <w:rFonts w:hint="eastAsia" w:eastAsia="楷体_GB2312"/>
          <w:sz w:val="32"/>
          <w:szCs w:val="32"/>
          <w:u w:val="single"/>
        </w:rPr>
        <w:t xml:space="preserve"> </w:t>
      </w:r>
      <w:r>
        <w:rPr>
          <w:rFonts w:eastAsia="楷体_GB2312"/>
          <w:sz w:val="32"/>
          <w:szCs w:val="32"/>
          <w:u w:val="single"/>
        </w:rPr>
        <w:t xml:space="preserve">                             </w:t>
      </w:r>
    </w:p>
    <w:p w14:paraId="76B98064">
      <w:pPr>
        <w:rPr>
          <w:rFonts w:eastAsia="黑体"/>
          <w:sz w:val="32"/>
          <w:szCs w:val="32"/>
        </w:rPr>
        <w:sectPr>
          <w:pgSz w:w="11906" w:h="16838"/>
          <w:pgMar w:top="1247" w:right="1197" w:bottom="1247" w:left="1469" w:header="851" w:footer="992" w:gutter="0"/>
          <w:pgNumType w:fmt="decimal" w:start="1"/>
          <w:cols w:space="720" w:num="1"/>
          <w:titlePg/>
          <w:docGrid w:type="lines" w:linePitch="312" w:charSpace="0"/>
        </w:sectPr>
      </w:pPr>
    </w:p>
    <w:p w14:paraId="1D59AF8D">
      <w:pPr>
        <w:pStyle w:val="5"/>
        <w:keepLines w:val="0"/>
        <w:numPr>
          <w:ilvl w:val="2"/>
          <w:numId w:val="0"/>
        </w:numPr>
        <w:spacing w:line="500" w:lineRule="exact"/>
        <w:jc w:val="center"/>
        <w:rPr>
          <w:rFonts w:hint="eastAsia" w:ascii="宋体" w:hAnsi="宋体" w:cs="宋体"/>
          <w:sz w:val="36"/>
          <w:szCs w:val="36"/>
        </w:rPr>
      </w:pPr>
      <w:r>
        <w:rPr>
          <w:rFonts w:hint="eastAsia" w:ascii="宋体" w:hAnsi="宋体" w:cs="宋体"/>
          <w:sz w:val="36"/>
          <w:szCs w:val="36"/>
        </w:rPr>
        <w:t>合同条件及格式（参考）</w:t>
      </w:r>
    </w:p>
    <w:p w14:paraId="622DBA91">
      <w:pPr>
        <w:kinsoku w:val="0"/>
        <w:spacing w:line="360" w:lineRule="auto"/>
        <w:jc w:val="center"/>
        <w:rPr>
          <w:rFonts w:ascii="宋体" w:hAnsi="宋体" w:cs="宋体"/>
          <w:b/>
          <w:sz w:val="24"/>
          <w:szCs w:val="24"/>
        </w:rPr>
      </w:pPr>
      <w:r>
        <w:rPr>
          <w:rFonts w:hint="eastAsia" w:ascii="宋体" w:hAnsi="宋体" w:cs="宋体"/>
          <w:b/>
          <w:sz w:val="24"/>
          <w:szCs w:val="24"/>
        </w:rPr>
        <w:t>（</w:t>
      </w:r>
      <w:r>
        <w:rPr>
          <w:rFonts w:hint="eastAsia" w:ascii="宋体" w:hAnsi="宋体" w:cs="宋体"/>
          <w:b/>
          <w:sz w:val="24"/>
          <w:szCs w:val="24"/>
          <w:lang w:val="en-US" w:eastAsia="zh-CN"/>
        </w:rPr>
        <w:t>成交</w:t>
      </w:r>
      <w:r>
        <w:rPr>
          <w:rFonts w:hint="eastAsia" w:ascii="宋体" w:hAnsi="宋体" w:cs="宋体"/>
          <w:b/>
          <w:sz w:val="24"/>
          <w:szCs w:val="24"/>
        </w:rPr>
        <w:t>后由采购人与</w:t>
      </w:r>
      <w:r>
        <w:rPr>
          <w:rFonts w:hint="eastAsia" w:ascii="宋体" w:hAnsi="宋体" w:cs="宋体"/>
          <w:b/>
          <w:sz w:val="24"/>
          <w:szCs w:val="24"/>
          <w:lang w:val="en-US" w:eastAsia="zh-CN"/>
        </w:rPr>
        <w:t>成交</w:t>
      </w:r>
      <w:r>
        <w:rPr>
          <w:rFonts w:hint="eastAsia" w:ascii="宋体" w:hAnsi="宋体" w:cs="宋体"/>
          <w:b/>
          <w:sz w:val="24"/>
          <w:szCs w:val="24"/>
        </w:rPr>
        <w:t>人具体商定）</w:t>
      </w:r>
    </w:p>
    <w:p w14:paraId="29937412">
      <w:pPr>
        <w:pStyle w:val="4"/>
        <w:snapToGrid/>
        <w:spacing w:before="0" w:beforeAutospacing="0" w:after="0" w:afterAutospacing="0" w:line="520" w:lineRule="exact"/>
        <w:ind w:firstLine="562" w:firstLineChars="200"/>
        <w:jc w:val="center"/>
        <w:textAlignment w:val="baseline"/>
        <w:outlineLvl w:val="9"/>
        <w:rPr>
          <w:rFonts w:ascii="宋体" w:hAnsi="宋体"/>
          <w:b/>
          <w:i w:val="0"/>
          <w:caps w:val="0"/>
          <w:color w:val="000000"/>
          <w:spacing w:val="0"/>
          <w:w w:val="100"/>
          <w:sz w:val="28"/>
          <w:szCs w:val="28"/>
        </w:rPr>
      </w:pPr>
    </w:p>
    <w:p w14:paraId="2A43A39D">
      <w:pPr>
        <w:keepLines w:val="0"/>
        <w:widowControl w:val="0"/>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1、合同内容及金额：即成交人的</w:t>
      </w:r>
      <w:r>
        <w:rPr>
          <w:rFonts w:hint="eastAsia" w:ascii="宋体" w:hAnsi="宋体" w:cs="宋体"/>
          <w:b w:val="0"/>
          <w:bCs/>
          <w:i w:val="0"/>
          <w:caps w:val="0"/>
          <w:spacing w:val="0"/>
          <w:w w:val="100"/>
          <w:sz w:val="24"/>
          <w:lang w:val="en-US" w:eastAsia="zh-CN"/>
        </w:rPr>
        <w:t>响应</w:t>
      </w:r>
      <w:r>
        <w:rPr>
          <w:rFonts w:hint="eastAsia" w:ascii="宋体" w:hAnsi="宋体" w:cs="宋体"/>
          <w:b w:val="0"/>
          <w:bCs/>
          <w:i w:val="0"/>
          <w:caps w:val="0"/>
          <w:spacing w:val="0"/>
          <w:w w:val="100"/>
          <w:sz w:val="24"/>
        </w:rPr>
        <w:t>具体内容及其</w:t>
      </w:r>
      <w:r>
        <w:rPr>
          <w:rFonts w:hint="eastAsia" w:ascii="宋体" w:hAnsi="宋体" w:cs="宋体"/>
          <w:b w:val="0"/>
          <w:bCs/>
          <w:i w:val="0"/>
          <w:caps w:val="0"/>
          <w:spacing w:val="0"/>
          <w:w w:val="100"/>
          <w:sz w:val="24"/>
          <w:lang w:val="en-US" w:eastAsia="zh-CN"/>
        </w:rPr>
        <w:t>成交</w:t>
      </w:r>
      <w:r>
        <w:rPr>
          <w:rFonts w:hint="eastAsia" w:ascii="宋体" w:hAnsi="宋体" w:cs="宋体"/>
          <w:b w:val="0"/>
          <w:bCs/>
          <w:i w:val="0"/>
          <w:caps w:val="0"/>
          <w:spacing w:val="0"/>
          <w:w w:val="100"/>
          <w:sz w:val="24"/>
        </w:rPr>
        <w:t>总金额。其金额不受市场和工作量变化的影响。</w:t>
      </w:r>
    </w:p>
    <w:p w14:paraId="2D3F89FD">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2、货物技术规格、数量：即交付的货物技术规格、型号、数量与</w:t>
      </w:r>
      <w:r>
        <w:rPr>
          <w:rFonts w:hint="eastAsia" w:ascii="宋体" w:hAnsi="宋体" w:cs="宋体"/>
          <w:b w:val="0"/>
          <w:bCs/>
          <w:i w:val="0"/>
          <w:caps w:val="0"/>
          <w:spacing w:val="0"/>
          <w:w w:val="100"/>
          <w:sz w:val="24"/>
          <w:lang w:val="en-US" w:eastAsia="zh-CN"/>
        </w:rPr>
        <w:t>响应</w:t>
      </w:r>
      <w:r>
        <w:rPr>
          <w:rFonts w:hint="eastAsia" w:ascii="宋体" w:hAnsi="宋体" w:cs="宋体"/>
          <w:b w:val="0"/>
          <w:bCs/>
          <w:i w:val="0"/>
          <w:caps w:val="0"/>
          <w:spacing w:val="0"/>
          <w:w w:val="100"/>
          <w:sz w:val="24"/>
        </w:rPr>
        <w:t>文件所指明的，或者与本合同所指明的货物技术规格及型号相一致。</w:t>
      </w:r>
    </w:p>
    <w:p w14:paraId="182883B5">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3、知识产权：即成交人应保证采购人在使用</w:t>
      </w:r>
      <w:r>
        <w:rPr>
          <w:rFonts w:hint="eastAsia" w:ascii="宋体" w:hAnsi="宋体" w:cs="宋体"/>
          <w:b w:val="0"/>
          <w:bCs/>
          <w:i w:val="0"/>
          <w:caps w:val="0"/>
          <w:spacing w:val="0"/>
          <w:w w:val="100"/>
          <w:sz w:val="24"/>
          <w:lang w:val="en-US" w:eastAsia="zh-CN"/>
        </w:rPr>
        <w:t>成交</w:t>
      </w:r>
      <w:bookmarkStart w:id="10" w:name="_GoBack"/>
      <w:bookmarkEnd w:id="10"/>
      <w:r>
        <w:rPr>
          <w:rFonts w:hint="eastAsia" w:ascii="宋体" w:hAnsi="宋体" w:cs="宋体"/>
          <w:b w:val="0"/>
          <w:bCs/>
          <w:i w:val="0"/>
          <w:caps w:val="0"/>
          <w:spacing w:val="0"/>
          <w:w w:val="100"/>
          <w:sz w:val="24"/>
        </w:rPr>
        <w:t>货物（服务）时，不承担任何涉及知识产权法律诉讼的责任。</w:t>
      </w:r>
    </w:p>
    <w:p w14:paraId="35B948BF">
      <w:pPr>
        <w:keepLines w:val="0"/>
        <w:widowControl w:val="0"/>
        <w:tabs>
          <w:tab w:val="left" w:pos="1155"/>
          <w:tab w:val="left" w:pos="7251"/>
        </w:tabs>
        <w:snapToGrid/>
        <w:spacing w:before="0" w:beforeAutospacing="0" w:after="0" w:afterAutospacing="0" w:line="440" w:lineRule="exact"/>
        <w:ind w:left="0" w:leftChars="0" w:right="-199" w:firstLine="0" w:firstLineChars="0"/>
        <w:jc w:val="both"/>
        <w:textAlignment w:val="baseline"/>
        <w:rPr>
          <w:rFonts w:hint="eastAsia" w:ascii="宋体" w:hAnsi="宋体" w:eastAsia="宋体" w:cs="宋体"/>
          <w:b w:val="0"/>
          <w:bCs/>
          <w:i w:val="0"/>
          <w:caps w:val="0"/>
          <w:spacing w:val="0"/>
          <w:w w:val="100"/>
          <w:sz w:val="24"/>
          <w:lang w:eastAsia="zh-CN"/>
        </w:rPr>
      </w:pPr>
      <w:r>
        <w:rPr>
          <w:rFonts w:hint="eastAsia" w:ascii="宋体" w:hAnsi="宋体" w:cs="宋体"/>
          <w:b w:val="0"/>
          <w:bCs/>
          <w:i w:val="0"/>
          <w:caps w:val="0"/>
          <w:spacing w:val="0"/>
          <w:w w:val="100"/>
          <w:sz w:val="24"/>
        </w:rPr>
        <w:t xml:space="preserve">    4、交货（完工）期：                      </w:t>
      </w:r>
      <w:r>
        <w:rPr>
          <w:rFonts w:hint="eastAsia" w:ascii="宋体" w:hAnsi="宋体" w:cs="宋体"/>
          <w:b w:val="0"/>
          <w:bCs/>
          <w:i w:val="0"/>
          <w:caps w:val="0"/>
          <w:spacing w:val="0"/>
          <w:w w:val="100"/>
          <w:sz w:val="24"/>
          <w:lang w:eastAsia="zh-CN"/>
        </w:rPr>
        <w:tab/>
      </w:r>
    </w:p>
    <w:p w14:paraId="21DC1CBD">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成交人未征得采购人同意和谅解而单方面延迟交货，将按违约终止合同。</w:t>
      </w:r>
    </w:p>
    <w:p w14:paraId="25DE28F2">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成交人遇到可能妨碍按时交货和提供服务的情况，应当及时以书面形式通知采购人，说明原由、拖延的期限等；采购人在收到通知后，尽快进行情况评估并确定是否通过修改合同，酌情延长交货时间或者通过协商加收误期赔偿金。</w:t>
      </w:r>
    </w:p>
    <w:p w14:paraId="55D4504D">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5、项目（交货）地点：                      </w:t>
      </w:r>
    </w:p>
    <w:p w14:paraId="23AC6DF4">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6、包装：包装必须适应货物特性和交通运输要求，以及国家有关标准或企业标准或合同要求。</w:t>
      </w:r>
      <w:r>
        <w:rPr>
          <w:rFonts w:hint="eastAsia" w:ascii="宋体" w:hAnsi="宋体" w:cs="宋体"/>
          <w:b w:val="0"/>
          <w:bCs/>
          <w:i w:val="0"/>
          <w:caps w:val="0"/>
          <w:spacing w:val="0"/>
          <w:w w:val="100"/>
          <w:sz w:val="24"/>
          <w:lang w:eastAsia="zh-CN"/>
        </w:rPr>
        <w:t>成交人</w:t>
      </w:r>
      <w:r>
        <w:rPr>
          <w:rFonts w:hint="eastAsia" w:ascii="宋体" w:hAnsi="宋体" w:cs="宋体"/>
          <w:b w:val="0"/>
          <w:bCs/>
          <w:i w:val="0"/>
          <w:caps w:val="0"/>
          <w:spacing w:val="0"/>
          <w:w w:val="100"/>
          <w:sz w:val="24"/>
        </w:rPr>
        <w:t>应承担由于包装、防护措施不妥引起的所有损失的责任和费用。</w:t>
      </w:r>
    </w:p>
    <w:p w14:paraId="2CA08F4F">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7、运输：成交人可根据交货期、运输条件自行选择运输方式（另有规定的除外），承担一切运输费用。</w:t>
      </w:r>
    </w:p>
    <w:p w14:paraId="63711BA0">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outlineLvl w:val="1"/>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w:t>
      </w:r>
      <w:bookmarkStart w:id="5" w:name="_Toc5032"/>
      <w:r>
        <w:rPr>
          <w:rFonts w:hint="eastAsia" w:ascii="宋体" w:hAnsi="宋体" w:cs="宋体"/>
          <w:b w:val="0"/>
          <w:bCs/>
          <w:i w:val="0"/>
          <w:caps w:val="0"/>
          <w:spacing w:val="0"/>
          <w:w w:val="100"/>
          <w:sz w:val="24"/>
        </w:rPr>
        <w:t>8、结算：成交人持相关手续向采购人申请付款。</w:t>
      </w:r>
      <w:bookmarkEnd w:id="5"/>
    </w:p>
    <w:p w14:paraId="5571B1B3">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color w:val="auto"/>
          <w:spacing w:val="0"/>
          <w:w w:val="100"/>
          <w:sz w:val="24"/>
        </w:rPr>
      </w:pPr>
      <w:r>
        <w:rPr>
          <w:rFonts w:hint="eastAsia" w:ascii="宋体" w:hAnsi="宋体" w:cs="宋体"/>
          <w:b w:val="0"/>
          <w:bCs/>
          <w:i w:val="0"/>
          <w:caps w:val="0"/>
          <w:color w:val="auto"/>
          <w:spacing w:val="0"/>
          <w:w w:val="100"/>
          <w:sz w:val="24"/>
        </w:rPr>
        <w:t xml:space="preserve">    付款方式： </w:t>
      </w:r>
    </w:p>
    <w:p w14:paraId="4CFDEDB9">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color w:val="auto"/>
          <w:spacing w:val="0"/>
          <w:w w:val="100"/>
          <w:sz w:val="24"/>
        </w:rPr>
      </w:pPr>
      <w:r>
        <w:rPr>
          <w:rFonts w:hint="eastAsia" w:ascii="宋体" w:hAnsi="宋体" w:cs="宋体"/>
          <w:b w:val="0"/>
          <w:bCs/>
          <w:i w:val="0"/>
          <w:caps w:val="0"/>
          <w:color w:val="auto"/>
          <w:spacing w:val="0"/>
          <w:w w:val="100"/>
          <w:sz w:val="24"/>
        </w:rPr>
        <w:t xml:space="preserve">    9、技术保障：成交人应随同货物单位提供相应的中文技术文件（包括产品合格证、装箱清单、操作手册、使用说明、检测报告、维护手册、服务指南等资料），现场安装、调试、试运行技术保障服务和环保检测责任。</w:t>
      </w:r>
    </w:p>
    <w:p w14:paraId="35236753">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color w:val="auto"/>
          <w:spacing w:val="0"/>
          <w:w w:val="100"/>
          <w:sz w:val="24"/>
        </w:rPr>
      </w:pPr>
      <w:r>
        <w:rPr>
          <w:rFonts w:hint="eastAsia" w:ascii="宋体" w:hAnsi="宋体" w:cs="宋体"/>
          <w:b w:val="0"/>
          <w:bCs/>
          <w:i w:val="0"/>
          <w:caps w:val="0"/>
          <w:color w:val="auto"/>
          <w:spacing w:val="0"/>
          <w:w w:val="100"/>
          <w:sz w:val="24"/>
        </w:rPr>
        <w:t xml:space="preserve">    10、考察与人员技术培训：培训方式/培训人数/培训地点/费用/等</w:t>
      </w:r>
    </w:p>
    <w:p w14:paraId="29816BCE">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outlineLvl w:val="1"/>
        <w:rPr>
          <w:rFonts w:hint="eastAsia" w:ascii="宋体" w:hAnsi="宋体" w:cs="宋体"/>
          <w:b w:val="0"/>
          <w:bCs/>
          <w:i w:val="0"/>
          <w:caps w:val="0"/>
          <w:color w:val="auto"/>
          <w:spacing w:val="0"/>
          <w:w w:val="100"/>
          <w:sz w:val="24"/>
        </w:rPr>
      </w:pPr>
      <w:r>
        <w:rPr>
          <w:rFonts w:hint="eastAsia" w:ascii="宋体" w:hAnsi="宋体" w:cs="宋体"/>
          <w:b w:val="0"/>
          <w:bCs/>
          <w:i w:val="0"/>
          <w:caps w:val="0"/>
          <w:color w:val="auto"/>
          <w:spacing w:val="0"/>
          <w:w w:val="100"/>
          <w:sz w:val="24"/>
        </w:rPr>
        <w:t xml:space="preserve">    </w:t>
      </w:r>
      <w:bookmarkStart w:id="6" w:name="_Toc19380"/>
      <w:r>
        <w:rPr>
          <w:rFonts w:hint="eastAsia" w:ascii="宋体" w:hAnsi="宋体" w:cs="宋体"/>
          <w:b w:val="0"/>
          <w:bCs/>
          <w:i w:val="0"/>
          <w:caps w:val="0"/>
          <w:color w:val="auto"/>
          <w:spacing w:val="0"/>
          <w:w w:val="100"/>
          <w:sz w:val="24"/>
        </w:rPr>
        <w:t>11、质量保证</w:t>
      </w:r>
      <w:bookmarkEnd w:id="6"/>
    </w:p>
    <w:p w14:paraId="0FAA608C">
      <w:pPr>
        <w:keepLines w:val="0"/>
        <w:widowControl w:val="0"/>
        <w:tabs>
          <w:tab w:val="left" w:pos="1155"/>
        </w:tabs>
        <w:snapToGrid/>
        <w:spacing w:before="0" w:beforeAutospacing="0" w:after="0" w:afterAutospacing="0" w:line="440" w:lineRule="exact"/>
        <w:ind w:left="0" w:leftChars="0" w:right="-199" w:firstLine="48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成交人使用的原材料应提供清单，并在到货24小时内通知采购人代表检验核实（具体方式在合同中明确）。</w:t>
      </w:r>
    </w:p>
    <w:p w14:paraId="012CC4FA">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成交人应当保证所供货物的来源渠道正常，产品是全新的、未使用过的，且完全符合合同规定的质量、规格、技术指标等要求，并在质保期内、外应对由于产品设计、工艺或材料的缺陷而产生的质量问题负责。</w:t>
      </w:r>
    </w:p>
    <w:p w14:paraId="250C905B">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在质保期内，如果发现货物的质量、规格、技术指标等存在与合同有任何一项不符，采购人应在最短时间内，以书面形式向成交人提出索赔。同时通告招标组织机构。</w:t>
      </w:r>
    </w:p>
    <w:p w14:paraId="34D62F54">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成交人应当明确售后服务公约，承诺免费维修服务条件。</w:t>
      </w:r>
    </w:p>
    <w:p w14:paraId="7D4893E3">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12、采购项目执行内容需要调整时，经采购人同意后，可以对相应的原材料进行调整，并协商确定价格差额计算方法和负担办法。</w:t>
      </w:r>
    </w:p>
    <w:p w14:paraId="56F7F9D8">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outlineLvl w:val="1"/>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w:t>
      </w:r>
      <w:bookmarkStart w:id="7" w:name="_Toc10373"/>
      <w:r>
        <w:rPr>
          <w:rFonts w:hint="eastAsia" w:ascii="宋体" w:hAnsi="宋体" w:cs="宋体"/>
          <w:b w:val="0"/>
          <w:bCs/>
          <w:i w:val="0"/>
          <w:caps w:val="0"/>
          <w:spacing w:val="0"/>
          <w:w w:val="100"/>
          <w:sz w:val="24"/>
        </w:rPr>
        <w:t>13、产品设计变更</w:t>
      </w:r>
      <w:bookmarkEnd w:id="7"/>
    </w:p>
    <w:p w14:paraId="66865F95">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成交后，生产加工产品的设计、数量需要变更、调整时，应办理相应的变更、调整审批手续，并协商确定设计变更、数量调整后的产品价款计算方法和工期顺延等事宜。</w:t>
      </w:r>
    </w:p>
    <w:p w14:paraId="541030F5">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14、检验：在交货前，制造商应当对货物的质量、规格、数量等进行准确而全面的检验，出具合格证并封装；货物送达指定地点后，成交人、采购人须在约定的时间和地点共同开箱检验。</w:t>
      </w:r>
    </w:p>
    <w:p w14:paraId="284009AD">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15、验收：通过检验的货物方可进行安装、调试，达到使用条件时由采购人负责组织验收，或者邀请有关专家、质检机构、招标组织机构共同进行验收；验收合格须交接项目实施的全部资料，并填写政府采购项目验收报告单。验收须以合同、国家相应的标准、规范等为依据。</w:t>
      </w:r>
    </w:p>
    <w:p w14:paraId="36AA51B8">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16、合同争议的解决：合同执行中发生争议的，当事人双方应协商解决，协商达不成一致时，可向当地行政仲裁机关申请仲裁或者向人民法院提请诉讼。</w:t>
      </w:r>
    </w:p>
    <w:p w14:paraId="21CCC438">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outlineLvl w:val="1"/>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w:t>
      </w:r>
      <w:bookmarkStart w:id="8" w:name="_Toc27361"/>
      <w:r>
        <w:rPr>
          <w:rFonts w:hint="eastAsia" w:ascii="宋体" w:hAnsi="宋体" w:cs="宋体"/>
          <w:b w:val="0"/>
          <w:bCs/>
          <w:i w:val="0"/>
          <w:caps w:val="0"/>
          <w:spacing w:val="0"/>
          <w:w w:val="100"/>
          <w:sz w:val="24"/>
        </w:rPr>
        <w:t>17、不可抗力。</w:t>
      </w:r>
      <w:bookmarkEnd w:id="8"/>
    </w:p>
    <w:p w14:paraId="45328DD4">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17.1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7D91594A">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17.2遭受不可抗力一方应在不可抗力事故发生后尽快以书面形式通知对方，并于事故发生后14天内将有关部门出具的证明文件、详细情况报告以及不可抗力对履行合同影响程度的说明通知对方。</w:t>
      </w:r>
    </w:p>
    <w:p w14:paraId="5376A087">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17.3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363E21D2">
      <w:pPr>
        <w:keepLines w:val="0"/>
        <w:widowControl w:val="0"/>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17.4一旦不可抗力事故的影响持续120天以上，甲乙双方通过友好协商，在合理的时间内达成进一步履行合同或终止合同的协议。</w:t>
      </w:r>
    </w:p>
    <w:p w14:paraId="5C9C6FD9">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18、合同一经签订，不得擅自变更、中止或者终止合同。对确需变更、调整或者中止、终止合同的，应按规定履行相应的手续。</w:t>
      </w:r>
    </w:p>
    <w:p w14:paraId="3C524295">
      <w:pPr>
        <w:keepLines w:val="0"/>
        <w:widowControl w:val="0"/>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    19、违约责任：依据《中华人民共和国合同法》、《中华人民共和国政府采购法》的相关条款规定和本合同约定，成交人未全面履行合同义务或者发生违约，采购人会同招标组织机构有权终止合同，依法向成交人进行经济索赔，并报请政府采购监督管理机关依法进行相应的行政处罚。采购人违约的，应当赔偿给成交人造成的经济损失。</w:t>
      </w:r>
    </w:p>
    <w:p w14:paraId="6AA9B725">
      <w:pPr>
        <w:keepLines w:val="0"/>
        <w:widowControl w:val="0"/>
        <w:tabs>
          <w:tab w:val="left" w:pos="1155"/>
        </w:tabs>
        <w:snapToGrid/>
        <w:spacing w:before="0" w:beforeAutospacing="0" w:after="0" w:afterAutospacing="0" w:line="440" w:lineRule="exact"/>
        <w:ind w:left="0" w:leftChars="0" w:right="-199" w:firstLine="480" w:firstLineChars="200"/>
        <w:jc w:val="both"/>
        <w:textAlignment w:val="baseline"/>
        <w:outlineLvl w:val="1"/>
        <w:rPr>
          <w:rFonts w:hint="eastAsia" w:ascii="宋体" w:hAnsi="宋体" w:cs="宋体"/>
          <w:b w:val="0"/>
          <w:bCs/>
          <w:i w:val="0"/>
          <w:caps w:val="0"/>
          <w:spacing w:val="0"/>
          <w:w w:val="100"/>
          <w:sz w:val="24"/>
        </w:rPr>
      </w:pPr>
      <w:bookmarkStart w:id="9" w:name="_Toc8788"/>
      <w:r>
        <w:rPr>
          <w:rFonts w:hint="eastAsia" w:ascii="宋体" w:hAnsi="宋体" w:cs="宋体"/>
          <w:b w:val="0"/>
          <w:bCs/>
          <w:i w:val="0"/>
          <w:caps w:val="0"/>
          <w:spacing w:val="0"/>
          <w:w w:val="100"/>
          <w:sz w:val="24"/>
        </w:rPr>
        <w:t>20、其他（在合同中具体明确）</w:t>
      </w:r>
      <w:bookmarkEnd w:id="9"/>
    </w:p>
    <w:p w14:paraId="2ECB314B">
      <w:pPr>
        <w:tabs>
          <w:tab w:val="left" w:pos="1155"/>
        </w:tabs>
        <w:snapToGrid/>
        <w:spacing w:before="0" w:beforeAutospacing="0" w:after="0" w:afterAutospacing="0" w:line="440" w:lineRule="exact"/>
        <w:ind w:left="0" w:leftChars="0" w:right="-199" w:firstLine="0" w:firstLineChars="0"/>
        <w:jc w:val="both"/>
        <w:textAlignment w:val="baseline"/>
        <w:rPr>
          <w:rFonts w:hint="eastAsia" w:ascii="宋体" w:hAnsi="宋体" w:cs="宋体"/>
          <w:b w:val="0"/>
          <w:bCs/>
          <w:i w:val="0"/>
          <w:caps w:val="0"/>
          <w:spacing w:val="0"/>
          <w:w w:val="100"/>
          <w:sz w:val="24"/>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4350"/>
      </w:tblGrid>
      <w:tr w14:paraId="31DF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50" w:type="dxa"/>
            <w:noWrap w:val="0"/>
            <w:vAlign w:val="top"/>
          </w:tcPr>
          <w:p w14:paraId="589A2FFC">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甲  方</w:t>
            </w:r>
          </w:p>
        </w:tc>
        <w:tc>
          <w:tcPr>
            <w:tcW w:w="4350" w:type="dxa"/>
            <w:noWrap w:val="0"/>
            <w:vAlign w:val="top"/>
          </w:tcPr>
          <w:p w14:paraId="34A9B0C9">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乙  方</w:t>
            </w:r>
          </w:p>
        </w:tc>
      </w:tr>
      <w:tr w14:paraId="0596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350" w:type="dxa"/>
            <w:noWrap w:val="0"/>
            <w:vAlign w:val="center"/>
          </w:tcPr>
          <w:p w14:paraId="6B63BD78">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（盖章）</w:t>
            </w:r>
          </w:p>
        </w:tc>
        <w:tc>
          <w:tcPr>
            <w:tcW w:w="4350" w:type="dxa"/>
            <w:noWrap w:val="0"/>
            <w:vAlign w:val="center"/>
          </w:tcPr>
          <w:p w14:paraId="2FD29484">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（盖章）</w:t>
            </w:r>
          </w:p>
        </w:tc>
      </w:tr>
      <w:tr w14:paraId="330B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50" w:type="dxa"/>
            <w:noWrap w:val="0"/>
            <w:vAlign w:val="top"/>
          </w:tcPr>
          <w:p w14:paraId="13805A19">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地址： </w:t>
            </w:r>
          </w:p>
        </w:tc>
        <w:tc>
          <w:tcPr>
            <w:tcW w:w="4350" w:type="dxa"/>
            <w:noWrap w:val="0"/>
            <w:vAlign w:val="top"/>
          </w:tcPr>
          <w:p w14:paraId="6ED368CB">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地址：</w:t>
            </w:r>
          </w:p>
        </w:tc>
      </w:tr>
      <w:tr w14:paraId="02CD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50" w:type="dxa"/>
            <w:noWrap w:val="0"/>
            <w:vAlign w:val="top"/>
          </w:tcPr>
          <w:p w14:paraId="616CC84A">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邮编：</w:t>
            </w:r>
          </w:p>
        </w:tc>
        <w:tc>
          <w:tcPr>
            <w:tcW w:w="4350" w:type="dxa"/>
            <w:noWrap w:val="0"/>
            <w:vAlign w:val="top"/>
          </w:tcPr>
          <w:p w14:paraId="3B7A4C09">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邮编：</w:t>
            </w:r>
          </w:p>
        </w:tc>
      </w:tr>
      <w:tr w14:paraId="1617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50" w:type="dxa"/>
            <w:noWrap w:val="0"/>
            <w:vAlign w:val="top"/>
          </w:tcPr>
          <w:p w14:paraId="07E24075">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 xml:space="preserve">法定代表人： </w:t>
            </w:r>
          </w:p>
        </w:tc>
        <w:tc>
          <w:tcPr>
            <w:tcW w:w="4350" w:type="dxa"/>
            <w:noWrap w:val="0"/>
            <w:vAlign w:val="top"/>
          </w:tcPr>
          <w:p w14:paraId="41BA9A32">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法定代表人：</w:t>
            </w:r>
          </w:p>
        </w:tc>
      </w:tr>
      <w:tr w14:paraId="2991A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50" w:type="dxa"/>
            <w:noWrap w:val="0"/>
            <w:vAlign w:val="top"/>
          </w:tcPr>
          <w:p w14:paraId="673C677C">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被授权代表：（签字）</w:t>
            </w:r>
          </w:p>
        </w:tc>
        <w:tc>
          <w:tcPr>
            <w:tcW w:w="4350" w:type="dxa"/>
            <w:noWrap w:val="0"/>
            <w:vAlign w:val="top"/>
          </w:tcPr>
          <w:p w14:paraId="02D74655">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被授权代表：（签字）</w:t>
            </w:r>
          </w:p>
        </w:tc>
      </w:tr>
      <w:tr w14:paraId="6931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50" w:type="dxa"/>
            <w:noWrap w:val="0"/>
            <w:vAlign w:val="top"/>
          </w:tcPr>
          <w:p w14:paraId="12DBC48F">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电话：</w:t>
            </w:r>
          </w:p>
        </w:tc>
        <w:tc>
          <w:tcPr>
            <w:tcW w:w="4350" w:type="dxa"/>
            <w:noWrap w:val="0"/>
            <w:vAlign w:val="top"/>
          </w:tcPr>
          <w:p w14:paraId="56CDE3B0">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电话：</w:t>
            </w:r>
          </w:p>
        </w:tc>
      </w:tr>
      <w:tr w14:paraId="3F5D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50" w:type="dxa"/>
            <w:noWrap w:val="0"/>
            <w:vAlign w:val="top"/>
          </w:tcPr>
          <w:p w14:paraId="1DD1550C">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传真：</w:t>
            </w:r>
          </w:p>
        </w:tc>
        <w:tc>
          <w:tcPr>
            <w:tcW w:w="4350" w:type="dxa"/>
            <w:noWrap w:val="0"/>
            <w:vAlign w:val="top"/>
          </w:tcPr>
          <w:p w14:paraId="652581C5">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传真：</w:t>
            </w:r>
          </w:p>
        </w:tc>
      </w:tr>
      <w:tr w14:paraId="14E5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50" w:type="dxa"/>
            <w:noWrap w:val="0"/>
            <w:vAlign w:val="top"/>
          </w:tcPr>
          <w:p w14:paraId="1BD43FE9">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p>
        </w:tc>
        <w:tc>
          <w:tcPr>
            <w:tcW w:w="4350" w:type="dxa"/>
            <w:noWrap w:val="0"/>
            <w:vAlign w:val="top"/>
          </w:tcPr>
          <w:p w14:paraId="4A16D79E">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开户银行：</w:t>
            </w:r>
          </w:p>
        </w:tc>
      </w:tr>
      <w:tr w14:paraId="7A1A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350" w:type="dxa"/>
            <w:noWrap w:val="0"/>
            <w:vAlign w:val="top"/>
          </w:tcPr>
          <w:p w14:paraId="6B224F13">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p>
        </w:tc>
        <w:tc>
          <w:tcPr>
            <w:tcW w:w="4350" w:type="dxa"/>
            <w:noWrap w:val="0"/>
            <w:vAlign w:val="top"/>
          </w:tcPr>
          <w:p w14:paraId="50063087">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帐号：</w:t>
            </w:r>
          </w:p>
        </w:tc>
      </w:tr>
      <w:tr w14:paraId="0A51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350" w:type="dxa"/>
            <w:noWrap w:val="0"/>
            <w:vAlign w:val="top"/>
          </w:tcPr>
          <w:p w14:paraId="21996342">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日期：    年   月   日</w:t>
            </w:r>
          </w:p>
        </w:tc>
        <w:tc>
          <w:tcPr>
            <w:tcW w:w="4350" w:type="dxa"/>
            <w:noWrap w:val="0"/>
            <w:vAlign w:val="top"/>
          </w:tcPr>
          <w:p w14:paraId="3F3248D3">
            <w:pPr>
              <w:tabs>
                <w:tab w:val="left" w:pos="1155"/>
              </w:tabs>
              <w:snapToGrid/>
              <w:spacing w:before="0" w:beforeAutospacing="0" w:after="0" w:afterAutospacing="0" w:line="440" w:lineRule="exact"/>
              <w:ind w:right="-199" w:firstLine="480" w:firstLineChars="200"/>
              <w:jc w:val="both"/>
              <w:textAlignment w:val="baseline"/>
              <w:rPr>
                <w:rFonts w:hint="eastAsia" w:ascii="宋体" w:hAnsi="宋体" w:cs="宋体"/>
                <w:b w:val="0"/>
                <w:bCs/>
                <w:i w:val="0"/>
                <w:caps w:val="0"/>
                <w:spacing w:val="0"/>
                <w:w w:val="100"/>
                <w:sz w:val="24"/>
              </w:rPr>
            </w:pPr>
            <w:r>
              <w:rPr>
                <w:rFonts w:hint="eastAsia" w:ascii="宋体" w:hAnsi="宋体" w:cs="宋体"/>
                <w:b w:val="0"/>
                <w:bCs/>
                <w:i w:val="0"/>
                <w:caps w:val="0"/>
                <w:spacing w:val="0"/>
                <w:w w:val="100"/>
                <w:sz w:val="24"/>
              </w:rPr>
              <w:t>日期：    年   月   日</w:t>
            </w:r>
          </w:p>
        </w:tc>
      </w:tr>
    </w:tbl>
    <w:p w14:paraId="1AB25F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5E1540"/>
    <w:rsid w:val="7D233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99"/>
    <w:pPr>
      <w:keepNext/>
      <w:jc w:val="center"/>
      <w:outlineLvl w:val="0"/>
    </w:pPr>
    <w:rPr>
      <w:rFonts w:ascii="黑体" w:eastAsia="黑体"/>
      <w:kern w:val="0"/>
      <w:sz w:val="20"/>
      <w:szCs w:val="20"/>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jc w:val="left"/>
    </w:pPr>
    <w:rPr>
      <w:rFonts w:ascii="Copperplate Gothic Bold" w:hAnsi="Copperplate Gothic Bold"/>
      <w:kern w:val="0"/>
      <w:sz w:val="20"/>
      <w:szCs w:val="20"/>
    </w:rPr>
  </w:style>
  <w:style w:type="paragraph" w:customStyle="1" w:styleId="3">
    <w:name w:val="A正文小四"/>
    <w:basedOn w:val="1"/>
    <w:qFormat/>
    <w:uiPriority w:val="0"/>
    <w:pPr>
      <w:spacing w:before="96" w:after="96"/>
      <w:ind w:firstLine="200" w:firstLineChars="200"/>
    </w:pPr>
    <w:rPr>
      <w:rFonts w:cs="黑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2060</Words>
  <Characters>2093</Characters>
  <Lines>0</Lines>
  <Paragraphs>0</Paragraphs>
  <TotalTime>5</TotalTime>
  <ScaleCrop>false</ScaleCrop>
  <LinksUpToDate>false</LinksUpToDate>
  <CharactersWithSpaces>2402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2025-06-27T11:55:00Z</dcterms:created>
  <dc:creator>Administrator</dc:creator>
  <cp:lastModifiedBy>范小沛</cp:lastModifiedBy>
  <dcterms:modified xsi:type="dcterms:W3CDTF">2026-08-06T09:30:02Z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eyJoZGlkIjoiNmQ5OGRlZmI5OTUzOTJmZGIyZTFhOTU1M2ZmMTc1ODQiLCJ1c2VySWQiOiI0ODQ2ODI1MjcifQ==</vt:lpwstr>
  </property>
  <property fmtid="{D5CDD505-2E9C-101B-9397-08002B2CF9AE}" pid="4" name="ICV">
    <vt:lpwstr>BC4E75BDE136431A993A622714EBFA33_12</vt:lpwstr>
  </property>
</Properties>
</file>