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9CCB0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7C6E28BE">
      <w:pPr>
        <w:pStyle w:val="4"/>
        <w:rPr>
          <w:rFonts w:hint="default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ascii="仿宋_GB2312" w:hAnsi="仿宋_GB2312" w:eastAsia="仿宋_GB2312" w:cs="仿宋_GB2312"/>
          <w:lang w:eastAsia="zh-CN"/>
        </w:rPr>
        <w:t>陕西省高速公路收费中心中心线路租用及数据端口服务项目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993"/>
        <w:gridCol w:w="6732"/>
      </w:tblGrid>
      <w:tr w14:paraId="3DF834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91DF2B1">
            <w:pPr>
              <w:pStyle w:val="4"/>
              <w:spacing w:line="460" w:lineRule="exact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 xml:space="preserve"> 序号</w:t>
            </w:r>
          </w:p>
        </w:tc>
        <w:tc>
          <w:tcPr>
            <w:tcW w:w="993" w:type="dxa"/>
          </w:tcPr>
          <w:p w14:paraId="7CF438E7">
            <w:pPr>
              <w:pStyle w:val="4"/>
              <w:spacing w:line="460" w:lineRule="exact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 xml:space="preserve"> 参数性质</w:t>
            </w:r>
          </w:p>
        </w:tc>
        <w:tc>
          <w:tcPr>
            <w:tcW w:w="6732" w:type="dxa"/>
          </w:tcPr>
          <w:p w14:paraId="4037F67F">
            <w:pPr>
              <w:pStyle w:val="4"/>
              <w:spacing w:line="460" w:lineRule="exact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 xml:space="preserve"> 技术参数与性能指标</w:t>
            </w:r>
          </w:p>
        </w:tc>
      </w:tr>
      <w:tr w14:paraId="476B22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5FABFAA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lang w:eastAsia="zh-CN"/>
              </w:rPr>
              <w:t>1</w:t>
            </w:r>
          </w:p>
        </w:tc>
        <w:tc>
          <w:tcPr>
            <w:tcW w:w="993" w:type="dxa"/>
          </w:tcPr>
          <w:p w14:paraId="2F97D339">
            <w:pPr>
              <w:pStyle w:val="4"/>
              <w:spacing w:line="460" w:lineRule="exact"/>
              <w:rPr>
                <w:rFonts w:ascii="宋体" w:hAnsi="宋体" w:eastAsia="宋体" w:cs="宋体"/>
              </w:rPr>
            </w:pPr>
          </w:p>
        </w:tc>
        <w:tc>
          <w:tcPr>
            <w:tcW w:w="6732" w:type="dxa"/>
          </w:tcPr>
          <w:p w14:paraId="0C5AC224">
            <w:pPr>
              <w:pStyle w:val="4"/>
              <w:spacing w:line="460" w:lineRule="exact"/>
              <w:jc w:val="both"/>
              <w:rPr>
                <w:rFonts w:ascii="宋体" w:hAnsi="宋体" w:eastAsia="宋体" w:cs="宋体"/>
                <w:b/>
                <w:bCs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lang w:eastAsia="zh-CN"/>
              </w:rPr>
              <w:t>一、项目概况</w:t>
            </w:r>
          </w:p>
          <w:p w14:paraId="4655A780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（一）基本情况</w:t>
            </w:r>
          </w:p>
          <w:p w14:paraId="47489AE5">
            <w:pPr>
              <w:pStyle w:val="4"/>
              <w:ind w:firstLine="480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为确保中心办公及业务工作的正常开展，按照部省有关规定，结合单位工作实际，通过租用线路及设备来保障中心办公及业务网络的正常运行。本项目由十一部分内容组成，分别为：中心办公1条：中心互联网宽带；数据传输类5条：高速公路部站专线链路、联网收费数据备用无线传输线路、收费公路收费数据传输线路、部级在线密钥平台通信网络传输链路服务；ETC发行业务线路2条：ETC发行系统互联网专线、ETC发行网点移动终端VPDN专线；12122业务专线&amp;12328呼叫线路2条：12122业务专线、12328呼叫线路；数据端口服务2项：票据传输线路及端口保障、数据保障。</w:t>
            </w:r>
          </w:p>
        </w:tc>
      </w:tr>
      <w:tr w14:paraId="5200F0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16C3389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lang w:eastAsia="zh-CN"/>
              </w:rPr>
              <w:t>2</w:t>
            </w:r>
          </w:p>
        </w:tc>
        <w:tc>
          <w:tcPr>
            <w:tcW w:w="993" w:type="dxa"/>
          </w:tcPr>
          <w:p w14:paraId="4F01DE58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67B726AB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二、服务内容</w:t>
            </w:r>
          </w:p>
          <w:p w14:paraId="155A9D87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（一）省收费中心至交通运输部路网监测与应急处置中心1Gbps专线通道</w:t>
            </w:r>
          </w:p>
          <w:p w14:paraId="5059FA5E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根据交通运输部路网监测与应急处置中心《关于加快推进取消高速公路省界收费站部站传输工作的函》（交路网函〔2019〕223号）、《陕西省关于加快取消省界收费站站部（省）传输线路建设的函》（陕高收函〔2019〕318号）等文件要求，收费数据传输至部路网中心应建立安全、稳定、可靠的部站直传通信链路，部站通信链路用于确保车道及门架数据实时上传。技术要求如下：</w:t>
            </w:r>
          </w:p>
          <w:p w14:paraId="26E6B613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1.一条带宽不小于1000M专线；</w:t>
            </w:r>
          </w:p>
          <w:p w14:paraId="7BE3CD24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2.省收费中心至部路网中心链路需有环网保护；</w:t>
            </w:r>
          </w:p>
          <w:p w14:paraId="6D41E0E7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3.省收费中心到部路网中心ping丢包率≤1%；</w:t>
            </w:r>
          </w:p>
          <w:p w14:paraId="23A026E5">
            <w:pPr>
              <w:pStyle w:val="4"/>
              <w:ind w:firstLine="400" w:firstLineChars="200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4.省收费中心到部路网中心ping时延≤30ms；</w:t>
            </w:r>
          </w:p>
        </w:tc>
      </w:tr>
      <w:tr w14:paraId="260259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EDC47DB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03BD5EF3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7FF3E553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（二）安全办公网络宽带</w:t>
            </w:r>
          </w:p>
          <w:p w14:paraId="4AB1967D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该线路为中心人员办公、稽查数据报送平台、中心网站等相关业务链接互联网专用线路。技术要求如下：</w:t>
            </w:r>
          </w:p>
          <w:p w14:paraId="19E724A3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1.一条带宽不小于100M互联网专线；</w:t>
            </w:r>
          </w:p>
          <w:p w14:paraId="537531EB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2.提供两组8个IP；</w:t>
            </w:r>
          </w:p>
          <w:p w14:paraId="5208E0C2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3.上行带宽不小于80Mbps，下行带宽不小于90Mbps；</w:t>
            </w:r>
          </w:p>
          <w:p w14:paraId="39A34AE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4.提供光网络单元及网关设备；</w:t>
            </w:r>
          </w:p>
          <w:p w14:paraId="12F04135">
            <w:pPr>
              <w:pStyle w:val="4"/>
              <w:ind w:firstLine="400" w:firstLineChars="200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5.确保现有IP继续保持，如需更换IP，需保证现有业务正常运行无缝衔接。</w:t>
            </w:r>
          </w:p>
        </w:tc>
      </w:tr>
      <w:tr w14:paraId="4112B3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82587DC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2D9F0D7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502C41C1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（三）收费公路收费数据传输线路</w:t>
            </w:r>
          </w:p>
          <w:p w14:paraId="4CE36281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为保障相关收费公路数据的正常传输，收费资金的日常结算，向运营商租用50M数据传输专线。技术要求如下：</w:t>
            </w:r>
          </w:p>
          <w:p w14:paraId="4A46BD17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1.一条带宽不小于50M互联网专线；</w:t>
            </w:r>
          </w:p>
          <w:p w14:paraId="16D0E71C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2.提供两组8个IP；</w:t>
            </w:r>
          </w:p>
          <w:p w14:paraId="673EE926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3.上行带宽不小于30Mbps，下行带宽不小于40Mbps；</w:t>
            </w:r>
          </w:p>
          <w:p w14:paraId="738337AF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4.提供光网络单元及网关设备，并能够实现VPDN服务；</w:t>
            </w:r>
          </w:p>
          <w:p w14:paraId="5DF953DA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5.确保现有IP继续保持，如需更换IP，需保证现有业务正常运行无缝衔接。</w:t>
            </w:r>
          </w:p>
        </w:tc>
      </w:tr>
      <w:tr w14:paraId="455792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D6273C5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14FFFD1F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1525AF41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（四）省收费中心联网收费数据备用无线传输线路</w:t>
            </w:r>
          </w:p>
          <w:p w14:paraId="61C10A8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为提高高速公路联网收费数据传输可靠性，保证用户状态名单和车道收费数据及时传输，该线路为无线传输链路，当高速公路通信系统中断后，无线路由器将自动切换到备用传输网络；当高速公路通信系统故障排除后，无线路由器自动切换回高速公路通信系统。技术要求如下：</w:t>
            </w:r>
          </w:p>
          <w:p w14:paraId="45BDECE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1.省收费中心至运营商一条带宽不小于50M专线；</w:t>
            </w:r>
          </w:p>
          <w:p w14:paraId="2236508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2.支持流量校准功能，可精确获取SIM卡在运营商处使用的真实流量；</w:t>
            </w:r>
          </w:p>
          <w:p w14:paraId="18BC397D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3.支持国密算法，支持后台主备线路自动切换；</w:t>
            </w:r>
          </w:p>
          <w:p w14:paraId="07F64036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4.站级通信设备到省收费中心上、下行TCP/IP报文时延≤100ms（无线方式≤200ms）；</w:t>
            </w:r>
          </w:p>
          <w:p w14:paraId="0D0A1C41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5.收费站到省收费中心机房ping丢包率≤1%；</w:t>
            </w:r>
          </w:p>
          <w:p w14:paraId="3B9E5CB6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6.收费站到省联网中心机房ping时延≤100ms（无线方式≤200ms）。</w:t>
            </w:r>
          </w:p>
        </w:tc>
      </w:tr>
      <w:tr w14:paraId="7461BB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269B34C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C103B4E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27974FF0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（五）12122业务专线</w:t>
            </w:r>
          </w:p>
          <w:p w14:paraId="72E27749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1.12122呼叫线路</w:t>
            </w:r>
          </w:p>
          <w:p w14:paraId="75072833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通过租用运营商电话线路，为12122全省交通服务热线能够正常接听社会来电提供基础支撑。保障12122全省交通服务热线能够正常接听社会来电，为社会提供政策咨询、路况信息、投诉转达、收费查询、救援信息、出行路线、非现金收费咨询等全面、及时、准确的高速公路信息，服务公众出行。技术要求如下：</w:t>
            </w:r>
          </w:p>
          <w:p w14:paraId="2E9E0FF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（1）租用6条2M数字语音专线中继电路，用于12122号码的接入，可实现多运营商统一接入；</w:t>
            </w:r>
          </w:p>
          <w:p w14:paraId="00D7055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（2）该线路需提供双向呼叫功能，需确保用户可正常呼入呼出；</w:t>
            </w:r>
          </w:p>
          <w:p w14:paraId="53F4C48E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（3）该线路应确保移动、联通、电信等运营商号码的呼入呼出；</w:t>
            </w:r>
          </w:p>
          <w:p w14:paraId="70254F4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（4）该线路应具备备用路由或备用措施，确保除不可抗力外无中断情况。</w:t>
            </w:r>
          </w:p>
          <w:p w14:paraId="625F5E56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2.12122互联网专线&amp;12122互联网备用专线</w:t>
            </w:r>
          </w:p>
          <w:p w14:paraId="7FB2F9B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由于12122话务系统的重要性与服务及时性，必须保证7*24小时话务通畅，因此对网络带宽质量及稳定性要求非常高，故需要单独布设互联网专线保证系统使用的网络带宽质量。同时，由于从运营商到收费中心机房中间长途链路环节多，链路故障不可避免，容易导致网络访问中断，因此需要布设两家不同运营商的互联网专线相互备用，保证12122系统网络稳定性。技术要求如下：</w:t>
            </w:r>
          </w:p>
          <w:p w14:paraId="1022873F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（1）两条带宽不小于50M专线；</w:t>
            </w:r>
          </w:p>
          <w:p w14:paraId="17AB445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（2）省收费中心到互联网IP地址ping丢包率≤1%；</w:t>
            </w:r>
          </w:p>
          <w:p w14:paraId="2069B03F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（3）省收费中心到互联网IP地址ping时延≤30ms；</w:t>
            </w:r>
          </w:p>
          <w:p w14:paraId="45C0113A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（4）运营商至少需要提供两个互联网固定 IP；</w:t>
            </w:r>
          </w:p>
        </w:tc>
      </w:tr>
      <w:tr w14:paraId="6C3A2B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76534F6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0ADA88B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28F76017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（六）12328呼叫线路</w:t>
            </w:r>
          </w:p>
          <w:p w14:paraId="352E0B60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2018年8月底按照《陕西省交通运输监测中心关于陕西省12328交通运输服务监督电话系统后期运行维护事项的说明》（陕交监测函〔2018〕20号）要求，系统后期运行管理工作移交省收费中心。根据实际使用需求，目前，陕西省12328交通运输服务监督电话系统需租用1条PRI电路作为呼叫线路，用于支撑全省12328热线的呼入和呼出业务。12328呼叫线路主要用于全省12328热线号码的呼入和呼出服务，通过运营商提供的呼叫线路，将各运营商的电话用户呼叫接入12328系统，同时也将12328系统呼出电话通过呼叫线路送出。技术要求如下：</w:t>
            </w:r>
          </w:p>
          <w:p w14:paraId="4277447B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1.租用一条PRI电路，用于12328号码的接入，同时支持30个座席同时呼入呼出业务；</w:t>
            </w:r>
          </w:p>
          <w:p w14:paraId="748AFE0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2.该线路需提供双向呼叫功能，需确保用户可正常呼入呼出；</w:t>
            </w:r>
          </w:p>
          <w:p w14:paraId="133FEFC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3.该线路应确保移动、联通、电信等运营商号码的呼入呼出；</w:t>
            </w:r>
          </w:p>
          <w:p w14:paraId="0127BAE9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4.该线路应具备备用路由或备用措施，确保除不可抗力外无中断情况。</w:t>
            </w:r>
          </w:p>
        </w:tc>
      </w:tr>
      <w:tr w14:paraId="74348F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E916FBB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7C78232F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5A075F92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（七）ETC发行有关业务专线</w:t>
            </w:r>
          </w:p>
          <w:p w14:paraId="67EA434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为保障陕西省高速公路ETC发行服务系统向我省ETC用户提供持续高效、优质稳定的服务，满足线上线下服务网点、移动发行终端、拓展应用场景、合作银行系统接入等多渠道服务方式与功能的需要，利用电信基础运营商提供的互联网或专线组网，实现我省ETC发行服务系统与合作银行、ETC网点、拓展应用场景、移动发行终端、用户访问互联，向外提供相关ETC服务。技术要求如下：</w:t>
            </w:r>
          </w:p>
          <w:p w14:paraId="2123A91A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1.租用三条各100M互联网专线；</w:t>
            </w:r>
          </w:p>
          <w:p w14:paraId="701B07A9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2.IP地址要求：每条线路带两组8个互联网IP地址；</w:t>
            </w:r>
          </w:p>
          <w:p w14:paraId="5801C79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3.每条专线上行带宽不小于80Mbps，下行带宽不小于90Mbps；</w:t>
            </w:r>
          </w:p>
          <w:p w14:paraId="5752ECF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4.省收费中心到互联网IP地址ping丢包率≤1%；</w:t>
            </w:r>
          </w:p>
          <w:p w14:paraId="27EAC281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5.省收费中心到互联网IP地址ping时延≤30ms；</w:t>
            </w:r>
          </w:p>
        </w:tc>
      </w:tr>
      <w:tr w14:paraId="596F68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463311B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4C5FD2B7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29CFFA8E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（八）ETC发行网点移动终端VPDN专线</w:t>
            </w:r>
          </w:p>
          <w:p w14:paraId="2ACBD5FB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为方便网点移动办理，为网点配置移动发行终端设备进行ETC业务服务，该线路用于移动发行终端设备接入ETC发行系统。</w:t>
            </w:r>
          </w:p>
          <w:p w14:paraId="68DCC11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技术要求如下：</w:t>
            </w:r>
          </w:p>
          <w:p w14:paraId="77E8976C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1.租用一条2M专线和一条4M专线；</w:t>
            </w:r>
          </w:p>
          <w:p w14:paraId="3106050B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2.2</w:t>
            </w:r>
            <w:r>
              <w:rPr>
                <w:rFonts w:hint="default" w:ascii="仿宋_GB2312" w:hAnsi="仿宋_GB2312" w:eastAsia="仿宋_GB2312" w:cs="仿宋_GB2312"/>
              </w:rPr>
              <w:t>M专线</w:t>
            </w:r>
            <w:r>
              <w:rPr>
                <w:rFonts w:ascii="仿宋_GB2312" w:hAnsi="仿宋_GB2312" w:eastAsia="仿宋_GB2312" w:cs="仿宋_GB2312"/>
              </w:rPr>
              <w:t>带宽不小于2M、4</w:t>
            </w:r>
            <w:r>
              <w:rPr>
                <w:rFonts w:hint="default" w:ascii="仿宋_GB2312" w:hAnsi="仿宋_GB2312" w:eastAsia="仿宋_GB2312" w:cs="仿宋_GB2312"/>
              </w:rPr>
              <w:t>M专线</w:t>
            </w:r>
            <w:r>
              <w:rPr>
                <w:rFonts w:ascii="仿宋_GB2312" w:hAnsi="仿宋_GB2312" w:eastAsia="仿宋_GB2312" w:cs="仿宋_GB2312"/>
              </w:rPr>
              <w:t>带宽不小于4M；</w:t>
            </w:r>
          </w:p>
          <w:p w14:paraId="4EFC45BF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3.省收费中心到互联网IP地址ping丢包率≤1%；</w:t>
            </w:r>
          </w:p>
          <w:p w14:paraId="1323A4A1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4.省收费中心到互联网IP地址ping时延≤30ms；</w:t>
            </w:r>
          </w:p>
        </w:tc>
      </w:tr>
      <w:tr w14:paraId="2A039E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8996EEC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1413DD5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71B64EBA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（九）部级在线密钥平台通信网络传输链路服务</w:t>
            </w:r>
          </w:p>
          <w:p w14:paraId="79F72B5B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 xml:space="preserve">我省接入部级在线密钥平台的通信网络传输链路按照两条主线路、一条备用线路配置。 技术指标如下：                                                                         </w:t>
            </w:r>
          </w:p>
          <w:p w14:paraId="1A47309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1.租用三条2M专线；</w:t>
            </w:r>
          </w:p>
          <w:p w14:paraId="381F749C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2.每条带宽不小于2M专线；</w:t>
            </w:r>
          </w:p>
          <w:p w14:paraId="29C94C28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3.省收费中心到部路网中心ping丢包率≤1%；</w:t>
            </w:r>
          </w:p>
          <w:p w14:paraId="2A7B58F3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4.省收费中心到部路网中心ping时延≤30ms；</w:t>
            </w:r>
          </w:p>
          <w:p w14:paraId="1EEDF603">
            <w:pPr>
              <w:pStyle w:val="4"/>
              <w:ind w:firstLine="400" w:firstLineChars="200"/>
              <w:rPr>
                <w:rFonts w:ascii="宋体" w:hAnsi="宋体" w:cs="宋体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5.利用不同的网络结构组合，使专线具有应对网络故障的能力，支持网络保护结构间的互通，网络切换时间小于50ms；</w:t>
            </w:r>
          </w:p>
        </w:tc>
      </w:tr>
      <w:tr w14:paraId="462DCD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7E6F378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221737C9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49F922C2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（十）票据传输线路及端口保障</w:t>
            </w:r>
          </w:p>
          <w:p w14:paraId="0D0F4B17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为保障收费公路通行费电子票据业务正常运行，一级公路收费站交易信息经串口传输至数据安全传输终端加密后，通过专用 4G 链路上传至电子票据服务平台，需租用专线1条。技术指标如下：</w:t>
            </w:r>
          </w:p>
          <w:p w14:paraId="1EC066B5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1.租用一条10M专线；</w:t>
            </w:r>
          </w:p>
          <w:p w14:paraId="5630EDD1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2.提供专线卡给一级公路收费站使用；</w:t>
            </w:r>
          </w:p>
          <w:p w14:paraId="2E205061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3.收费站到票据服务平台ping丢包率</w:t>
            </w:r>
            <w:r>
              <w:rPr>
                <w:rFonts w:hint="default" w:ascii="仿宋_GB2312" w:hAnsi="仿宋_GB2312" w:eastAsia="仿宋_GB2312" w:cs="仿宋_GB2312"/>
              </w:rPr>
              <w:t>≤1%</w:t>
            </w:r>
            <w:r>
              <w:rPr>
                <w:rFonts w:ascii="仿宋_GB2312" w:hAnsi="仿宋_GB2312" w:eastAsia="仿宋_GB2312" w:cs="仿宋_GB2312"/>
              </w:rPr>
              <w:t>；</w:t>
            </w:r>
          </w:p>
          <w:p w14:paraId="6FC3D0CA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>4.收费站到票据服务平台ping丢包率</w:t>
            </w:r>
            <w:r>
              <w:rPr>
                <w:rFonts w:hint="default" w:ascii="仿宋_GB2312" w:hAnsi="仿宋_GB2312" w:eastAsia="仿宋_GB2312" w:cs="仿宋_GB2312"/>
              </w:rPr>
              <w:t>≤</w:t>
            </w:r>
            <w:r>
              <w:rPr>
                <w:rFonts w:ascii="仿宋_GB2312" w:hAnsi="仿宋_GB2312" w:eastAsia="仿宋_GB2312" w:cs="仿宋_GB2312"/>
              </w:rPr>
              <w:t>200ms；</w:t>
            </w:r>
          </w:p>
        </w:tc>
      </w:tr>
      <w:tr w14:paraId="6EF7BB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38E86C7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2DD54813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4B0672F5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（十一）数据提供保障</w:t>
            </w:r>
          </w:p>
          <w:p w14:paraId="6A3ADB30">
            <w:pPr>
              <w:pStyle w:val="4"/>
              <w:ind w:firstLine="360" w:firstLineChars="200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18"/>
                <w:szCs w:val="18"/>
              </w:rPr>
              <w:t>根据工作需要，负责现有高速公路通行数据、视频数据对外数据端口开发，每次开发按5万元支付，最多不超过7次。</w:t>
            </w:r>
          </w:p>
        </w:tc>
      </w:tr>
      <w:tr w14:paraId="458030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3" w:hRule="atLeast"/>
        </w:trPr>
        <w:tc>
          <w:tcPr>
            <w:tcW w:w="675" w:type="dxa"/>
          </w:tcPr>
          <w:p w14:paraId="0583D9C1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2E4575CA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</w:tcPr>
          <w:p w14:paraId="0D8971A7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三、服务要求</w:t>
            </w:r>
          </w:p>
          <w:p w14:paraId="29325FB8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（一）服务基本要求</w:t>
            </w:r>
          </w:p>
          <w:p w14:paraId="50497DBD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1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.服务要求</w:t>
            </w:r>
          </w:p>
          <w:p w14:paraId="2E698910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（1）供应商在合同签订后5个工作日内，完成线路分配、配置以及网络专线的开通调试工作。</w:t>
            </w:r>
          </w:p>
          <w:p w14:paraId="21BBF6A4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（2）服务供应商在服务期内，提供7×24小时电话服务及免费上门服务。服务期内服务供应商承担服务、维护、维修所发生的一切费用。</w:t>
            </w:r>
          </w:p>
          <w:p w14:paraId="42F1C486">
            <w:pPr>
              <w:pStyle w:val="4"/>
              <w:ind w:firstLine="402" w:firstLineChars="200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（3）供应商提供的线路若租用第三方的，须提供相关服务商或运营商的项目授权书及售后服务承诺。</w:t>
            </w:r>
          </w:p>
          <w:p w14:paraId="500D2571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2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.服务依据</w:t>
            </w:r>
          </w:p>
          <w:p w14:paraId="236234F2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（1）GB/T51398-2019《光传送网（OTN）工程技术标准》；</w:t>
            </w:r>
          </w:p>
          <w:p w14:paraId="0995FA0A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（2）GB/T51398-2019光传送网（OTN）工程技术国家标准。</w:t>
            </w:r>
          </w:p>
          <w:p w14:paraId="59A6081B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3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.售后技术支持服务</w:t>
            </w:r>
          </w:p>
          <w:p w14:paraId="5191CFAC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（1）供应商应具备完善的技术支持和售后服务体系，并承诺提供7*24小时的电话支持服务、故障处理服务等。</w:t>
            </w:r>
          </w:p>
          <w:p w14:paraId="61D8C77C">
            <w:pPr>
              <w:pStyle w:val="4"/>
              <w:ind w:firstLine="400" w:firstLineChars="20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（2）网络故障承诺2小时到现场进行处理。</w:t>
            </w:r>
          </w:p>
          <w:p w14:paraId="39C49475">
            <w:pPr>
              <w:pStyle w:val="4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4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.</w:t>
            </w:r>
            <w:r>
              <w:rPr>
                <w:rFonts w:ascii="仿宋_GB2312" w:hAnsi="仿宋_GB2312" w:eastAsia="仿宋_GB2312" w:cs="仿宋_GB2312"/>
              </w:rPr>
              <w:t>供应商应配合采购方在法定时间内完成合同的签订工作，签订地点由采购方指定。</w:t>
            </w:r>
          </w:p>
        </w:tc>
      </w:tr>
      <w:tr w14:paraId="153742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4878E02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F5FB3CC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  <w:shd w:val="clear" w:color="auto" w:fill="auto"/>
            <w:vAlign w:val="top"/>
          </w:tcPr>
          <w:p w14:paraId="04C6F7D6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二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）网络安全要求</w:t>
            </w:r>
          </w:p>
          <w:p w14:paraId="60CB6FD3">
            <w:pPr>
              <w:pStyle w:val="4"/>
              <w:ind w:firstLine="480" w:firstLineChars="0"/>
              <w:rPr>
                <w:rFonts w:hint="eastAsia" w:ascii="仿宋_GB2312" w:hAnsi="仿宋_GB2312" w:eastAsia="仿宋_GB2312" w:cs="仿宋_GB2312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</w:rPr>
              <w:t>供应商具备健全的网络安全服务体系，具有网络安全隐患排查、完善加固、预警监测、应对攻击等服务能力，配备具有相关技术能力的网络安全专项人员，为本项目提供漏洞检测、策略配置、加固整改、安全监测、应急处置等保障措施，确保系统安全稳定运行，按照要求签署网络安全责任协议。</w:t>
            </w:r>
          </w:p>
        </w:tc>
      </w:tr>
      <w:tr w14:paraId="5EB707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AA9C79F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1E5BE5DF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  <w:shd w:val="clear" w:color="auto" w:fill="auto"/>
            <w:vAlign w:val="top"/>
          </w:tcPr>
          <w:p w14:paraId="0E15D61D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三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）保密要求</w:t>
            </w:r>
          </w:p>
          <w:p w14:paraId="54942302">
            <w:pPr>
              <w:pStyle w:val="4"/>
              <w:ind w:firstLine="480" w:firstLineChars="0"/>
              <w:rPr>
                <w:rFonts w:hint="eastAsia" w:ascii="仿宋_GB2312" w:hAnsi="仿宋_GB2312" w:eastAsia="仿宋_GB2312" w:cs="仿宋_GB2312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</w:rPr>
              <w:t>项目实施过程中所收集、产生的所有与本项目相关的文档、资料，包括文字、图片、表格、数字等各种形式的所属权均归属省收费中心，供应商必须对所涉及的内容保密，供应商及服务人员应按照要求签署保密协议。保密期限不受合同有效期的限制，在合同有效期结束后，供应商仍应承担保密义务。</w:t>
            </w:r>
          </w:p>
        </w:tc>
      </w:tr>
      <w:tr w14:paraId="041A79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A89C8AD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2E43943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  <w:shd w:val="clear" w:color="auto" w:fill="auto"/>
            <w:vAlign w:val="top"/>
          </w:tcPr>
          <w:p w14:paraId="65DE76C8">
            <w:pPr>
              <w:pStyle w:val="4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四</w:t>
            </w:r>
            <w:r>
              <w:rPr>
                <w:rFonts w:ascii="仿宋_GB2312" w:hAnsi="仿宋_GB2312" w:eastAsia="仿宋_GB2312" w:cs="仿宋_GB2312"/>
                <w:b/>
                <w:bCs/>
              </w:rPr>
              <w:t>）供应链管理</w:t>
            </w:r>
          </w:p>
          <w:p w14:paraId="517768CB">
            <w:pPr>
              <w:pStyle w:val="4"/>
              <w:ind w:firstLine="480" w:firstLineChars="0"/>
              <w:rPr>
                <w:rFonts w:hint="eastAsia" w:ascii="宋体" w:hAnsi="宋体" w:eastAsia="宋体" w:cs="宋体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</w:rPr>
              <w:t>供应商应严格落实网络安全和保密及人员管理要求，承担相应人员的网络安全和保密及人员管理责任，按要求签订协议和承诺书。供应商应强化配备人员管理，项目团队成员一经确认，原则上不得更换。如因特殊情况确需调整，须提前15个日历天向采购人提交书面申请，经采购人审核同意后方可更换，且替换人员的职称、专业背景、从业年限及项目经验不得低于原定人员标准，确保项目服务质量不受影响。</w:t>
            </w:r>
          </w:p>
        </w:tc>
      </w:tr>
      <w:tr w14:paraId="70EE5F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BA107D9">
            <w:pPr>
              <w:pStyle w:val="4"/>
              <w:spacing w:line="460" w:lineRule="exact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993" w:type="dxa"/>
          </w:tcPr>
          <w:p w14:paraId="66DEE2CC">
            <w:pPr>
              <w:spacing w:line="46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732" w:type="dxa"/>
            <w:shd w:val="clear" w:color="auto" w:fill="auto"/>
            <w:vAlign w:val="top"/>
          </w:tcPr>
          <w:p w14:paraId="1BAF5ED4">
            <w:pPr>
              <w:jc w:val="center"/>
              <w:rPr>
                <w:rFonts w:hint="eastAsia" w:ascii="仿宋" w:hAnsi="仿宋" w:eastAsia="仿宋" w:cs="仿宋_GB2312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_GB2312"/>
                <w:b/>
                <w:bCs/>
                <w:szCs w:val="21"/>
                <w:lang w:bidi="ar"/>
              </w:rPr>
              <w:t>线路及端口清单</w:t>
            </w:r>
          </w:p>
          <w:tbl>
            <w:tblPr>
              <w:tblStyle w:val="2"/>
              <w:tblpPr w:leftFromText="180" w:rightFromText="180" w:vertAnchor="text" w:horzAnchor="page" w:tblpXSpec="center" w:tblpY="492"/>
              <w:tblOverlap w:val="never"/>
              <w:tblW w:w="4997" w:type="pct"/>
              <w:jc w:val="center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8"/>
              <w:gridCol w:w="1734"/>
              <w:gridCol w:w="1337"/>
              <w:gridCol w:w="1008"/>
              <w:gridCol w:w="962"/>
              <w:gridCol w:w="713"/>
            </w:tblGrid>
            <w:tr w14:paraId="23F1FDC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9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18431D1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 w:cs="黑体"/>
                      <w:szCs w:val="21"/>
                    </w:rPr>
                  </w:pPr>
                  <w:r>
                    <w:rPr>
                      <w:rFonts w:hint="eastAsia" w:ascii="仿宋" w:hAnsi="仿宋" w:eastAsia="仿宋" w:cs="黑体"/>
                      <w:szCs w:val="21"/>
                      <w:lang w:bidi="ar"/>
                    </w:rPr>
                    <w:t>序号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E2D8CA5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 w:cs="黑体"/>
                      <w:szCs w:val="21"/>
                    </w:rPr>
                  </w:pPr>
                  <w:r>
                    <w:rPr>
                      <w:rFonts w:hint="eastAsia" w:ascii="仿宋" w:hAnsi="仿宋" w:eastAsia="仿宋" w:cs="黑体"/>
                      <w:szCs w:val="21"/>
                      <w:lang w:bidi="ar"/>
                    </w:rPr>
                    <w:t>线路名称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C7E7C15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 w:cs="黑体"/>
                      <w:szCs w:val="21"/>
                    </w:rPr>
                  </w:pPr>
                  <w:r>
                    <w:rPr>
                      <w:rFonts w:hint="eastAsia" w:ascii="仿宋" w:hAnsi="仿宋" w:eastAsia="仿宋" w:cs="黑体"/>
                      <w:szCs w:val="21"/>
                      <w:lang w:bidi="ar"/>
                    </w:rPr>
                    <w:t>线路指标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C21A3D5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 w:cs="黑体"/>
                      <w:szCs w:val="21"/>
                    </w:rPr>
                  </w:pPr>
                  <w:r>
                    <w:rPr>
                      <w:rFonts w:hint="eastAsia" w:ascii="仿宋" w:hAnsi="仿宋" w:eastAsia="仿宋" w:cs="黑体"/>
                      <w:szCs w:val="21"/>
                    </w:rPr>
                    <w:t>业务部门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D4745F3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 w:cs="黑体"/>
                      <w:szCs w:val="21"/>
                    </w:rPr>
                  </w:pPr>
                  <w:r>
                    <w:rPr>
                      <w:rFonts w:hint="eastAsia" w:ascii="仿宋" w:hAnsi="仿宋" w:eastAsia="仿宋" w:cs="黑体"/>
                      <w:szCs w:val="21"/>
                      <w:lang w:bidi="ar"/>
                    </w:rPr>
                    <w:t>备注</w:t>
                  </w:r>
                </w:p>
              </w:tc>
            </w:tr>
            <w:tr w14:paraId="5C3BF57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0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54769D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427BD3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val="zh-Hans" w:eastAsia="zh-Hans"/>
                    </w:rPr>
                    <w:t>省</w:t>
                  </w:r>
                  <w:r>
                    <w:rPr>
                      <w:rFonts w:hint="eastAsia" w:ascii="仿宋" w:hAnsi="仿宋" w:eastAsia="仿宋"/>
                      <w:szCs w:val="21"/>
                    </w:rPr>
                    <w:t>收费</w:t>
                  </w:r>
                  <w:r>
                    <w:rPr>
                      <w:rFonts w:hint="eastAsia" w:ascii="仿宋" w:hAnsi="仿宋" w:eastAsia="仿宋"/>
                      <w:szCs w:val="21"/>
                      <w:lang w:val="zh-Hans" w:eastAsia="zh-Hans"/>
                    </w:rPr>
                    <w:t>中心至交通运输部路网监测与应急处置中心1Gbps专线通道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2AA6A93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1条1000M专线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84B18EB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技术科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E5E3A72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</w:p>
              </w:tc>
            </w:tr>
            <w:tr w14:paraId="49BDF46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6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B9F8C9B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2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B4A3751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安全办公网络宽带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E2765B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1条100M专线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B63A6F0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技术科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13CCCB8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</w:p>
              </w:tc>
            </w:tr>
            <w:tr w14:paraId="5E83F1D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5D342E8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3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E901D63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收费公路收费数据传输线路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9C85EC8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1条50M专线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77BC1ED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技术科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BF578A7">
                  <w:pPr>
                    <w:jc w:val="center"/>
                    <w:rPr>
                      <w:rFonts w:hint="eastAsia" w:ascii="仿宋" w:hAnsi="仿宋" w:eastAsia="仿宋"/>
                      <w:szCs w:val="21"/>
                    </w:rPr>
                  </w:pPr>
                </w:p>
              </w:tc>
            </w:tr>
            <w:tr w14:paraId="430C986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65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E40FB3F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4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43B3C48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省收费中心联网收费数据备用无线传输线路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9BD8B34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1条50M专线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4358E02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技术科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4BB6C99">
                  <w:pPr>
                    <w:jc w:val="center"/>
                    <w:rPr>
                      <w:rFonts w:hint="eastAsia" w:ascii="仿宋" w:hAnsi="仿宋" w:eastAsia="仿宋"/>
                      <w:color w:val="FF0000"/>
                      <w:szCs w:val="21"/>
                    </w:rPr>
                  </w:pPr>
                </w:p>
              </w:tc>
            </w:tr>
            <w:tr w14:paraId="3E25BDD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29" w:hRule="atLeast"/>
                <w:jc w:val="center"/>
              </w:trPr>
              <w:tc>
                <w:tcPr>
                  <w:tcW w:w="582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4EEBA2FA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5</w:t>
                  </w:r>
                </w:p>
              </w:tc>
              <w:tc>
                <w:tcPr>
                  <w:tcW w:w="133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546E4A51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12122业务专线</w:t>
                  </w:r>
                </w:p>
              </w:tc>
              <w:tc>
                <w:tcPr>
                  <w:tcW w:w="102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A41170C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12122呼叫线路</w:t>
                  </w:r>
                </w:p>
              </w:tc>
              <w:tc>
                <w:tcPr>
                  <w:tcW w:w="77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A26D2A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6条PRI电路，带宽为2M。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C3446C2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bookmarkStart w:id="0" w:name="_GoBack"/>
                  <w:r>
                    <w:rPr>
                      <w:rFonts w:hint="eastAsia" w:ascii="仿宋" w:hAnsi="仿宋" w:eastAsia="仿宋"/>
                      <w:szCs w:val="21"/>
                    </w:rPr>
                    <w:t>监控</w:t>
                  </w:r>
                  <w:bookmarkEnd w:id="0"/>
                  <w:r>
                    <w:rPr>
                      <w:rFonts w:hint="eastAsia" w:ascii="仿宋" w:hAnsi="仿宋" w:eastAsia="仿宋"/>
                      <w:szCs w:val="21"/>
                    </w:rPr>
                    <w:t>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BCF5F6F">
                  <w:pPr>
                    <w:jc w:val="center"/>
                    <w:rPr>
                      <w:rFonts w:hint="eastAsia" w:ascii="仿宋" w:hAnsi="仿宋" w:eastAsia="仿宋"/>
                      <w:szCs w:val="21"/>
                    </w:rPr>
                  </w:pPr>
                </w:p>
              </w:tc>
            </w:tr>
            <w:tr w14:paraId="74A50A5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29" w:hRule="atLeast"/>
                <w:jc w:val="center"/>
              </w:trPr>
              <w:tc>
                <w:tcPr>
                  <w:tcW w:w="582" w:type="pct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F50355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  <w:tc>
                <w:tcPr>
                  <w:tcW w:w="1330" w:type="pct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4A9BE14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  <w:tc>
                <w:tcPr>
                  <w:tcW w:w="102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39D3128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val="zh-Hans" w:eastAsia="zh-Hans"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val="zh-Hans" w:eastAsia="zh-Hans" w:bidi="ar"/>
                    </w:rPr>
                    <w:t>12122互联网专线</w:t>
                  </w: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&amp;12122互联网备用专线</w:t>
                  </w:r>
                </w:p>
              </w:tc>
              <w:tc>
                <w:tcPr>
                  <w:tcW w:w="77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E2BEE93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2条</w:t>
                  </w:r>
                  <w:r>
                    <w:rPr>
                      <w:rFonts w:hint="eastAsia" w:ascii="仿宋" w:hAnsi="仿宋" w:eastAsia="仿宋"/>
                      <w:szCs w:val="21"/>
                      <w:lang w:val="zh-Hans" w:eastAsia="zh-Hans" w:bidi="ar"/>
                    </w:rPr>
                    <w:t>5</w:t>
                  </w:r>
                  <w:r>
                    <w:rPr>
                      <w:rFonts w:hint="eastAsia" w:ascii="仿宋" w:hAnsi="仿宋" w:eastAsia="仿宋"/>
                      <w:szCs w:val="21"/>
                      <w:lang w:val="zh-Hans" w:eastAsia="zh-TW" w:bidi="ar"/>
                    </w:rPr>
                    <w:t>0</w:t>
                  </w:r>
                  <w:r>
                    <w:rPr>
                      <w:rFonts w:hint="eastAsia" w:ascii="仿宋" w:hAnsi="仿宋" w:eastAsia="仿宋"/>
                      <w:szCs w:val="21"/>
                      <w:lang w:val="zh-Hans" w:eastAsia="zh-Hans" w:bidi="ar"/>
                    </w:rPr>
                    <w:t>M</w:t>
                  </w: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10E7810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</w:rPr>
                    <w:t>监控科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A7874F0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</w:tr>
            <w:tr w14:paraId="554156A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63" w:hRule="atLeas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42D07C5A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6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6011ADB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12328呼叫线路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C2E49BF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1条PRI电路，带宽为2M。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7507E6D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</w:rPr>
                    <w:t>监控科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077723F">
                  <w:pPr>
                    <w:jc w:val="center"/>
                    <w:rPr>
                      <w:rFonts w:hint="eastAsia" w:ascii="仿宋" w:hAnsi="仿宋" w:eastAsia="仿宋"/>
                      <w:szCs w:val="21"/>
                    </w:rPr>
                  </w:pPr>
                </w:p>
              </w:tc>
            </w:tr>
            <w:tr w14:paraId="2894ACA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4A5A26F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7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214F8B9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ETC发行系统互联网</w:t>
                  </w:r>
                  <w:r>
                    <w:rPr>
                      <w:rFonts w:hint="eastAsia" w:ascii="仿宋" w:hAnsi="仿宋" w:eastAsia="仿宋"/>
                      <w:szCs w:val="21"/>
                      <w:lang w:val="zh-Hans" w:eastAsia="zh-Hans" w:bidi="ar"/>
                    </w:rPr>
                    <w:t>专线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8859436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3条100M专线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0236042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电子公司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454EC30">
                  <w:pPr>
                    <w:jc w:val="center"/>
                    <w:rPr>
                      <w:rFonts w:hint="eastAsia" w:ascii="仿宋" w:hAnsi="仿宋" w:eastAsia="仿宋"/>
                      <w:szCs w:val="21"/>
                    </w:rPr>
                  </w:pPr>
                </w:p>
              </w:tc>
            </w:tr>
            <w:tr w14:paraId="5693CDA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74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73C77AA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8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7D91A05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ETC发行网点移动终端VPDN专线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E9AA594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1条2M和1条4M专线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5B022E2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电子公司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BBD8CB9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</w:tr>
            <w:tr w14:paraId="3CA5940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5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E0080FB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9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2621E94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部级在线密钥平台通信网络传输链路服务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326F83F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eastAsia="zh-Hans" w:bidi="ar"/>
                    </w:rPr>
                    <w:t>3条2M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0B86CEC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结算科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424DC73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</w:tr>
            <w:tr w14:paraId="3427F67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94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1A6513D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10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558919E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票据传输线路及端口保障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C52439B">
                  <w:pPr>
                    <w:spacing w:line="560" w:lineRule="exact"/>
                    <w:ind w:firstLine="840" w:firstLineChars="400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1条10M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193663B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 xml:space="preserve">收费科、 </w:t>
                  </w:r>
                </w:p>
                <w:p w14:paraId="77D3D575">
                  <w:pPr>
                    <w:widowControl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技术科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D590966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</w:tr>
            <w:tr w14:paraId="34E34AD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5" w:hRule="exact"/>
                <w:jc w:val="center"/>
              </w:trPr>
              <w:tc>
                <w:tcPr>
                  <w:tcW w:w="58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063C130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11</w:t>
                  </w:r>
                </w:p>
              </w:tc>
              <w:tc>
                <w:tcPr>
                  <w:tcW w:w="13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AD7D5C7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数据保障</w:t>
                  </w:r>
                </w:p>
              </w:tc>
              <w:tc>
                <w:tcPr>
                  <w:tcW w:w="1799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2CE0404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按需</w:t>
                  </w:r>
                </w:p>
              </w:tc>
              <w:tc>
                <w:tcPr>
                  <w:tcW w:w="73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5708902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  <w:r>
                    <w:rPr>
                      <w:rFonts w:hint="eastAsia" w:ascii="仿宋" w:hAnsi="仿宋" w:eastAsia="仿宋"/>
                      <w:szCs w:val="21"/>
                      <w:lang w:bidi="ar"/>
                    </w:rPr>
                    <w:t>按需</w:t>
                  </w:r>
                </w:p>
              </w:tc>
              <w:tc>
                <w:tcPr>
                  <w:tcW w:w="5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CC7ECDB">
                  <w:pPr>
                    <w:widowControl/>
                    <w:jc w:val="center"/>
                    <w:textAlignment w:val="center"/>
                    <w:rPr>
                      <w:rFonts w:hint="eastAsia" w:ascii="仿宋" w:hAnsi="仿宋" w:eastAsia="仿宋"/>
                      <w:szCs w:val="21"/>
                      <w:lang w:bidi="ar"/>
                    </w:rPr>
                  </w:pPr>
                </w:p>
              </w:tc>
            </w:tr>
          </w:tbl>
          <w:p w14:paraId="50F02A02">
            <w:pPr>
              <w:pStyle w:val="4"/>
              <w:rPr>
                <w:rFonts w:ascii="仿宋_GB2312" w:hAnsi="仿宋_GB2312" w:eastAsia="仿宋_GB2312" w:cs="仿宋_GB2312"/>
              </w:rPr>
            </w:pPr>
          </w:p>
        </w:tc>
      </w:tr>
    </w:tbl>
    <w:p w14:paraId="67164B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F452A"/>
    <w:rsid w:val="044F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2026-05-28T03:15:00Z</dcterms:created>
  <dc:creator>833</dc:creator>
  <cp:lastModifiedBy>833</cp:lastModifiedBy>
  <dcterms:modified xsi:type="dcterms:W3CDTF">2026-05-28T03:15:31Z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576032B22633433AA7DA3D1FBF042A62_11</vt:lpwstr>
  </property>
  <property fmtid="{D5CDD505-2E9C-101B-9397-08002B2CF9AE}" pid="4" name="KSOTemplateDocerSaveRecord">
    <vt:lpwstr>eyJoZGlkIjoiNTI1OGU5NzEwNjlmOTA0NzYwMTIyZGJlNThjMzMxOGYiLCJ1c2VySWQiOiIzMTI3MDEwNzEifQ==</vt:lpwstr>
  </property>
</Properties>
</file>