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版本号：YD-202605220260805001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佛坪县2026年省级林业改革发展资金森林防火项目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YD-2026052</w:t>
      </w:r>
      <w:r>
        <w:br/>
      </w:r>
      <w:r>
        <w:br/>
      </w:r>
      <w:r>
        <w:br/>
      </w:r>
    </w:p>
    <w:p>
      <w:pPr>
        <w:pStyle w:val="null3"/>
        <w:jc w:val="center"/>
        <w:outlineLvl w:val="2"/>
      </w:pPr>
      <w:r>
        <w:rPr>
          <w:rFonts w:ascii="仿宋_GB2312" w:hAnsi="仿宋_GB2312" w:cs="仿宋_GB2312" w:eastAsia="仿宋_GB2312"/>
          <w:sz w:val="28"/>
          <w:b/>
        </w:rPr>
        <w:t>佛坪县林草火灾监测预警中心</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佛坪县林草火灾监测预警中心</w:t>
      </w:r>
      <w:r>
        <w:rPr>
          <w:rFonts w:ascii="仿宋_GB2312" w:hAnsi="仿宋_GB2312" w:cs="仿宋_GB2312" w:eastAsia="仿宋_GB2312"/>
        </w:rPr>
        <w:t>委托，拟对</w:t>
      </w:r>
      <w:r>
        <w:rPr>
          <w:rFonts w:ascii="仿宋_GB2312" w:hAnsi="仿宋_GB2312" w:cs="仿宋_GB2312" w:eastAsia="仿宋_GB2312"/>
        </w:rPr>
        <w:t>佛坪县2026年省级林业改革发展资金森林防火项目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佛坪县2026年省级林业改革发展资金森林防火项目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佛坪县2026年省级林业草原改革发展资金森林防火项目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采购包1（佛坪县2026年省级林业草原改革发展资金森林防火项目）：属于专门面向中小企业采购。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3、法定代表⼈⾝份证明或法定代表⼈授权委托书：法定代表⼈直接参加投标的，须提供法定代表⼈⾝份证明；法定代表⼈授权代表参加投标的，须提供法定代表⼈授权委托书；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小企业采购：本项⽬为专⻔⾯向中小企业采购，投标⼈应为中型企业或小型、微型企业或监狱企业或残疾⼈福利性单位。投标⼈为中型、小型、微型企业的，提供《中小企业声明函》；投标⼈为监狱企业的，应提供监狱企业的证明⽂件；投标⼈为残疾⼈福利性单位的，应提供《残疾⼈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佛坪县林草火灾监测预警中心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佛坪县袁家庄街道办熊猫大道18号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0916-8912011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代理服务费收费标准：参照《国家发展改革委关于进一步放开建设项目专业服务价格的通知》(发改价格(2015)299号)文收费标准，按中标金额的1.0%收取。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佛坪县林草火灾监测预警中心</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佛坪县林草火灾监测预警中心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佛坪县林草火灾监测预警中心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佛坪县2026年省级林业草原改革发展资金森林防火项目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佛坪县2026年省级林业改革发展资金森林防火项目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标的名称：佛坪县2026年省级林业改革发展资金森林防火项目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1"/>
              <w:gridCol w:w="160"/>
              <w:gridCol w:w="227"/>
              <w:gridCol w:w="177"/>
              <w:gridCol w:w="1381"/>
              <w:gridCol w:w="172"/>
              <w:gridCol w:w="144"/>
            </w:tblGrid>
            <w:tr>
              <w:tc>
                <w:tcPr>
                  <w:tcW w:type="dxa" w:w="271"/>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1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874"/>
                  <w:gridSpan w:val="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参数内容</w:t>
                  </w:r>
                </w:p>
              </w:tc>
            </w:tr>
            <w:tr>
              <w:tc>
                <w:tcPr>
                  <w:tcW w:type="dxa" w:w="27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森林防火宣传册</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份</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w:t>
                  </w:r>
                </w:p>
              </w:tc>
              <w:tc>
                <w:tcPr>
                  <w:tcW w:type="dxa" w:w="1874"/>
                  <w:gridSpan w:val="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大小规格</w:t>
                  </w:r>
                  <w:r>
                    <w:rPr>
                      <w:rFonts w:ascii="仿宋_GB2312" w:hAnsi="仿宋_GB2312" w:cs="仿宋_GB2312" w:eastAsia="仿宋_GB2312"/>
                      <w:sz w:val="18"/>
                    </w:rPr>
                    <w:t>850mm</w:t>
                  </w:r>
                  <w:r>
                    <w:rPr>
                      <w:rFonts w:ascii="仿宋_GB2312" w:hAnsi="仿宋_GB2312" w:cs="仿宋_GB2312" w:eastAsia="仿宋_GB2312"/>
                      <w:sz w:val="18"/>
                    </w:rPr>
                    <w:t>×</w:t>
                  </w:r>
                  <w:r>
                    <w:rPr>
                      <w:rFonts w:ascii="仿宋_GB2312" w:hAnsi="仿宋_GB2312" w:cs="仿宋_GB2312" w:eastAsia="仿宋_GB2312"/>
                      <w:sz w:val="18"/>
                    </w:rPr>
                    <w:t>1168mm  1/32，总页数50页，内容：《森林草原防灭火条例》全文、空白页笔记本横线。</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森林防火海报</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份</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大小规格</w:t>
                  </w:r>
                  <w:r>
                    <w:rPr>
                      <w:rFonts w:ascii="仿宋_GB2312" w:hAnsi="仿宋_GB2312" w:cs="仿宋_GB2312" w:eastAsia="仿宋_GB2312"/>
                      <w:sz w:val="18"/>
                    </w:rPr>
                    <w:t>60cm×85cm,背面自带胶</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宣传品制作（水杯、纸巾、横幅等）</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份</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水杯：水杯杯身材质双层高硼硅玻璃，杯盖不低于</w:t>
                  </w:r>
                  <w:r>
                    <w:rPr>
                      <w:rFonts w:ascii="仿宋_GB2312" w:hAnsi="仿宋_GB2312" w:cs="仿宋_GB2312" w:eastAsia="仿宋_GB2312"/>
                      <w:sz w:val="18"/>
                    </w:rPr>
                    <w:t>304不锈钢，水杯容量≥300ml, 杯身印制森林防火标识及文字，数量500个；</w:t>
                  </w:r>
                </w:p>
                <w:p>
                  <w:pPr>
                    <w:pStyle w:val="null3"/>
                    <w:jc w:val="left"/>
                  </w:pPr>
                  <w:r>
                    <w:rPr>
                      <w:rFonts w:ascii="仿宋_GB2312" w:hAnsi="仿宋_GB2312" w:cs="仿宋_GB2312" w:eastAsia="仿宋_GB2312"/>
                      <w:sz w:val="18"/>
                    </w:rPr>
                    <w:t>纸巾：抽纸盒大小规格</w:t>
                  </w:r>
                  <w:r>
                    <w:rPr>
                      <w:rFonts w:ascii="仿宋_GB2312" w:hAnsi="仿宋_GB2312" w:cs="仿宋_GB2312" w:eastAsia="仿宋_GB2312"/>
                      <w:sz w:val="18"/>
                    </w:rPr>
                    <w:t>:≥205mm×110mm×55mm,纸盒外立面彩色印森林防火图案字样，内装3层60抽</w:t>
                  </w:r>
                  <w:r>
                    <w:rPr>
                      <w:rFonts w:ascii="仿宋_GB2312" w:hAnsi="仿宋_GB2312" w:cs="仿宋_GB2312" w:eastAsia="仿宋_GB2312"/>
                      <w:sz w:val="18"/>
                    </w:rPr>
                    <w:t>,</w:t>
                  </w:r>
                  <w:r>
                    <w:rPr>
                      <w:rFonts w:ascii="仿宋_GB2312" w:hAnsi="仿宋_GB2312" w:cs="仿宋_GB2312" w:eastAsia="仿宋_GB2312"/>
                      <w:sz w:val="18"/>
                    </w:rPr>
                    <w:t>数量</w:t>
                  </w:r>
                  <w:r>
                    <w:rPr>
                      <w:rFonts w:ascii="仿宋_GB2312" w:hAnsi="仿宋_GB2312" w:cs="仿宋_GB2312" w:eastAsia="仿宋_GB2312"/>
                      <w:sz w:val="18"/>
                    </w:rPr>
                    <w:t>2000盒</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横幅：长度</w:t>
                  </w:r>
                  <w:r>
                    <w:rPr>
                      <w:rFonts w:ascii="仿宋_GB2312" w:hAnsi="仿宋_GB2312" w:cs="仿宋_GB2312" w:eastAsia="仿宋_GB2312"/>
                      <w:sz w:val="18"/>
                    </w:rPr>
                    <w:t>10米，红底喷白字，内容另行提供，数量500幅。</w:t>
                  </w:r>
                </w:p>
              </w:tc>
            </w:tr>
            <w:tr>
              <w:tc>
                <w:tcPr>
                  <w:tcW w:type="dxa" w:w="271"/>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森林防火电子宣传牌</w:t>
                  </w:r>
                  <w:r>
                    <w:rPr>
                      <w:rFonts w:ascii="仿宋_GB2312" w:hAnsi="仿宋_GB2312" w:cs="仿宋_GB2312" w:eastAsia="仿宋_GB2312"/>
                      <w:sz w:val="18"/>
                      <w:b/>
                    </w:rPr>
                    <w:t>（核心产品）</w:t>
                  </w:r>
                </w:p>
              </w:tc>
              <w:tc>
                <w:tcPr>
                  <w:tcW w:type="dxa" w:w="16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w:t>
                  </w:r>
                </w:p>
              </w:tc>
              <w:tc>
                <w:tcPr>
                  <w:tcW w:type="dxa" w:w="22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以下为一面森林防火电子宣传牌的参数内容：</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户外</w:t>
                  </w:r>
                  <w:r>
                    <w:rPr>
                      <w:rFonts w:ascii="仿宋_GB2312" w:hAnsi="仿宋_GB2312" w:cs="仿宋_GB2312" w:eastAsia="仿宋_GB2312"/>
                      <w:sz w:val="18"/>
                    </w:rPr>
                    <w:t>P4</w:t>
                  </w:r>
                  <w:r>
                    <w:br/>
                  </w:r>
                  <w:r>
                    <w:rPr>
                      <w:rFonts w:ascii="仿宋_GB2312" w:hAnsi="仿宋_GB2312" w:cs="仿宋_GB2312" w:eastAsia="仿宋_GB2312"/>
                      <w:sz w:val="18"/>
                    </w:rPr>
                    <w:t>全彩</w:t>
                  </w:r>
                  <w:r>
                    <w:rPr>
                      <w:rFonts w:ascii="仿宋_GB2312" w:hAnsi="仿宋_GB2312" w:cs="仿宋_GB2312" w:eastAsia="仿宋_GB2312"/>
                      <w:sz w:val="18"/>
                    </w:rPr>
                    <w:t>LED</w:t>
                  </w:r>
                  <w:r>
                    <w:br/>
                  </w:r>
                  <w:r>
                    <w:rPr>
                      <w:rFonts w:ascii="仿宋_GB2312" w:hAnsi="仿宋_GB2312" w:cs="仿宋_GB2312" w:eastAsia="仿宋_GB2312"/>
                      <w:sz w:val="18"/>
                    </w:rPr>
                    <w:t>显示屏</w:t>
                  </w:r>
                </w:p>
              </w:tc>
              <w:tc>
                <w:tcPr>
                  <w:tcW w:type="dxa" w:w="13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1、像素点间距：≤4mm</w:t>
                  </w:r>
                  <w:r>
                    <w:br/>
                  </w:r>
                  <w:r>
                    <w:rPr>
                      <w:rFonts w:ascii="仿宋_GB2312" w:hAnsi="仿宋_GB2312" w:cs="仿宋_GB2312" w:eastAsia="仿宋_GB2312"/>
                      <w:sz w:val="18"/>
                    </w:rPr>
                    <w:t>2、像素密度：≥62500Dots/m2</w:t>
                  </w:r>
                  <w:r>
                    <w:br/>
                  </w:r>
                  <w:r>
                    <w:rPr>
                      <w:rFonts w:ascii="仿宋_GB2312" w:hAnsi="仿宋_GB2312" w:cs="仿宋_GB2312" w:eastAsia="仿宋_GB2312"/>
                      <w:sz w:val="18"/>
                    </w:rPr>
                    <w:t>3、刷新率：≥3840Hz，支持通过配套控制软件调节刷新率设置选项</w:t>
                  </w:r>
                  <w:r>
                    <w:br/>
                  </w:r>
                  <w:r>
                    <w:rPr>
                      <w:rFonts w:ascii="仿宋_GB2312" w:hAnsi="仿宋_GB2312" w:cs="仿宋_GB2312" w:eastAsia="仿宋_GB2312"/>
                      <w:sz w:val="18"/>
                    </w:rPr>
                    <w:t>4、像素构成：1R、1G、1B</w:t>
                  </w:r>
                  <w:r>
                    <w:br/>
                  </w:r>
                  <w:r>
                    <w:rPr>
                      <w:rFonts w:ascii="仿宋_GB2312" w:hAnsi="仿宋_GB2312" w:cs="仿宋_GB2312" w:eastAsia="仿宋_GB2312"/>
                      <w:sz w:val="18"/>
                    </w:rPr>
                    <w:t>5、封装方式：SMD表贴三合一，铜线封装</w:t>
                  </w:r>
                  <w:r>
                    <w:br/>
                  </w:r>
                  <w:r>
                    <w:rPr>
                      <w:rFonts w:ascii="仿宋_GB2312" w:hAnsi="仿宋_GB2312" w:cs="仿宋_GB2312" w:eastAsia="仿宋_GB2312"/>
                      <w:sz w:val="18"/>
                    </w:rPr>
                    <w:t>6、驱动方式：恒流驱动</w:t>
                  </w:r>
                  <w:r>
                    <w:br/>
                  </w:r>
                  <w:r>
                    <w:rPr>
                      <w:rFonts w:ascii="仿宋_GB2312" w:hAnsi="仿宋_GB2312" w:cs="仿宋_GB2312" w:eastAsia="仿宋_GB2312"/>
                      <w:sz w:val="18"/>
                    </w:rPr>
                    <w:t>7、像素光强均匀性：LRJ≤10% LGJ≤10% LBJ≤10%</w:t>
                  </w:r>
                  <w:r>
                    <w:br/>
                  </w:r>
                  <w:r>
                    <w:rPr>
                      <w:rFonts w:ascii="仿宋_GB2312" w:hAnsi="仿宋_GB2312" w:cs="仿宋_GB2312" w:eastAsia="仿宋_GB2312"/>
                      <w:sz w:val="18"/>
                    </w:rPr>
                    <w:t>8、色度均匀性：±0.001Cx、Cy内</w:t>
                  </w:r>
                  <w:r>
                    <w:br/>
                  </w:r>
                  <w:r>
                    <w:rPr>
                      <w:rFonts w:ascii="仿宋_GB2312" w:hAnsi="仿宋_GB2312" w:cs="仿宋_GB2312" w:eastAsia="仿宋_GB2312"/>
                      <w:sz w:val="18"/>
                    </w:rPr>
                    <w:t>9、模组平整度：≤0.03mm</w:t>
                  </w:r>
                  <w:r>
                    <w:br/>
                  </w:r>
                  <w:r>
                    <w:rPr>
                      <w:rFonts w:ascii="仿宋_GB2312" w:hAnsi="仿宋_GB2312" w:cs="仿宋_GB2312" w:eastAsia="仿宋_GB2312"/>
                      <w:sz w:val="21"/>
                    </w:rPr>
                    <w:t>▲</w:t>
                  </w:r>
                  <w:r>
                    <w:rPr>
                      <w:rFonts w:ascii="仿宋_GB2312" w:hAnsi="仿宋_GB2312" w:cs="仿宋_GB2312" w:eastAsia="仿宋_GB2312"/>
                      <w:sz w:val="18"/>
                    </w:rPr>
                    <w:t>10、白平衡亮度：0-6000cd/㎡可调；亮度调节：0-100%亮度可调，256级手动/自动调节，屏幕亮度具有随环境照度的变化任意调整功能；亮度均匀性：≥98%</w:t>
                  </w:r>
                  <w:r>
                    <w:br/>
                  </w:r>
                  <w:r>
                    <w:rPr>
                      <w:rFonts w:ascii="仿宋_GB2312" w:hAnsi="仿宋_GB2312" w:cs="仿宋_GB2312" w:eastAsia="仿宋_GB2312"/>
                      <w:sz w:val="21"/>
                    </w:rPr>
                    <w:t>▲</w:t>
                  </w:r>
                  <w:r>
                    <w:rPr>
                      <w:rFonts w:ascii="仿宋_GB2312" w:hAnsi="仿宋_GB2312" w:cs="仿宋_GB2312" w:eastAsia="仿宋_GB2312"/>
                      <w:sz w:val="18"/>
                    </w:rPr>
                    <w:t>11、色温800K-18000K可调；白平衡状态下色温在6500K±5%；色温为6500K时，100%75%50%25%档电平白场调节色温误差≤100K</w:t>
                  </w:r>
                  <w:r>
                    <w:br/>
                  </w:r>
                  <w:r>
                    <w:rPr>
                      <w:rFonts w:ascii="仿宋_GB2312" w:hAnsi="仿宋_GB2312" w:cs="仿宋_GB2312" w:eastAsia="仿宋_GB2312"/>
                      <w:sz w:val="18"/>
                    </w:rPr>
                    <w:t>12、水平视角≥170°；垂直视角≥170°</w:t>
                  </w:r>
                  <w:r>
                    <w:br/>
                  </w:r>
                  <w:r>
                    <w:rPr>
                      <w:rFonts w:ascii="仿宋_GB2312" w:hAnsi="仿宋_GB2312" w:cs="仿宋_GB2312" w:eastAsia="仿宋_GB2312"/>
                      <w:sz w:val="18"/>
                    </w:rPr>
                    <w:t>13、对比度≥9000：1</w:t>
                  </w:r>
                  <w:r>
                    <w:br/>
                  </w:r>
                  <w:r>
                    <w:rPr>
                      <w:rFonts w:ascii="仿宋_GB2312" w:hAnsi="仿宋_GB2312" w:cs="仿宋_GB2312" w:eastAsia="仿宋_GB2312"/>
                      <w:sz w:val="18"/>
                    </w:rPr>
                    <w:t>14、灰度等级≥14bit，红绿蓝各256级，可达16384级；</w:t>
                  </w:r>
                  <w:r>
                    <w:br/>
                  </w:r>
                  <w:r>
                    <w:rPr>
                      <w:rFonts w:ascii="仿宋_GB2312" w:hAnsi="仿宋_GB2312" w:cs="仿宋_GB2312" w:eastAsia="仿宋_GB2312"/>
                      <w:sz w:val="18"/>
                    </w:rPr>
                    <w:t>15、峰值功耗≤600W/m²；平均功耗≤200W/m²</w:t>
                  </w:r>
                  <w:r>
                    <w:br/>
                  </w:r>
                  <w:r>
                    <w:rPr>
                      <w:rFonts w:ascii="仿宋_GB2312" w:hAnsi="仿宋_GB2312" w:cs="仿宋_GB2312" w:eastAsia="仿宋_GB2312"/>
                      <w:sz w:val="18"/>
                    </w:rPr>
                    <w:t>16、供电电源：在4.2*（1±10%）VDC～4.5*（1±10%）VDC范围内能正常工作</w:t>
                  </w:r>
                  <w:r>
                    <w:br/>
                  </w:r>
                  <w:r>
                    <w:rPr>
                      <w:rFonts w:ascii="仿宋_GB2312" w:hAnsi="仿宋_GB2312" w:cs="仿宋_GB2312" w:eastAsia="仿宋_GB2312"/>
                      <w:sz w:val="18"/>
                    </w:rPr>
                    <w:t>17、输入电压：支持宽压输入 在96-264VAC，支持窄压输入在200-240VAC，在该范围内能正常工作</w:t>
                  </w:r>
                  <w:r>
                    <w:br/>
                  </w:r>
                  <w:r>
                    <w:rPr>
                      <w:rFonts w:ascii="仿宋_GB2312" w:hAnsi="仿宋_GB2312" w:cs="仿宋_GB2312" w:eastAsia="仿宋_GB2312"/>
                      <w:sz w:val="18"/>
                    </w:rPr>
                    <w:t>18、为不影响屏体周边人员的健康，要求投标人所投LED显示屏在正常工作中，满足 NR-25(噪声标准曲线)要求，屏前后左右四个方向 1.0 米处噪音&lt;1.4dB (A)；</w:t>
                  </w:r>
                  <w:r>
                    <w:br/>
                  </w:r>
                  <w:r>
                    <w:rPr>
                      <w:rFonts w:ascii="仿宋_GB2312" w:hAnsi="仿宋_GB2312" w:cs="仿宋_GB2312" w:eastAsia="仿宋_GB2312"/>
                      <w:sz w:val="21"/>
                    </w:rPr>
                    <w:t>▲</w:t>
                  </w:r>
                  <w:r>
                    <w:rPr>
                      <w:rFonts w:ascii="仿宋_GB2312" w:hAnsi="仿宋_GB2312" w:cs="仿宋_GB2312" w:eastAsia="仿宋_GB2312"/>
                      <w:sz w:val="18"/>
                    </w:rPr>
                    <w:t>19、防电击等级依据GB4943.1标准，使用基本绝缘作为基本安全防护，同时使用保护连接和保护接地作为附加安全防护，达到防电击保护I类设备；</w:t>
                  </w:r>
                  <w:r>
                    <w:br/>
                  </w:r>
                  <w:r>
                    <w:rPr>
                      <w:rFonts w:ascii="仿宋_GB2312" w:hAnsi="仿宋_GB2312" w:cs="仿宋_GB2312" w:eastAsia="仿宋_GB2312"/>
                      <w:sz w:val="18"/>
                    </w:rPr>
                    <w:t>20、所投LED显示屏的灯管耐焊耐热：灯珠引脚无氧化,焊接正常,灯珠胶体正常,点亮正常；灯管抗静电(ESD)测试：HBM模式:ESD&gt;2000V,灯珠点亮无异常；灯管红墨水试验：纯红墨水常温浸泡24h,无渗透,灯管气密性良好；</w:t>
                  </w:r>
                  <w:r>
                    <w:br/>
                  </w:r>
                  <w:r>
                    <w:rPr>
                      <w:rFonts w:ascii="仿宋_GB2312" w:hAnsi="仿宋_GB2312" w:cs="仿宋_GB2312" w:eastAsia="仿宋_GB2312"/>
                      <w:sz w:val="18"/>
                    </w:rPr>
                    <w:t>21、电快速瞬变脉冲群：依据 GB/T17626.4-2018，电源端口 4kV，测试中和测试结束后产品无异常</w:t>
                  </w:r>
                  <w:r>
                    <w:br/>
                  </w:r>
                  <w:r>
                    <w:rPr>
                      <w:rFonts w:ascii="仿宋_GB2312" w:hAnsi="仿宋_GB2312" w:cs="仿宋_GB2312" w:eastAsia="仿宋_GB2312"/>
                      <w:sz w:val="18"/>
                    </w:rPr>
                    <w:t>22、正常播放视频状态下点亮5分钟后产品表面温度升幅≤1.5℃，点亮10分钟后其温度升幅≤8℃；产品在白平衡状态下点亮5分钟后产品表面温度升幅≤8℃，点亮10分钟后其温度升幅≤18℃；产品正常使用工作达到热平衡状态后，屏体结构金属部分温度升幅≤30℃，绝缘材料温度升幅≤30℃</w:t>
                  </w:r>
                  <w:r>
                    <w:br/>
                  </w:r>
                  <w:r>
                    <w:rPr>
                      <w:rFonts w:ascii="仿宋_GB2312" w:hAnsi="仿宋_GB2312" w:cs="仿宋_GB2312" w:eastAsia="仿宋_GB2312"/>
                      <w:sz w:val="18"/>
                    </w:rPr>
                    <w:t>23、产品采用高端芯片，可智能调节正常工作与睡眠状态下的节能效果（动态节能，智能息屏），开启智能节电功能比没有开启节能50%以上</w:t>
                  </w:r>
                  <w:r>
                    <w:br/>
                  </w:r>
                  <w:r>
                    <w:rPr>
                      <w:rFonts w:ascii="仿宋_GB2312" w:hAnsi="仿宋_GB2312" w:cs="仿宋_GB2312" w:eastAsia="仿宋_GB2312"/>
                      <w:sz w:val="21"/>
                    </w:rPr>
                    <w:t>▲</w:t>
                  </w:r>
                  <w:r>
                    <w:rPr>
                      <w:rFonts w:ascii="仿宋_GB2312" w:hAnsi="仿宋_GB2312" w:cs="仿宋_GB2312" w:eastAsia="仿宋_GB2312"/>
                      <w:sz w:val="18"/>
                    </w:rPr>
                    <w:t>24、为保障产品用电安全，led显示屏具备在器具输入插座端与屏正面之间施加试验电压3kv/50Hz，保持1min，不出现飞弧和击穿现象；在器具输入插座端或者电源引入端子与外壳裸露金属部件之间的绝缘电阻在正常大气条件下≥100MΩ，湿热条件下≥2MΩ</w:t>
                  </w:r>
                  <w:r>
                    <w:br/>
                  </w:r>
                  <w:r>
                    <w:rPr>
                      <w:rFonts w:ascii="仿宋_GB2312" w:hAnsi="仿宋_GB2312" w:cs="仿宋_GB2312" w:eastAsia="仿宋_GB2312"/>
                      <w:sz w:val="18"/>
                    </w:rPr>
                    <w:t>25、屏幕表面光反射率，照度=10Lux/5600K条件下， 显示屏屏幕表面光反射率 （单位面积反射亮度）＜3.0cd/m²</w:t>
                  </w:r>
                  <w:r>
                    <w:br/>
                  </w:r>
                  <w:r>
                    <w:rPr>
                      <w:rFonts w:ascii="仿宋_GB2312" w:hAnsi="仿宋_GB2312" w:cs="仿宋_GB2312" w:eastAsia="仿宋_GB2312"/>
                      <w:sz w:val="21"/>
                    </w:rPr>
                    <w:t>▲</w:t>
                  </w:r>
                  <w:r>
                    <w:rPr>
                      <w:rFonts w:ascii="仿宋_GB2312" w:hAnsi="仿宋_GB2312" w:cs="仿宋_GB2312" w:eastAsia="仿宋_GB2312"/>
                      <w:sz w:val="18"/>
                    </w:rPr>
                    <w:t>26、具备0级防霉特性,符合《GBT2423.16-2022 电工电子产品环境试验 第二部分∶试验方法 试验J及导则∶长霉》的测试要求，可防黑曲霉、土曲霉、球毛壳霉、绳状青霉、绿色木霉等。</w:t>
                  </w:r>
                  <w:r>
                    <w:br/>
                  </w:r>
                  <w:r>
                    <w:rPr>
                      <w:rFonts w:ascii="仿宋_GB2312" w:hAnsi="仿宋_GB2312" w:cs="仿宋_GB2312" w:eastAsia="仿宋_GB2312"/>
                      <w:sz w:val="18"/>
                    </w:rPr>
                    <w:t>27、支持PPA碗杯结构、点胶封装、出光方式为单面发光；显示面采用高强度化学防护材质，防碰撞、耐冲击、高耐磨、抗腐蚀、防划痕，可直接擦拭LED附着力≥100N；在灯珠四侧以水平夹角 45°的方向施加推力15N，灯珠未破碎或脱落。</w:t>
                  </w:r>
                  <w:r>
                    <w:br/>
                  </w:r>
                  <w:r>
                    <w:rPr>
                      <w:rFonts w:ascii="仿宋_GB2312" w:hAnsi="仿宋_GB2312" w:cs="仿宋_GB2312" w:eastAsia="仿宋_GB2312"/>
                      <w:sz w:val="18"/>
                    </w:rPr>
                    <w:t>28、雾度：可见光投射比≥89.89%，因磨耗引起的雾度≤1.30%，抗磨性能符合标准中的技术要求</w:t>
                  </w:r>
                  <w:r>
                    <w:br/>
                  </w:r>
                  <w:r>
                    <w:rPr>
                      <w:rFonts w:ascii="仿宋_GB2312" w:hAnsi="仿宋_GB2312" w:cs="仿宋_GB2312" w:eastAsia="仿宋_GB2312"/>
                      <w:sz w:val="18"/>
                    </w:rPr>
                    <w:t>29、烟气毒性测试：毒性指数 R值≤1，符合 BS6853 要求。</w:t>
                  </w:r>
                </w:p>
              </w:tc>
              <w:tc>
                <w:tcPr>
                  <w:tcW w:type="dxa" w:w="1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8.60</w:t>
                  </w:r>
                </w:p>
              </w:tc>
              <w:tc>
                <w:tcPr>
                  <w:tcW w:type="dxa" w:w="1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钢构</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双立柱结构，全防水箱体，高度</w:t>
                  </w:r>
                  <w:r>
                    <w:rPr>
                      <w:rFonts w:ascii="仿宋_GB2312" w:hAnsi="仿宋_GB2312" w:cs="仿宋_GB2312" w:eastAsia="仿宋_GB2312"/>
                      <w:sz w:val="18"/>
                    </w:rPr>
                    <w:t>3.5m，100mm*50mm镀锌双立柱（加工黑色漆面与屏箱体匹配），屏体正面外框宽5cm,屏体侧面厚度40cm，多组后开门，多组通风散热及轴流风机，预埋立柱混凝土承重构置。</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9.22</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多媒体播放盒</w:t>
                  </w:r>
                  <w:r>
                    <w:rPr>
                      <w:rFonts w:ascii="仿宋_GB2312" w:hAnsi="仿宋_GB2312" w:cs="仿宋_GB2312" w:eastAsia="仿宋_GB2312"/>
                      <w:sz w:val="18"/>
                    </w:rPr>
                    <w:t xml:space="preserve">    </w:t>
                  </w:r>
                </w:p>
                <w:p>
                  <w:pPr>
                    <w:pStyle w:val="null3"/>
                    <w:jc w:val="center"/>
                  </w:pP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1、同/异步双模播放器，支持外部视频源与本地节目信息混合播放。支持外部视频源的全屏自适应缩放和节目分区自适应缩放。支持同步播放、异步播放和同异步混播三种模式的手动切换和定时切换。</w:t>
                  </w:r>
                  <w:r>
                    <w:br/>
                  </w:r>
                  <w:r>
                    <w:rPr>
                      <w:rFonts w:ascii="仿宋_GB2312" w:hAnsi="仿宋_GB2312" w:cs="仿宋_GB2312" w:eastAsia="仿宋_GB2312"/>
                      <w:sz w:val="18"/>
                    </w:rPr>
                    <w:t>2、多视频区，支持1个1080P@60Hz外部视频源或2个1080P视频区；</w:t>
                  </w:r>
                  <w:r>
                    <w:br/>
                  </w:r>
                  <w:r>
                    <w:rPr>
                      <w:rFonts w:ascii="仿宋_GB2312" w:hAnsi="仿宋_GB2312" w:cs="仿宋_GB2312" w:eastAsia="仿宋_GB2312"/>
                      <w:sz w:val="18"/>
                    </w:rPr>
                    <w:t>3、板载音视频接口：HDMI×1输入+AUDIO×1输出，支持外部视频源输入；</w:t>
                  </w:r>
                  <w:r>
                    <w:br/>
                  </w:r>
                  <w:r>
                    <w:rPr>
                      <w:rFonts w:ascii="仿宋_GB2312" w:hAnsi="仿宋_GB2312" w:cs="仿宋_GB2312" w:eastAsia="仿宋_GB2312"/>
                      <w:sz w:val="18"/>
                    </w:rPr>
                    <w:t>4、最大带载65万点，最高1920点，超长带载9600点； 2个千兆网口输出；兼容安防行业主流技术平台协议和市场主流交通信号设备协议，免二次开发；</w:t>
                  </w:r>
                  <w:r>
                    <w:br/>
                  </w:r>
                  <w:r>
                    <w:rPr>
                      <w:rFonts w:ascii="仿宋_GB2312" w:hAnsi="仿宋_GB2312" w:cs="仿宋_GB2312" w:eastAsia="仿宋_GB2312"/>
                      <w:sz w:val="18"/>
                    </w:rPr>
                    <w:t>5、硬件配置：不低于1.3GHz四核处理器，1GB DRAM，≥8GByte存储容量，支持USB扩展至256GB。支持1080P高清硬解码播放，支持H.265超强视频解码；</w:t>
                  </w:r>
                  <w:r>
                    <w:br/>
                  </w:r>
                  <w:r>
                    <w:rPr>
                      <w:rFonts w:ascii="仿宋_GB2312" w:hAnsi="仿宋_GB2312" w:cs="仿宋_GB2312" w:eastAsia="仿宋_GB2312"/>
                      <w:sz w:val="18"/>
                    </w:rPr>
                    <w:t>6、支持各种LED驱动芯片和译码芯片，支持静态至1/128扫描之间的任意扫描类型。支持SM16188B模组；</w:t>
                  </w:r>
                  <w:r>
                    <w:br/>
                  </w:r>
                  <w:r>
                    <w:rPr>
                      <w:rFonts w:ascii="仿宋_GB2312" w:hAnsi="仿宋_GB2312" w:cs="仿宋_GB2312" w:eastAsia="仿宋_GB2312"/>
                      <w:sz w:val="18"/>
                    </w:rPr>
                    <w:t>7、板载丰富的通讯接口：不低于100M网口+RS485/RS232串口+USB接口+WiFi接口+4G&amp;GPS接口；</w:t>
                  </w:r>
                  <w:r>
                    <w:br/>
                  </w:r>
                  <w:r>
                    <w:rPr>
                      <w:rFonts w:ascii="仿宋_GB2312" w:hAnsi="仿宋_GB2312" w:cs="仿宋_GB2312" w:eastAsia="仿宋_GB2312"/>
                      <w:sz w:val="18"/>
                    </w:rPr>
                    <w:t>8、板载常规传感器接口，支持红外遥控头、温度、温湿度传感器、亮度的便捷接入；</w:t>
                  </w:r>
                  <w:r>
                    <w:br/>
                  </w:r>
                  <w:r>
                    <w:rPr>
                      <w:rFonts w:ascii="仿宋_GB2312" w:hAnsi="仿宋_GB2312" w:cs="仿宋_GB2312" w:eastAsia="仿宋_GB2312"/>
                      <w:sz w:val="18"/>
                    </w:rPr>
                    <w:t>9、支持遥控器功能，便捷进行节目点播、音量调整、亮度调整、屏幕开关机、屏幕测试等操控；</w:t>
                  </w:r>
                  <w:r>
                    <w:br/>
                  </w:r>
                  <w:r>
                    <w:rPr>
                      <w:rFonts w:ascii="仿宋_GB2312" w:hAnsi="仿宋_GB2312" w:cs="仿宋_GB2312" w:eastAsia="仿宋_GB2312"/>
                      <w:sz w:val="18"/>
                    </w:rPr>
                    <w:t>10、支持16级亮度调整，支持三种亮度调整模式：手动调亮、分时段自动调亮和环境自适应调亮；</w:t>
                  </w:r>
                  <w:r>
                    <w:br/>
                  </w:r>
                  <w:r>
                    <w:rPr>
                      <w:rFonts w:ascii="仿宋_GB2312" w:hAnsi="仿宋_GB2312" w:cs="仿宋_GB2312" w:eastAsia="仿宋_GB2312"/>
                      <w:sz w:val="18"/>
                    </w:rPr>
                    <w:t>11、板载丰富的功能接口：⑴ 板载4位节目选择接口，支持外部信号控制16个节目切换播放； ⑵ 板载继电器开关，支持软件命令开关和定时自动开关屏幕； ⑶ 板载Modbus环境传感器接口，支持风速、风向、空气质量、噪声、大气压力、光照、负氧离子等各类环境传感器的便捷接入；支持氧气、二氧化碳、二氧化硫等各类气体传感器的便捷接入；支持雷达测速、水位、雨量、土壤等各类传感器的便捷接入。</w:t>
                  </w:r>
                  <w:r>
                    <w:br/>
                  </w:r>
                  <w:r>
                    <w:rPr>
                      <w:rFonts w:ascii="仿宋_GB2312" w:hAnsi="仿宋_GB2312" w:cs="仿宋_GB2312" w:eastAsia="仿宋_GB2312"/>
                      <w:sz w:val="18"/>
                    </w:rPr>
                    <w:t>12、支持网口单机直连、局域网和互联网通讯。标配无线wifi，支持手机APP，满足无线局域网应用；选配4G，选配GPS；</w:t>
                  </w:r>
                  <w:r>
                    <w:br/>
                  </w:r>
                  <w:r>
                    <w:rPr>
                      <w:rFonts w:ascii="仿宋_GB2312" w:hAnsi="仿宋_GB2312" w:cs="仿宋_GB2312" w:eastAsia="仿宋_GB2312"/>
                      <w:sz w:val="18"/>
                    </w:rPr>
                    <w:t>13、支持网络自检功能。支持IP在线配置和群组设置，MAC冲突和IP冲突自动检测；</w:t>
                  </w:r>
                  <w:r>
                    <w:br/>
                  </w:r>
                  <w:r>
                    <w:rPr>
                      <w:rFonts w:ascii="仿宋_GB2312" w:hAnsi="仿宋_GB2312" w:cs="仿宋_GB2312" w:eastAsia="仿宋_GB2312"/>
                      <w:sz w:val="18"/>
                    </w:rPr>
                    <w:t>14、支持MQTT物联网协议，无缝对接物联网平台；</w:t>
                  </w:r>
                  <w:r>
                    <w:br/>
                  </w:r>
                  <w:r>
                    <w:rPr>
                      <w:rFonts w:ascii="仿宋_GB2312" w:hAnsi="仿宋_GB2312" w:cs="仿宋_GB2312" w:eastAsia="仿宋_GB2312"/>
                      <w:sz w:val="18"/>
                    </w:rPr>
                    <w:t>15、全能编辑器便捷支持多种文字任意排版规则，轻松实现横屏竖排；</w:t>
                  </w:r>
                  <w:r>
                    <w:br/>
                  </w:r>
                  <w:r>
                    <w:rPr>
                      <w:rFonts w:ascii="仿宋_GB2312" w:hAnsi="仿宋_GB2312" w:cs="仿宋_GB2312" w:eastAsia="仿宋_GB2312"/>
                      <w:sz w:val="18"/>
                    </w:rPr>
                    <w:t>16、节目数量不限。支持节目任意位置开窗分区，支持32个区域，特殊需求可定制扩展。支持天气区、图文区、字幕区、视频区、农历区、时间区、模拟表盘、正负计时、传感器区、动态区、网络数据分区等；</w:t>
                  </w:r>
                  <w:r>
                    <w:br/>
                  </w:r>
                  <w:r>
                    <w:rPr>
                      <w:rFonts w:ascii="仿宋_GB2312" w:hAnsi="仿宋_GB2312" w:cs="仿宋_GB2312" w:eastAsia="仿宋_GB2312"/>
                      <w:sz w:val="18"/>
                    </w:rPr>
                    <w:t>17、支持区域炫彩边框、炫彩字幕和炫动背景；支持丰富的3D特效；支持32bit真彩OSD，实现视频区和图文区叠加播放，256级透明显示；</w:t>
                  </w:r>
                  <w:r>
                    <w:br/>
                  </w:r>
                  <w:r>
                    <w:rPr>
                      <w:rFonts w:ascii="仿宋_GB2312" w:hAnsi="仿宋_GB2312" w:cs="仿宋_GB2312" w:eastAsia="仿宋_GB2312"/>
                      <w:sz w:val="18"/>
                    </w:rPr>
                    <w:t>18、支持节目顺序播放、节目定时播放；支持紧急通知；支持32个动态区域，支持信息实时刷新；</w:t>
                  </w:r>
                  <w:r>
                    <w:br/>
                  </w:r>
                  <w:r>
                    <w:rPr>
                      <w:rFonts w:ascii="仿宋_GB2312" w:hAnsi="仿宋_GB2312" w:cs="仿宋_GB2312" w:eastAsia="仿宋_GB2312"/>
                      <w:sz w:val="18"/>
                    </w:rPr>
                    <w:t>19、支持国内国外天气预报自动更新。国外超过21000个城市，国内支持到所有县区；</w:t>
                  </w:r>
                  <w:r>
                    <w:br/>
                  </w:r>
                  <w:r>
                    <w:rPr>
                      <w:rFonts w:ascii="仿宋_GB2312" w:hAnsi="仿宋_GB2312" w:cs="仿宋_GB2312" w:eastAsia="仿宋_GB2312"/>
                      <w:sz w:val="18"/>
                    </w:rPr>
                    <w:t xml:space="preserve">20、支持中英文语音播报，满足项目语音需求。也可定制不同语种的语音播放； </w:t>
                  </w:r>
                  <w:r>
                    <w:br/>
                  </w:r>
                  <w:r>
                    <w:rPr>
                      <w:rFonts w:ascii="仿宋_GB2312" w:hAnsi="仿宋_GB2312" w:cs="仿宋_GB2312" w:eastAsia="仿宋_GB2312"/>
                      <w:sz w:val="18"/>
                    </w:rPr>
                    <w:t>21、支持屏幕旋转显示、视频区域复制、多屏同步、背景音乐、日志记录、截屏监视等功能；</w:t>
                  </w:r>
                  <w:r>
                    <w:br/>
                  </w:r>
                  <w:r>
                    <w:rPr>
                      <w:rFonts w:ascii="仿宋_GB2312" w:hAnsi="仿宋_GB2312" w:cs="仿宋_GB2312" w:eastAsia="仿宋_GB2312"/>
                      <w:sz w:val="18"/>
                    </w:rPr>
                    <w:t>22、支持数据库连接，同步获取数据并显示； 支持作战时间；</w:t>
                  </w:r>
                  <w:r>
                    <w:br/>
                  </w:r>
                  <w:r>
                    <w:rPr>
                      <w:rFonts w:ascii="仿宋_GB2312" w:hAnsi="仿宋_GB2312" w:cs="仿宋_GB2312" w:eastAsia="仿宋_GB2312"/>
                      <w:sz w:val="18"/>
                    </w:rPr>
                    <w:t>23、支持HLS、RTSP和RTMP协议的网络流媒体播放；</w:t>
                  </w:r>
                  <w:r>
                    <w:br/>
                  </w:r>
                  <w:r>
                    <w:rPr>
                      <w:rFonts w:ascii="仿宋_GB2312" w:hAnsi="仿宋_GB2312" w:cs="仿宋_GB2312" w:eastAsia="仿宋_GB2312"/>
                      <w:sz w:val="18"/>
                    </w:rPr>
                    <w:t>24、支持网络数据分区功能，通过服务器端URL并指定字段，动态获取JSON文件数据和JSON字段值；</w:t>
                  </w:r>
                  <w:r>
                    <w:br/>
                  </w:r>
                  <w:r>
                    <w:rPr>
                      <w:rFonts w:ascii="仿宋_GB2312" w:hAnsi="仿宋_GB2312" w:cs="仿宋_GB2312" w:eastAsia="仿宋_GB2312"/>
                      <w:sz w:val="18"/>
                    </w:rPr>
                    <w:t>25、支持对播放器设置通讯密码； 支持SSL/TLS加密协议，保障通讯信息安全。支持数字签名认证技术，保障素材传输正确和安全；</w:t>
                  </w:r>
                  <w:r>
                    <w:br/>
                  </w:r>
                  <w:r>
                    <w:rPr>
                      <w:rFonts w:ascii="仿宋_GB2312" w:hAnsi="仿宋_GB2312" w:cs="仿宋_GB2312" w:eastAsia="仿宋_GB2312"/>
                      <w:sz w:val="18"/>
                    </w:rPr>
                    <w:t>26、支持配置参数回读、工厂复位、固件升级功能，支持远程维护LED显示屏；</w:t>
                  </w:r>
                  <w:r>
                    <w:br/>
                  </w:r>
                  <w:r>
                    <w:rPr>
                      <w:rFonts w:ascii="仿宋_GB2312" w:hAnsi="仿宋_GB2312" w:cs="仿宋_GB2312" w:eastAsia="仿宋_GB2312"/>
                      <w:sz w:val="18"/>
                    </w:rPr>
                    <w:t>27、强大的二次开发配套能力。提供支持WINDOWS/LINUX/ANDROID/iOS 等主要操作系统的二次开发包，包括各种动态库、通讯协议、测试例程等 支持JAVA/C/C++/C#/Delphi等主流编程语言，支持用户在各种平台进行二次开发，最大程度满足用户的个性化定制。</w:t>
                  </w:r>
                  <w:r>
                    <w:br/>
                  </w:r>
                  <w:r>
                    <w:rPr>
                      <w:rFonts w:ascii="仿宋_GB2312" w:hAnsi="仿宋_GB2312" w:cs="仿宋_GB2312" w:eastAsia="仿宋_GB2312"/>
                      <w:sz w:val="18"/>
                    </w:rPr>
                    <w:t>28、专业级的云应用和信息安全管控。提供配套的专业级云平台发布软件和手机App，通过国家信息安全等级保护三级认证；具备用户实名认证、多级角色权限管理、节目编辑/审核/发布、显示屏自适应节目发布等功能；具备远程LED显示屏管理功能、显示屏状态监测功能；具备节目发布报表生成、屏幕信息在线监控、应急多级审核机制的信息安全保障功能。</w:t>
                  </w:r>
                </w:p>
                <w:p>
                  <w:pPr>
                    <w:pStyle w:val="null3"/>
                    <w:jc w:val="left"/>
                  </w:pPr>
                  <w:r>
                    <w:rPr>
                      <w:rFonts w:ascii="仿宋_GB2312" w:hAnsi="仿宋_GB2312" w:cs="仿宋_GB2312" w:eastAsia="仿宋_GB2312"/>
                      <w:sz w:val="18"/>
                    </w:rPr>
                    <w:t>29、支持数字电视、自编节目发布（视频、图文等）</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接收卡</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1、集成16组75接口，32组RGB信号输出，无需转接板；</w:t>
                  </w:r>
                  <w:r>
                    <w:br/>
                  </w:r>
                  <w:r>
                    <w:rPr>
                      <w:rFonts w:ascii="仿宋_GB2312" w:hAnsi="仿宋_GB2312" w:cs="仿宋_GB2312" w:eastAsia="仿宋_GB2312"/>
                      <w:sz w:val="18"/>
                    </w:rPr>
                    <w:t>2、支持静态至1/128扫描之间的任意扫描类型，支持各种LED驱动芯片和译码芯片，支持各种LED显示模组，支持SM16188B特殊模组；</w:t>
                  </w:r>
                  <w:r>
                    <w:br/>
                  </w:r>
                  <w:r>
                    <w:rPr>
                      <w:rFonts w:ascii="仿宋_GB2312" w:hAnsi="仿宋_GB2312" w:cs="仿宋_GB2312" w:eastAsia="仿宋_GB2312"/>
                      <w:sz w:val="18"/>
                    </w:rPr>
                    <w:t>3、支持低亮高灰、低灰补偿、色彩还原、逐点校正、快速修缝、RGB独立Gamma调节技术，大幅提升显示屏的画质</w:t>
                  </w:r>
                  <w:r>
                    <w:br/>
                  </w:r>
                  <w:r>
                    <w:rPr>
                      <w:rFonts w:ascii="仿宋_GB2312" w:hAnsi="仿宋_GB2312" w:cs="仿宋_GB2312" w:eastAsia="仿宋_GB2312"/>
                      <w:sz w:val="18"/>
                    </w:rPr>
                    <w:t>4、支持数据对开，有助于显著提升刷新率；支持数据组任意交换，有助于合理布局接收卡，提升显示屏质量；</w:t>
                  </w:r>
                  <w:r>
                    <w:br/>
                  </w:r>
                  <w:r>
                    <w:rPr>
                      <w:rFonts w:ascii="仿宋_GB2312" w:hAnsi="仿宋_GB2312" w:cs="仿宋_GB2312" w:eastAsia="仿宋_GB2312"/>
                      <w:sz w:val="18"/>
                    </w:rPr>
                    <w:t>5、支持数据偏移，支持从左到右、从右到左、从上到下、从下到上任意数据走线，支持异形箱体功能、复杂调屏功能，灵活实现各种不规则异形屏幕构造和创意显示控制；</w:t>
                  </w:r>
                  <w:r>
                    <w:br/>
                  </w:r>
                  <w:r>
                    <w:rPr>
                      <w:rFonts w:ascii="仿宋_GB2312" w:hAnsi="仿宋_GB2312" w:cs="仿宋_GB2312" w:eastAsia="仿宋_GB2312"/>
                      <w:sz w:val="18"/>
                    </w:rPr>
                    <w:t>6、支持任意角度画面旋转显示和3D显示功能，满足特殊显示需求；</w:t>
                  </w:r>
                  <w:r>
                    <w:br/>
                  </w:r>
                  <w:r>
                    <w:rPr>
                      <w:rFonts w:ascii="仿宋_GB2312" w:hAnsi="仿宋_GB2312" w:cs="仿宋_GB2312" w:eastAsia="仿宋_GB2312"/>
                      <w:sz w:val="18"/>
                    </w:rPr>
                    <w:t>7、支持快捷模组配置、智能扫描、智能向导设置、Mapping功能、接收卡定位、内置画布调试等功能模块，调试软件集成各品牌厂家模组配置文件，云端备份，极大方便显示屏快捷安装调试，保障显示屏后期维护；</w:t>
                  </w:r>
                  <w:r>
                    <w:br/>
                  </w:r>
                  <w:r>
                    <w:rPr>
                      <w:rFonts w:ascii="仿宋_GB2312" w:hAnsi="仿宋_GB2312" w:cs="仿宋_GB2312" w:eastAsia="仿宋_GB2312"/>
                      <w:sz w:val="18"/>
                    </w:rPr>
                    <w:t>8、支持配置参数备份、环路备份功能、自动断电功能，最大程度地保障系统的稳定运行，保障显示屏安全；</w:t>
                  </w:r>
                  <w:r>
                    <w:br/>
                  </w:r>
                  <w:r>
                    <w:rPr>
                      <w:rFonts w:ascii="仿宋_GB2312" w:hAnsi="仿宋_GB2312" w:cs="仿宋_GB2312" w:eastAsia="仿宋_GB2312"/>
                      <w:sz w:val="18"/>
                    </w:rPr>
                    <w:t>9、支持误码率检测、指示灯状态监控、电源监测、盐雾监测、温湿度监测，提供完备的显示屏运行状态监控功能；</w:t>
                  </w:r>
                  <w:r>
                    <w:br/>
                  </w:r>
                  <w:r>
                    <w:rPr>
                      <w:rFonts w:ascii="仿宋_GB2312" w:hAnsi="仿宋_GB2312" w:cs="仿宋_GB2312" w:eastAsia="仿宋_GB2312"/>
                      <w:sz w:val="18"/>
                    </w:rPr>
                    <w:t>10、支持固件在线升级、配置参数回读、多程序备份、版本兼容功能（不同型号接收卡同屏混用），极大方便系统维护和功能升级。</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w:t>
                  </w:r>
                  <w:r>
                    <w:br/>
                  </w:r>
                  <w:r>
                    <w:rPr>
                      <w:rFonts w:ascii="仿宋_GB2312" w:hAnsi="仿宋_GB2312" w:cs="仿宋_GB2312" w:eastAsia="仿宋_GB2312"/>
                      <w:sz w:val="18"/>
                    </w:rPr>
                    <w:t>电源</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高性价比，可靠性高，带载能力强，宽压输入，带转换开关；保护功能：过载</w:t>
                  </w:r>
                  <w:r>
                    <w:rPr>
                      <w:rFonts w:ascii="仿宋_GB2312" w:hAnsi="仿宋_GB2312" w:cs="仿宋_GB2312" w:eastAsia="仿宋_GB2312"/>
                      <w:sz w:val="18"/>
                    </w:rPr>
                    <w:t>/短路保护；输入电压/输入频率：100~240VAC/47~63HZ带转换开关；输出过载保护：110%-150%切断输出，输入重启后；上升保持时间：50ms，20ms额定满载。</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智能配</w:t>
                  </w:r>
                  <w:r>
                    <w:br/>
                  </w:r>
                  <w:r>
                    <w:rPr>
                      <w:rFonts w:ascii="仿宋_GB2312" w:hAnsi="仿宋_GB2312" w:cs="仿宋_GB2312" w:eastAsia="仿宋_GB2312"/>
                      <w:sz w:val="18"/>
                    </w:rPr>
                    <w:t>电箱</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1、功率：≥10KW</w:t>
                  </w:r>
                  <w:r>
                    <w:br/>
                  </w:r>
                  <w:r>
                    <w:rPr>
                      <w:rFonts w:ascii="仿宋_GB2312" w:hAnsi="仿宋_GB2312" w:cs="仿宋_GB2312" w:eastAsia="仿宋_GB2312"/>
                      <w:sz w:val="18"/>
                    </w:rPr>
                    <w:t>2、箱体尺寸：≥300*500*200(宽*高*厚)</w:t>
                  </w:r>
                  <w:r>
                    <w:br/>
                  </w:r>
                  <w:r>
                    <w:rPr>
                      <w:rFonts w:ascii="仿宋_GB2312" w:hAnsi="仿宋_GB2312" w:cs="仿宋_GB2312" w:eastAsia="仿宋_GB2312"/>
                      <w:sz w:val="18"/>
                    </w:rPr>
                    <w:t>3、安装方式：放在显示屏内固定壁挂式，室内环境</w:t>
                  </w:r>
                  <w:r>
                    <w:br/>
                  </w:r>
                  <w:r>
                    <w:rPr>
                      <w:rFonts w:ascii="仿宋_GB2312" w:hAnsi="仿宋_GB2312" w:cs="仿宋_GB2312" w:eastAsia="仿宋_GB2312"/>
                      <w:sz w:val="18"/>
                    </w:rPr>
                    <w:t>4、手动控制方式：屏体一键启停</w:t>
                  </w:r>
                  <w:r>
                    <w:br/>
                  </w:r>
                  <w:r>
                    <w:rPr>
                      <w:rFonts w:ascii="仿宋_GB2312" w:hAnsi="仿宋_GB2312" w:cs="仿宋_GB2312" w:eastAsia="仿宋_GB2312"/>
                      <w:sz w:val="18"/>
                    </w:rPr>
                    <w:t>5、具有电源状态指示灯，工作状态指示灯</w:t>
                  </w:r>
                  <w:r>
                    <w:br/>
                  </w:r>
                  <w:r>
                    <w:rPr>
                      <w:rFonts w:ascii="仿宋_GB2312" w:hAnsi="仿宋_GB2312" w:cs="仿宋_GB2312" w:eastAsia="仿宋_GB2312"/>
                      <w:sz w:val="18"/>
                    </w:rPr>
                    <w:t xml:space="preserve">6、远程控制方式：(选配：多功能卡，PLC等) </w:t>
                  </w:r>
                  <w:r>
                    <w:br/>
                  </w:r>
                  <w:r>
                    <w:rPr>
                      <w:rFonts w:ascii="仿宋_GB2312" w:hAnsi="仿宋_GB2312" w:cs="仿宋_GB2312" w:eastAsia="仿宋_GB2312"/>
                      <w:sz w:val="18"/>
                    </w:rPr>
                    <w:t>7、具有分布延时启动功能，延时3次上电</w:t>
                  </w:r>
                  <w:r>
                    <w:br/>
                  </w:r>
                  <w:r>
                    <w:rPr>
                      <w:rFonts w:ascii="仿宋_GB2312" w:hAnsi="仿宋_GB2312" w:cs="仿宋_GB2312" w:eastAsia="仿宋_GB2312"/>
                      <w:sz w:val="18"/>
                    </w:rPr>
                    <w:t>8、具有检修插座1个，具有常带电空开1个</w:t>
                  </w:r>
                  <w:r>
                    <w:br/>
                  </w:r>
                  <w:r>
                    <w:rPr>
                      <w:rFonts w:ascii="仿宋_GB2312" w:hAnsi="仿宋_GB2312" w:cs="仿宋_GB2312" w:eastAsia="仿宋_GB2312"/>
                      <w:sz w:val="18"/>
                    </w:rPr>
                    <w:t>9、输入接线方式：国标3相5线</w:t>
                  </w:r>
                  <w:r>
                    <w:br/>
                  </w:r>
                  <w:r>
                    <w:rPr>
                      <w:rFonts w:ascii="仿宋_GB2312" w:hAnsi="仿宋_GB2312" w:cs="仿宋_GB2312" w:eastAsia="仿宋_GB2312"/>
                      <w:sz w:val="18"/>
                    </w:rPr>
                    <w:t>10、输入电压(V):3相380V</w:t>
                  </w:r>
                  <w:r>
                    <w:br/>
                  </w:r>
                  <w:r>
                    <w:rPr>
                      <w:rFonts w:ascii="仿宋_GB2312" w:hAnsi="仿宋_GB2312" w:cs="仿宋_GB2312" w:eastAsia="仿宋_GB2312"/>
                      <w:sz w:val="18"/>
                    </w:rPr>
                    <w:t>11、输入频率(HZ):50/60Hz</w:t>
                  </w:r>
                  <w:r>
                    <w:br/>
                  </w:r>
                  <w:r>
                    <w:rPr>
                      <w:rFonts w:ascii="仿宋_GB2312" w:hAnsi="仿宋_GB2312" w:cs="仿宋_GB2312" w:eastAsia="仿宋_GB2312"/>
                      <w:sz w:val="18"/>
                    </w:rPr>
                    <w:t>12、输出接线方式：单相，3线输出，L(火),N(零),PE(地)</w:t>
                  </w:r>
                  <w:r>
                    <w:br/>
                  </w:r>
                  <w:r>
                    <w:rPr>
                      <w:rFonts w:ascii="仿宋_GB2312" w:hAnsi="仿宋_GB2312" w:cs="仿宋_GB2312" w:eastAsia="仿宋_GB2312"/>
                      <w:sz w:val="18"/>
                    </w:rPr>
                    <w:t>13、输出路数：显示屏12路输出(12火，12零，12地)</w:t>
                  </w:r>
                  <w:r>
                    <w:br/>
                  </w:r>
                  <w:r>
                    <w:rPr>
                      <w:rFonts w:ascii="仿宋_GB2312" w:hAnsi="仿宋_GB2312" w:cs="仿宋_GB2312" w:eastAsia="仿宋_GB2312"/>
                      <w:sz w:val="18"/>
                    </w:rPr>
                    <w:t>14、输出电压：≥220V</w:t>
                  </w:r>
                  <w:r>
                    <w:br/>
                  </w:r>
                  <w:r>
                    <w:rPr>
                      <w:rFonts w:ascii="仿宋_GB2312" w:hAnsi="仿宋_GB2312" w:cs="仿宋_GB2312" w:eastAsia="仿宋_GB2312"/>
                      <w:sz w:val="18"/>
                    </w:rPr>
                    <w:t>15、单路输出功率(KI)：每路5KWM(MAX)，须均匀接入显示屏</w:t>
                  </w:r>
                  <w:r>
                    <w:br/>
                  </w:r>
                  <w:r>
                    <w:rPr>
                      <w:rFonts w:ascii="仿宋_GB2312" w:hAnsi="仿宋_GB2312" w:cs="仿宋_GB2312" w:eastAsia="仿宋_GB2312"/>
                      <w:sz w:val="18"/>
                    </w:rPr>
                    <w:t>16、执行标准：GB/T7251.12-2013,GBTI9001-2016/IS09001</w:t>
                  </w:r>
                  <w:r>
                    <w:br/>
                  </w:r>
                  <w:r>
                    <w:rPr>
                      <w:rFonts w:ascii="仿宋_GB2312" w:hAnsi="仿宋_GB2312" w:cs="仿宋_GB2312" w:eastAsia="仿宋_GB2312"/>
                      <w:sz w:val="18"/>
                    </w:rPr>
                    <w:t>17、工作温度(c):-20-60</w:t>
                  </w:r>
                  <w:r>
                    <w:br/>
                  </w: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18"/>
                    </w:rPr>
                    <w:t>工作湿度(%):10--90无凝结</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1台≥80W功放，2只≥40W音柱，纯铜音箱线。</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w:t>
                  </w:r>
                  <w:r>
                    <w:br/>
                  </w:r>
                  <w:r>
                    <w:rPr>
                      <w:rFonts w:ascii="仿宋_GB2312" w:hAnsi="仿宋_GB2312" w:cs="仿宋_GB2312" w:eastAsia="仿宋_GB2312"/>
                      <w:sz w:val="18"/>
                    </w:rPr>
                    <w:t>线材</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6mm²纯铜电源线，满足国标</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播控</w:t>
                  </w:r>
                  <w:r>
                    <w:br/>
                  </w:r>
                  <w:r>
                    <w:rPr>
                      <w:rFonts w:ascii="仿宋_GB2312" w:hAnsi="仿宋_GB2312" w:cs="仿宋_GB2312" w:eastAsia="仿宋_GB2312"/>
                      <w:sz w:val="18"/>
                    </w:rPr>
                    <w:t>管理</w:t>
                  </w:r>
                  <w:r>
                    <w:br/>
                  </w:r>
                  <w:r>
                    <w:rPr>
                      <w:rFonts w:ascii="仿宋_GB2312" w:hAnsi="仿宋_GB2312" w:cs="仿宋_GB2312" w:eastAsia="仿宋_GB2312"/>
                      <w:sz w:val="18"/>
                    </w:rPr>
                    <w:t>软件</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1、平台采用分布式系统构架，公有云平台，使用数据库进行数据存储，稳健运行；</w:t>
                  </w:r>
                  <w:r>
                    <w:br/>
                  </w:r>
                  <w:r>
                    <w:rPr>
                      <w:rFonts w:ascii="仿宋_GB2312" w:hAnsi="仿宋_GB2312" w:cs="仿宋_GB2312" w:eastAsia="仿宋_GB2312"/>
                      <w:sz w:val="18"/>
                    </w:rPr>
                    <w:t>2、支持同异步播放，支持同步信号源和预存节目信息混合播放；</w:t>
                  </w:r>
                  <w:r>
                    <w:br/>
                  </w:r>
                  <w:r>
                    <w:rPr>
                      <w:rFonts w:ascii="仿宋_GB2312" w:hAnsi="仿宋_GB2312" w:cs="仿宋_GB2312" w:eastAsia="仿宋_GB2312"/>
                      <w:sz w:val="18"/>
                    </w:rPr>
                    <w:t>3、支持主流控制卡接入；</w:t>
                  </w:r>
                  <w:r>
                    <w:br/>
                  </w:r>
                  <w:r>
                    <w:rPr>
                      <w:rFonts w:ascii="仿宋_GB2312" w:hAnsi="仿宋_GB2312" w:cs="仿宋_GB2312" w:eastAsia="仿宋_GB2312"/>
                      <w:sz w:val="18"/>
                    </w:rPr>
                    <w:t>4、支持稳定、高速的控制器云端批量升级；</w:t>
                  </w:r>
                  <w:r>
                    <w:br/>
                  </w:r>
                  <w:r>
                    <w:rPr>
                      <w:rFonts w:ascii="仿宋_GB2312" w:hAnsi="仿宋_GB2312" w:cs="仿宋_GB2312" w:eastAsia="仿宋_GB2312"/>
                      <w:sz w:val="18"/>
                    </w:rPr>
                    <w:t>5、支持多种操作终端，手机、电脑、平板等多种设备均可使用；</w:t>
                  </w:r>
                  <w:r>
                    <w:br/>
                  </w:r>
                  <w:r>
                    <w:rPr>
                      <w:rFonts w:ascii="仿宋_GB2312" w:hAnsi="仿宋_GB2312" w:cs="仿宋_GB2312" w:eastAsia="仿宋_GB2312"/>
                      <w:sz w:val="18"/>
                    </w:rPr>
                    <w:t>6、支持自动发布任务，定时定点播放节目；</w:t>
                  </w:r>
                  <w:r>
                    <w:br/>
                  </w:r>
                  <w:r>
                    <w:rPr>
                      <w:rFonts w:ascii="仿宋_GB2312" w:hAnsi="仿宋_GB2312" w:cs="仿宋_GB2312" w:eastAsia="仿宋_GB2312"/>
                      <w:sz w:val="18"/>
                    </w:rPr>
                    <w:t>7、可视化节目编排，所见即所得，快速高效完成发布；</w:t>
                  </w:r>
                  <w:r>
                    <w:br/>
                  </w:r>
                  <w:r>
                    <w:rPr>
                      <w:rFonts w:ascii="仿宋_GB2312" w:hAnsi="仿宋_GB2312" w:cs="仿宋_GB2312" w:eastAsia="仿宋_GB2312"/>
                      <w:sz w:val="18"/>
                    </w:rPr>
                    <w:t>8、支持节目的预览功能；</w:t>
                  </w:r>
                  <w:r>
                    <w:br/>
                  </w:r>
                  <w:r>
                    <w:rPr>
                      <w:rFonts w:ascii="仿宋_GB2312" w:hAnsi="仿宋_GB2312" w:cs="仿宋_GB2312" w:eastAsia="仿宋_GB2312"/>
                      <w:sz w:val="18"/>
                    </w:rPr>
                    <w:t>9、支持屏幕实时截图功能；</w:t>
                  </w:r>
                  <w:r>
                    <w:br/>
                  </w:r>
                  <w:r>
                    <w:rPr>
                      <w:rFonts w:ascii="仿宋_GB2312" w:hAnsi="仿宋_GB2312" w:cs="仿宋_GB2312" w:eastAsia="仿宋_GB2312"/>
                      <w:sz w:val="18"/>
                    </w:rPr>
                    <w:t>10、支持摄像头快照，监控显示屏播放状态、内容以及显示屏周边环境；</w:t>
                  </w:r>
                  <w:r>
                    <w:br/>
                  </w:r>
                  <w:r>
                    <w:rPr>
                      <w:rFonts w:ascii="仿宋_GB2312" w:hAnsi="仿宋_GB2312" w:cs="仿宋_GB2312" w:eastAsia="仿宋_GB2312"/>
                      <w:sz w:val="18"/>
                    </w:rPr>
                    <w:t>11、屏幕数量和状态在云平台直观的展示；</w:t>
                  </w:r>
                  <w:r>
                    <w:br/>
                  </w:r>
                  <w:r>
                    <w:rPr>
                      <w:rFonts w:ascii="仿宋_GB2312" w:hAnsi="仿宋_GB2312" w:cs="仿宋_GB2312" w:eastAsia="仿宋_GB2312"/>
                      <w:sz w:val="18"/>
                    </w:rPr>
                    <w:t>12、支持自动生成播放日志功能；</w:t>
                  </w:r>
                  <w:r>
                    <w:br/>
                  </w:r>
                  <w:r>
                    <w:rPr>
                      <w:rFonts w:ascii="仿宋_GB2312" w:hAnsi="仿宋_GB2312" w:cs="仿宋_GB2312" w:eastAsia="仿宋_GB2312"/>
                      <w:sz w:val="18"/>
                    </w:rPr>
                    <w:t>13、企业用户可根据需要建立子账号，进行权限设置，实现更高效的显示屏分级管理，</w:t>
                  </w:r>
                  <w:r>
                    <w:br/>
                  </w:r>
                  <w:r>
                    <w:rPr>
                      <w:rFonts w:ascii="仿宋_GB2312" w:hAnsi="仿宋_GB2312" w:cs="仿宋_GB2312" w:eastAsia="仿宋_GB2312"/>
                      <w:sz w:val="18"/>
                    </w:rPr>
                    <w:t>14、支持节目审核功能，保障节目内容安全健康；</w:t>
                  </w:r>
                  <w:r>
                    <w:br/>
                  </w:r>
                  <w:r>
                    <w:rPr>
                      <w:rFonts w:ascii="仿宋_GB2312" w:hAnsi="仿宋_GB2312" w:cs="仿宋_GB2312" w:eastAsia="仿宋_GB2312"/>
                      <w:sz w:val="18"/>
                    </w:rPr>
                    <w:t>15、支持远程调节显示屏的工作参数，如显示屏亮度，不用抵达现场，即可随时随地解决问题；</w:t>
                  </w:r>
                  <w:r>
                    <w:br/>
                  </w:r>
                  <w:r>
                    <w:rPr>
                      <w:rFonts w:ascii="仿宋_GB2312" w:hAnsi="仿宋_GB2312" w:cs="仿宋_GB2312" w:eastAsia="仿宋_GB2312"/>
                      <w:sz w:val="18"/>
                    </w:rPr>
                    <w:t>16、支持自适应群发功能，在一定范围内支持节目自适应群发多种尺寸的屏幕；</w:t>
                  </w:r>
                  <w:r>
                    <w:br/>
                  </w:r>
                  <w:r>
                    <w:rPr>
                      <w:rFonts w:ascii="仿宋_GB2312" w:hAnsi="仿宋_GB2312" w:cs="仿宋_GB2312" w:eastAsia="仿宋_GB2312"/>
                      <w:sz w:val="18"/>
                    </w:rPr>
                    <w:t>17、支持IPCrema监看，监控LED屏播放状态、内容以及LED屏周边环境；</w:t>
                  </w:r>
                </w:p>
                <w:p>
                  <w:pPr>
                    <w:pStyle w:val="null3"/>
                    <w:jc w:val="left"/>
                  </w:pPr>
                  <w:r>
                    <w:rPr>
                      <w:rFonts w:ascii="仿宋_GB2312" w:hAnsi="仿宋_GB2312" w:cs="仿宋_GB2312" w:eastAsia="仿宋_GB2312"/>
                      <w:sz w:val="18"/>
                    </w:rPr>
                    <w:t>18、支持远程或本地。</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综合施工</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安装调试、综合布线、预埋等。</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9.22</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控制终端计算机</w:t>
                  </w:r>
                </w:p>
              </w:tc>
              <w:tc>
                <w:tcPr>
                  <w:tcW w:type="dxa" w:w="13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接入电脑或笔记本</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警示标识</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大小规格：</w:t>
                  </w:r>
                  <w:r>
                    <w:rPr>
                      <w:rFonts w:ascii="仿宋_GB2312" w:hAnsi="仿宋_GB2312" w:cs="仿宋_GB2312" w:eastAsia="仿宋_GB2312"/>
                      <w:sz w:val="18"/>
                    </w:rPr>
                    <w:t>≥60cm×90cm,铁皮材质，底喷蓝色户外漆、警示标识内容喷白色字</w:t>
                  </w:r>
                  <w:r>
                    <w:rPr>
                      <w:rFonts w:ascii="仿宋_GB2312" w:hAnsi="仿宋_GB2312" w:cs="仿宋_GB2312" w:eastAsia="仿宋_GB2312"/>
                      <w:sz w:val="18"/>
                    </w:rPr>
                    <w:t>，内容另行提供</w:t>
                  </w:r>
                  <w:r>
                    <w:rPr>
                      <w:rFonts w:ascii="仿宋_GB2312" w:hAnsi="仿宋_GB2312" w:cs="仿宋_GB2312" w:eastAsia="仿宋_GB2312"/>
                      <w:sz w:val="18"/>
                    </w:rPr>
                    <w:t>。</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防火马甲</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红马甲、喷彩色森林防火标识。</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便携式森林消防水泵</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符合</w:t>
                  </w:r>
                  <w:r>
                    <w:rPr>
                      <w:rFonts w:ascii="仿宋_GB2312" w:hAnsi="仿宋_GB2312" w:cs="仿宋_GB2312" w:eastAsia="仿宋_GB2312"/>
                      <w:sz w:val="18"/>
                    </w:rPr>
                    <w:t>GB 6245-2006《消防泵》或 GB/T 24673-2021《小型汽油机直连离心泵机组》标准要求。</w:t>
                  </w:r>
                </w:p>
                <w:p>
                  <w:pPr>
                    <w:pStyle w:val="null3"/>
                    <w:jc w:val="left"/>
                  </w:pPr>
                  <w:r>
                    <w:rPr>
                      <w:rFonts w:ascii="仿宋_GB2312" w:hAnsi="仿宋_GB2312" w:cs="仿宋_GB2312" w:eastAsia="仿宋_GB2312"/>
                      <w:sz w:val="18"/>
                    </w:rPr>
                    <w:t>1、发动机型式:单缸二冲程强制水冷和自然风冷混合冷却式发动机，发动机排量≥160cc。</w:t>
                  </w:r>
                </w:p>
                <w:p>
                  <w:pPr>
                    <w:pStyle w:val="null3"/>
                    <w:jc w:val="left"/>
                  </w:pPr>
                  <w:r>
                    <w:rPr>
                      <w:rFonts w:ascii="仿宋_GB2312" w:hAnsi="仿宋_GB2312" w:cs="仿宋_GB2312" w:eastAsia="仿宋_GB2312"/>
                      <w:sz w:val="18"/>
                    </w:rPr>
                    <w:t>2、发动机转速≥13000 r/min，功率≥23HP。</w:t>
                  </w:r>
                </w:p>
                <w:p>
                  <w:pPr>
                    <w:pStyle w:val="null3"/>
                    <w:jc w:val="left"/>
                  </w:pPr>
                  <w:r>
                    <w:rPr>
                      <w:rFonts w:ascii="仿宋_GB2312" w:hAnsi="仿宋_GB2312" w:cs="仿宋_GB2312" w:eastAsia="仿宋_GB2312"/>
                      <w:sz w:val="18"/>
                    </w:rPr>
                    <w:t>3、最大吸深≥7m。</w:t>
                  </w:r>
                </w:p>
                <w:p>
                  <w:pPr>
                    <w:pStyle w:val="null3"/>
                    <w:jc w:val="left"/>
                  </w:pPr>
                  <w:r>
                    <w:rPr>
                      <w:rFonts w:ascii="仿宋_GB2312" w:hAnsi="仿宋_GB2312" w:cs="仿宋_GB2312" w:eastAsia="仿宋_GB2312"/>
                      <w:sz w:val="18"/>
                    </w:rPr>
                    <w:t>4、最大射程≥35米。</w:t>
                  </w:r>
                </w:p>
                <w:p>
                  <w:pPr>
                    <w:pStyle w:val="null3"/>
                    <w:jc w:val="left"/>
                  </w:pPr>
                  <w:r>
                    <w:rPr>
                      <w:rFonts w:ascii="仿宋_GB2312" w:hAnsi="仿宋_GB2312" w:cs="仿宋_GB2312" w:eastAsia="仿宋_GB2312"/>
                      <w:sz w:val="18"/>
                    </w:rPr>
                    <w:t>5、最大扬程≥400米，</w:t>
                  </w:r>
                </w:p>
                <w:p>
                  <w:pPr>
                    <w:pStyle w:val="null3"/>
                    <w:jc w:val="left"/>
                  </w:pPr>
                  <w:r>
                    <w:rPr>
                      <w:rFonts w:ascii="仿宋_GB2312" w:hAnsi="仿宋_GB2312" w:cs="仿宋_GB2312" w:eastAsia="仿宋_GB2312"/>
                      <w:sz w:val="21"/>
                    </w:rPr>
                    <w:t>▲</w:t>
                  </w:r>
                  <w:r>
                    <w:rPr>
                      <w:rFonts w:ascii="仿宋_GB2312" w:hAnsi="仿宋_GB2312" w:cs="仿宋_GB2312" w:eastAsia="仿宋_GB2312"/>
                      <w:sz w:val="18"/>
                    </w:rPr>
                    <w:t>6、最大流量≥310L/min。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18"/>
                    </w:rPr>
                    <w:t>7、最大压力≥3.4MPa;</w:t>
                  </w:r>
                </w:p>
                <w:p>
                  <w:pPr>
                    <w:pStyle w:val="null3"/>
                    <w:jc w:val="left"/>
                  </w:pPr>
                  <w:r>
                    <w:rPr>
                      <w:rFonts w:ascii="仿宋_GB2312" w:hAnsi="仿宋_GB2312" w:cs="仿宋_GB2312" w:eastAsia="仿宋_GB2312"/>
                      <w:sz w:val="18"/>
                    </w:rPr>
                    <w:t>8、启动方式:手动启动和电启动方式。</w:t>
                  </w:r>
                </w:p>
                <w:p>
                  <w:pPr>
                    <w:pStyle w:val="null3"/>
                    <w:jc w:val="left"/>
                  </w:pPr>
                  <w:r>
                    <w:rPr>
                      <w:rFonts w:ascii="仿宋_GB2312" w:hAnsi="仿宋_GB2312" w:cs="仿宋_GB2312" w:eastAsia="仿宋_GB2312"/>
                      <w:sz w:val="18"/>
                    </w:rPr>
                    <w:t>9、主机净质量≤15kg:</w:t>
                  </w:r>
                </w:p>
                <w:p>
                  <w:pPr>
                    <w:pStyle w:val="null3"/>
                    <w:jc w:val="left"/>
                  </w:pPr>
                  <w:r>
                    <w:rPr>
                      <w:rFonts w:ascii="仿宋_GB2312" w:hAnsi="仿宋_GB2312" w:cs="仿宋_GB2312" w:eastAsia="仿宋_GB2312"/>
                      <w:sz w:val="18"/>
                    </w:rPr>
                    <w:t>10、水泵之间可串联、并联，以达到更远距离输水灭火。</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油锯</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1、发动机:环保≥2冲程发动机；</w:t>
                  </w:r>
                  <w:r>
                    <w:br/>
                  </w:r>
                  <w:r>
                    <w:rPr>
                      <w:rFonts w:ascii="仿宋_GB2312" w:hAnsi="仿宋_GB2312" w:cs="仿宋_GB2312" w:eastAsia="仿宋_GB2312"/>
                      <w:sz w:val="18"/>
                    </w:rPr>
                    <w:t>2、发动机符合国‖排放标准；</w:t>
                  </w:r>
                  <w:r>
                    <w:br/>
                  </w:r>
                  <w:r>
                    <w:rPr>
                      <w:rFonts w:ascii="仿宋_GB2312" w:hAnsi="仿宋_GB2312" w:cs="仿宋_GB2312" w:eastAsia="仿宋_GB2312"/>
                      <w:sz w:val="18"/>
                    </w:rPr>
                    <w:t>3、气缸排量≥70.0cm</w:t>
                  </w:r>
                  <w:r>
                    <w:rPr>
                      <w:rFonts w:ascii="仿宋_GB2312" w:hAnsi="仿宋_GB2312" w:cs="仿宋_GB2312" w:eastAsia="仿宋_GB2312"/>
                      <w:sz w:val="18"/>
                    </w:rPr>
                    <w:t>³</w:t>
                  </w:r>
                  <w:r>
                    <w:rPr>
                      <w:rFonts w:ascii="仿宋_GB2312" w:hAnsi="仿宋_GB2312" w:cs="仿宋_GB2312" w:eastAsia="仿宋_GB2312"/>
                      <w:sz w:val="18"/>
                    </w:rPr>
                    <w:t>；</w:t>
                  </w:r>
                  <w:r>
                    <w:br/>
                  </w:r>
                  <w:r>
                    <w:rPr>
                      <w:rFonts w:ascii="仿宋_GB2312" w:hAnsi="仿宋_GB2312" w:cs="仿宋_GB2312" w:eastAsia="仿宋_GB2312"/>
                      <w:sz w:val="21"/>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重量</w:t>
                  </w:r>
                  <w:r>
                    <w:rPr>
                      <w:rFonts w:ascii="仿宋_GB2312" w:hAnsi="仿宋_GB2312" w:cs="仿宋_GB2312" w:eastAsia="仿宋_GB2312"/>
                      <w:sz w:val="18"/>
                    </w:rPr>
                    <w:t>≤8.0Kg；</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主机比重量</w:t>
                  </w:r>
                  <w:r>
                    <w:rPr>
                      <w:rFonts w:ascii="仿宋_GB2312" w:hAnsi="仿宋_GB2312" w:cs="仿宋_GB2312" w:eastAsia="仿宋_GB2312"/>
                      <w:sz w:val="18"/>
                    </w:rPr>
                    <w:t>≤2.1Kg/Kw；</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导板长度</w:t>
                  </w:r>
                  <w:r>
                    <w:rPr>
                      <w:rFonts w:ascii="仿宋_GB2312" w:hAnsi="仿宋_GB2312" w:cs="仿宋_GB2312" w:eastAsia="仿宋_GB2312"/>
                      <w:sz w:val="18"/>
                    </w:rPr>
                    <w:t>:≥20”；</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耳旁噪音：怠速</w:t>
                  </w:r>
                  <w:r>
                    <w:rPr>
                      <w:rFonts w:ascii="仿宋_GB2312" w:hAnsi="仿宋_GB2312" w:cs="仿宋_GB2312" w:eastAsia="仿宋_GB2312"/>
                      <w:sz w:val="18"/>
                    </w:rPr>
                    <w:t>≤85dB(A)，满负荷≤105dB(A)；</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发动机最低燃油消耗率</w:t>
                  </w:r>
                  <w:r>
                    <w:rPr>
                      <w:rFonts w:ascii="仿宋_GB2312" w:hAnsi="仿宋_GB2312" w:cs="仿宋_GB2312" w:eastAsia="仿宋_GB2312"/>
                      <w:sz w:val="18"/>
                    </w:rPr>
                    <w:t>:≤540g/kw.h；</w:t>
                  </w:r>
                  <w:r>
                    <w:br/>
                  </w:r>
                  <w:r>
                    <w:rPr>
                      <w:rFonts w:ascii="仿宋_GB2312" w:hAnsi="仿宋_GB2312" w:cs="仿宋_GB2312" w:eastAsia="仿宋_GB2312"/>
                      <w:sz w:val="21"/>
                    </w:rPr>
                    <w:t>▲</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锯切效率</w:t>
                  </w:r>
                  <w:r>
                    <w:rPr>
                      <w:rFonts w:ascii="仿宋_GB2312" w:hAnsi="仿宋_GB2312" w:cs="仿宋_GB2312" w:eastAsia="仿宋_GB2312"/>
                      <w:sz w:val="18"/>
                    </w:rPr>
                    <w:t>≥60 cm</w:t>
                  </w:r>
                  <w:r>
                    <w:rPr>
                      <w:rFonts w:ascii="仿宋_GB2312" w:hAnsi="仿宋_GB2312" w:cs="仿宋_GB2312" w:eastAsia="仿宋_GB2312"/>
                      <w:sz w:val="18"/>
                    </w:rPr>
                    <w:t>²</w:t>
                  </w:r>
                  <w:r>
                    <w:rPr>
                      <w:rFonts w:ascii="仿宋_GB2312" w:hAnsi="仿宋_GB2312" w:cs="仿宋_GB2312" w:eastAsia="仿宋_GB2312"/>
                      <w:sz w:val="18"/>
                    </w:rPr>
                    <w:t>/s；</w:t>
                  </w:r>
                  <w:r>
                    <w:br/>
                  </w:r>
                  <w:r>
                    <w:rPr>
                      <w:rFonts w:ascii="仿宋_GB2312" w:hAnsi="仿宋_GB2312" w:cs="仿宋_GB2312" w:eastAsia="仿宋_GB2312"/>
                      <w:sz w:val="21"/>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锯切燃油消耗率</w:t>
                  </w:r>
                  <w:r>
                    <w:rPr>
                      <w:rFonts w:ascii="仿宋_GB2312" w:hAnsi="仿宋_GB2312" w:cs="仿宋_GB2312" w:eastAsia="仿宋_GB2312"/>
                      <w:sz w:val="18"/>
                    </w:rPr>
                    <w:t>≤80g/m</w:t>
                  </w:r>
                  <w:r>
                    <w:rPr>
                      <w:rFonts w:ascii="仿宋_GB2312" w:hAnsi="仿宋_GB2312" w:cs="仿宋_GB2312" w:eastAsia="仿宋_GB2312"/>
                      <w:sz w:val="18"/>
                    </w:rPr>
                    <w:t>²</w:t>
                  </w:r>
                  <w:r>
                    <w:rPr>
                      <w:rFonts w:ascii="仿宋_GB2312" w:hAnsi="仿宋_GB2312" w:cs="仿宋_GB2312" w:eastAsia="仿宋_GB2312"/>
                      <w:sz w:val="18"/>
                    </w:rPr>
                    <w:t>；手感振动</w:t>
                  </w:r>
                  <w:r>
                    <w:rPr>
                      <w:rFonts w:ascii="仿宋_GB2312" w:hAnsi="仿宋_GB2312" w:cs="仿宋_GB2312" w:eastAsia="仿宋_GB2312"/>
                      <w:sz w:val="18"/>
                    </w:rPr>
                    <w:t>≤10m/s</w:t>
                  </w:r>
                  <w:r>
                    <w:rPr>
                      <w:rFonts w:ascii="仿宋_GB2312" w:hAnsi="仿宋_GB2312" w:cs="仿宋_GB2312" w:eastAsia="仿宋_GB2312"/>
                      <w:sz w:val="18"/>
                    </w:rPr>
                    <w:t>²</w:t>
                  </w:r>
                  <w:r>
                    <w:rPr>
                      <w:rFonts w:ascii="仿宋_GB2312" w:hAnsi="仿宋_GB2312" w:cs="仿宋_GB2312" w:eastAsia="仿宋_GB2312"/>
                      <w:sz w:val="18"/>
                    </w:rPr>
                    <w:t>；</w:t>
                  </w:r>
                  <w:r>
                    <w:br/>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常温启动性能</w:t>
                  </w:r>
                  <w:r>
                    <w:rPr>
                      <w:rFonts w:ascii="仿宋_GB2312" w:hAnsi="仿宋_GB2312" w:cs="仿宋_GB2312" w:eastAsia="仿宋_GB2312"/>
                      <w:sz w:val="18"/>
                    </w:rPr>
                    <w:t>≤10s；</w:t>
                  </w:r>
                  <w:r>
                    <w:br/>
                  </w: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发动机额定净功率</w:t>
                  </w:r>
                  <w:r>
                    <w:rPr>
                      <w:rFonts w:ascii="仿宋_GB2312" w:hAnsi="仿宋_GB2312" w:cs="仿宋_GB2312" w:eastAsia="仿宋_GB2312"/>
                      <w:sz w:val="18"/>
                    </w:rPr>
                    <w:t>≥3.8kw/9000 r/min；</w:t>
                  </w:r>
                  <w:r>
                    <w:br/>
                  </w: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配备启动器</w:t>
                  </w:r>
                  <w:r>
                    <w:rPr>
                      <w:rFonts w:ascii="仿宋_GB2312" w:hAnsi="仿宋_GB2312" w:cs="仿宋_GB2312" w:eastAsia="仿宋_GB2312"/>
                      <w:sz w:val="18"/>
                    </w:rPr>
                    <w:t>1个，链条2根，拉线2根，工具包一套；</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防火服（含衣服、头盔、防火靴、手套、腰带）</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防火服</w:t>
                  </w:r>
                </w:p>
                <w:p>
                  <w:pPr>
                    <w:pStyle w:val="null3"/>
                    <w:jc w:val="left"/>
                  </w:pPr>
                  <w:r>
                    <w:rPr>
                      <w:rFonts w:ascii="仿宋_GB2312" w:hAnsi="仿宋_GB2312" w:cs="仿宋_GB2312" w:eastAsia="仿宋_GB2312"/>
                      <w:sz w:val="18"/>
                    </w:rPr>
                    <w:t>1、防火服面料颜色为桔红色，符合国际标准色卡潘通色卡，色号值为16-1462TPX，色差&lt;3.5。</w:t>
                  </w:r>
                </w:p>
                <w:p>
                  <w:pPr>
                    <w:pStyle w:val="null3"/>
                    <w:jc w:val="left"/>
                  </w:pPr>
                  <w:r>
                    <w:rPr>
                      <w:rFonts w:ascii="仿宋_GB2312" w:hAnsi="仿宋_GB2312" w:cs="仿宋_GB2312" w:eastAsia="仿宋_GB2312"/>
                      <w:sz w:val="18"/>
                    </w:rPr>
                    <w:t>2、防火服面料采用芳纶克重≤210g/</w:t>
                  </w:r>
                  <w:r>
                    <w:rPr>
                      <w:rFonts w:ascii="仿宋_GB2312" w:hAnsi="仿宋_GB2312" w:cs="仿宋_GB2312" w:eastAsia="仿宋_GB2312"/>
                      <w:sz w:val="18"/>
                    </w:rPr>
                    <w:t>㎡</w:t>
                  </w:r>
                  <w:r>
                    <w:rPr>
                      <w:rFonts w:ascii="仿宋_GB2312" w:hAnsi="仿宋_GB2312" w:cs="仿宋_GB2312" w:eastAsia="仿宋_GB2312"/>
                      <w:sz w:val="18"/>
                    </w:rPr>
                    <w:t>，具有阻燃、防火等功能，面料纤维含量为芳纶</w:t>
                  </w:r>
                  <w:r>
                    <w:rPr>
                      <w:rFonts w:ascii="仿宋_GB2312" w:hAnsi="仿宋_GB2312" w:cs="仿宋_GB2312" w:eastAsia="仿宋_GB2312"/>
                      <w:sz w:val="18"/>
                    </w:rPr>
                    <w:t>100%。</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外观质量及性能参数满足国家最新森林防火服标准</w:t>
                  </w:r>
                  <w:r>
                    <w:rPr>
                      <w:rFonts w:ascii="仿宋_GB2312" w:hAnsi="仿宋_GB2312" w:cs="仿宋_GB2312" w:eastAsia="仿宋_GB2312"/>
                      <w:sz w:val="18"/>
                    </w:rPr>
                    <w:t>GB/T 33536-2017要求。</w:t>
                  </w:r>
                </w:p>
                <w:p>
                  <w:pPr>
                    <w:pStyle w:val="null3"/>
                    <w:jc w:val="left"/>
                  </w:pPr>
                  <w:r>
                    <w:rPr>
                      <w:rFonts w:ascii="仿宋_GB2312" w:hAnsi="仿宋_GB2312" w:cs="仿宋_GB2312" w:eastAsia="仿宋_GB2312"/>
                      <w:sz w:val="18"/>
                      <w:b/>
                    </w:rPr>
                    <w:t>防火头盔</w:t>
                  </w:r>
                </w:p>
                <w:p>
                  <w:pPr>
                    <w:pStyle w:val="null3"/>
                    <w:jc w:val="left"/>
                  </w:pPr>
                  <w:r>
                    <w:rPr>
                      <w:rFonts w:ascii="仿宋_GB2312" w:hAnsi="仿宋_GB2312" w:cs="仿宋_GB2312" w:eastAsia="仿宋_GB2312"/>
                      <w:sz w:val="18"/>
                    </w:rPr>
                    <w:t>1、头盔组成:由帽壳、帽箍、帽托、缓冲层、下颏带等组成；</w:t>
                  </w:r>
                </w:p>
                <w:p>
                  <w:pPr>
                    <w:pStyle w:val="null3"/>
                    <w:jc w:val="left"/>
                  </w:pPr>
                  <w:r>
                    <w:rPr>
                      <w:rFonts w:ascii="仿宋_GB2312" w:hAnsi="仿宋_GB2312" w:cs="仿宋_GB2312" w:eastAsia="仿宋_GB2312"/>
                      <w:sz w:val="18"/>
                    </w:rPr>
                    <w:t>2、海绵垫片:佩戴更加舒适；顶带:保持帽壳的浮动，以便分散冲击；透气缓冲网布:减少坠物冲击且更透气；下颚带:保持头盔的状态与位置；帽壳:承受打击，使坠物与人体隔开；头箍调节器:使头盔更加适合自己的头型固定；</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、专为多种户外作业而设计</w:t>
                  </w:r>
                  <w:r>
                    <w:rPr>
                      <w:rFonts w:ascii="仿宋_GB2312" w:hAnsi="仿宋_GB2312" w:cs="仿宋_GB2312" w:eastAsia="仿宋_GB2312"/>
                      <w:sz w:val="18"/>
                    </w:rPr>
                    <w:t>:森林消防、交通事故救援、搜寻救援、陡峭面/山地救援、化学泄露事故救援；</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、头盔里衬可调节适合各种头型</w:t>
                  </w:r>
                  <w:r>
                    <w:rPr>
                      <w:rFonts w:ascii="仿宋_GB2312" w:hAnsi="仿宋_GB2312" w:cs="仿宋_GB2312" w:eastAsia="仿宋_GB2312"/>
                      <w:sz w:val="18"/>
                    </w:rPr>
                    <w:t>:内衬旋钮式设计可方便调节头盔的大小以适合不同的头型佩带；</w:t>
                  </w:r>
                </w:p>
                <w:p>
                  <w:pPr>
                    <w:pStyle w:val="null3"/>
                    <w:jc w:val="left"/>
                  </w:pPr>
                  <w:r>
                    <w:rPr>
                      <w:rFonts w:ascii="仿宋_GB2312" w:hAnsi="仿宋_GB2312" w:cs="仿宋_GB2312" w:eastAsia="仿宋_GB2312"/>
                      <w:sz w:val="18"/>
                    </w:rPr>
                    <w:t>5、头盔配置专用护目镜。</w:t>
                  </w:r>
                </w:p>
                <w:p>
                  <w:pPr>
                    <w:pStyle w:val="null3"/>
                    <w:jc w:val="left"/>
                  </w:pPr>
                  <w:r>
                    <w:rPr>
                      <w:rFonts w:ascii="仿宋_GB2312" w:hAnsi="仿宋_GB2312" w:cs="仿宋_GB2312" w:eastAsia="仿宋_GB2312"/>
                      <w:sz w:val="18"/>
                      <w:b/>
                    </w:rPr>
                    <w:t>防火靴</w:t>
                  </w:r>
                </w:p>
                <w:p>
                  <w:pPr>
                    <w:pStyle w:val="null3"/>
                    <w:jc w:val="left"/>
                  </w:pPr>
                  <w:r>
                    <w:rPr>
                      <w:rFonts w:ascii="仿宋_GB2312" w:hAnsi="仿宋_GB2312" w:cs="仿宋_GB2312" w:eastAsia="仿宋_GB2312"/>
                      <w:sz w:val="18"/>
                    </w:rPr>
                    <w:t>1、材质：反绒牛皮、阻燃帆布、非金属高密度网膜、阻燃橡胶大底；颜色：沙色+迷彩；</w:t>
                  </w:r>
                </w:p>
                <w:p>
                  <w:pPr>
                    <w:pStyle w:val="null3"/>
                    <w:jc w:val="left"/>
                  </w:pPr>
                  <w:r>
                    <w:rPr>
                      <w:rFonts w:ascii="仿宋_GB2312" w:hAnsi="仿宋_GB2312" w:cs="仿宋_GB2312" w:eastAsia="仿宋_GB2312"/>
                      <w:sz w:val="18"/>
                    </w:rPr>
                    <w:t>2、扑火靴高帮设计，鞋帮高≥180mm，帽舌与鞋帮面一体设计，可防止灰尘、火星进入；</w:t>
                  </w:r>
                </w:p>
                <w:p>
                  <w:pPr>
                    <w:pStyle w:val="null3"/>
                    <w:jc w:val="left"/>
                  </w:pPr>
                  <w:r>
                    <w:rPr>
                      <w:rFonts w:ascii="仿宋_GB2312" w:hAnsi="仿宋_GB2312" w:cs="仿宋_GB2312" w:eastAsia="仿宋_GB2312"/>
                      <w:sz w:val="18"/>
                    </w:rPr>
                    <w:t>3、棉质针织鞋带，阻燃且柔韧耐磨，对穿孔迅速收紧固定鞋面，整体美观，穿着舒适；</w:t>
                  </w:r>
                </w:p>
                <w:p>
                  <w:pPr>
                    <w:pStyle w:val="null3"/>
                    <w:jc w:val="left"/>
                  </w:pPr>
                  <w:r>
                    <w:rPr>
                      <w:rFonts w:ascii="仿宋_GB2312" w:hAnsi="仿宋_GB2312" w:cs="仿宋_GB2312" w:eastAsia="仿宋_GB2312"/>
                      <w:sz w:val="18"/>
                    </w:rPr>
                    <w:t>4、内衬吸汗排汗，透气干爽，鞋帮鞋底粘连缝扎牢固；</w:t>
                  </w:r>
                </w:p>
                <w:p>
                  <w:pPr>
                    <w:pStyle w:val="null3"/>
                    <w:jc w:val="left"/>
                  </w:pPr>
                  <w:r>
                    <w:rPr>
                      <w:rFonts w:ascii="仿宋_GB2312" w:hAnsi="仿宋_GB2312" w:cs="仿宋_GB2312" w:eastAsia="仿宋_GB2312"/>
                      <w:sz w:val="18"/>
                    </w:rPr>
                    <w:t>5、防火靴前端内嵌欧标钢制包头防砸设计，鞋底采用优质橡胶内嵌防穿刺非金属网膜制做；</w:t>
                  </w:r>
                </w:p>
                <w:p>
                  <w:pPr>
                    <w:pStyle w:val="null3"/>
                    <w:jc w:val="left"/>
                  </w:pPr>
                  <w:r>
                    <w:rPr>
                      <w:rFonts w:ascii="仿宋_GB2312" w:hAnsi="仿宋_GB2312" w:cs="仿宋_GB2312" w:eastAsia="仿宋_GB2312"/>
                      <w:sz w:val="18"/>
                    </w:rPr>
                    <w:t>6、鞋帮两侧配有银色反光条，外侧配有“中国森林防火”徽标。</w:t>
                  </w:r>
                </w:p>
                <w:p>
                  <w:pPr>
                    <w:pStyle w:val="null3"/>
                    <w:jc w:val="left"/>
                  </w:pPr>
                  <w:r>
                    <w:rPr>
                      <w:rFonts w:ascii="仿宋_GB2312" w:hAnsi="仿宋_GB2312" w:cs="仿宋_GB2312" w:eastAsia="仿宋_GB2312"/>
                      <w:sz w:val="18"/>
                      <w:b/>
                    </w:rPr>
                    <w:t>防火手套</w:t>
                  </w:r>
                </w:p>
                <w:p>
                  <w:pPr>
                    <w:pStyle w:val="null3"/>
                    <w:jc w:val="left"/>
                  </w:pPr>
                  <w:r>
                    <w:rPr>
                      <w:rFonts w:ascii="仿宋_GB2312" w:hAnsi="仿宋_GB2312" w:cs="仿宋_GB2312" w:eastAsia="仿宋_GB2312"/>
                      <w:sz w:val="18"/>
                    </w:rPr>
                    <w:t>1、符合XF 7-2004《消防手套》标准规定，手套符合阻燃和人体工效的要求，手套级别为二类；</w:t>
                  </w:r>
                </w:p>
                <w:p>
                  <w:pPr>
                    <w:pStyle w:val="null3"/>
                    <w:jc w:val="left"/>
                  </w:pPr>
                  <w:r>
                    <w:rPr>
                      <w:rFonts w:ascii="仿宋_GB2312" w:hAnsi="仿宋_GB2312" w:cs="仿宋_GB2312" w:eastAsia="仿宋_GB2312"/>
                      <w:sz w:val="18"/>
                    </w:rPr>
                    <w:t>2、阻燃性能：手套外层：续燃时间（s）:径向≤0，纬向≤0；阴燃时间（s）:径向≤1，纬向≤1；损毁长度（mm）:径向≤46，纬向≤43;无熔融、滴落现象手套隔热层：续燃时间（s）:径向≤0，纬向≤0；阴燃时间（s）:径向≤1，纬向≤1；损毁长度（mm）:径向≤43，纬向≤42;无熔融、滴落现象；</w:t>
                  </w:r>
                </w:p>
                <w:p>
                  <w:pPr>
                    <w:pStyle w:val="null3"/>
                    <w:jc w:val="left"/>
                  </w:pPr>
                  <w:r>
                    <w:rPr>
                      <w:rFonts w:ascii="仿宋_GB2312" w:hAnsi="仿宋_GB2312" w:cs="仿宋_GB2312" w:eastAsia="仿宋_GB2312"/>
                      <w:sz w:val="18"/>
                    </w:rPr>
                    <w:t>3、整体热防护性能手套本体组合材料（cal/cm</w:t>
                  </w:r>
                  <w:r>
                    <w:rPr>
                      <w:rFonts w:ascii="仿宋_GB2312" w:hAnsi="仿宋_GB2312" w:cs="仿宋_GB2312" w:eastAsia="仿宋_GB2312"/>
                      <w:sz w:val="18"/>
                    </w:rPr>
                    <w:t>²</w:t>
                  </w:r>
                  <w:r>
                    <w:rPr>
                      <w:rFonts w:ascii="仿宋_GB2312" w:hAnsi="仿宋_GB2312" w:cs="仿宋_GB2312" w:eastAsia="仿宋_GB2312"/>
                      <w:sz w:val="18"/>
                    </w:rPr>
                    <w:t>）：类别：二，</w:t>
                  </w:r>
                  <w:r>
                    <w:rPr>
                      <w:rFonts w:ascii="仿宋_GB2312" w:hAnsi="仿宋_GB2312" w:cs="仿宋_GB2312" w:eastAsia="仿宋_GB2312"/>
                      <w:sz w:val="18"/>
                    </w:rPr>
                    <w:t>TPP值：≥33.0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耐热性能：收缩率：手套：长方向</w:t>
                  </w:r>
                  <w:r>
                    <w:rPr>
                      <w:rFonts w:ascii="仿宋_GB2312" w:hAnsi="仿宋_GB2312" w:cs="仿宋_GB2312" w:eastAsia="仿宋_GB2312"/>
                      <w:sz w:val="18"/>
                    </w:rPr>
                    <w:t>≤0.9%，宽方向≤1.5%；衬里：径向≤1.0%，纬向≤1.0%；且手套和衬里经180°高温5min后，试样表面无明显变化，且无熔融、脱离和燃烧现象</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5、耐磨性能：掌心面：在9kpa压力下，掌心面材料经2000次循环摩擦后，试样未被磨穿背面外层：在9kpa压力下，掌心面材料经2000次循环摩擦后，试样未被摩穿；</w:t>
                  </w:r>
                </w:p>
                <w:p>
                  <w:pPr>
                    <w:pStyle w:val="null3"/>
                    <w:jc w:val="left"/>
                  </w:pPr>
                  <w:r>
                    <w:rPr>
                      <w:rFonts w:ascii="仿宋_GB2312" w:hAnsi="仿宋_GB2312" w:cs="仿宋_GB2312" w:eastAsia="仿宋_GB2312"/>
                      <w:sz w:val="18"/>
                    </w:rPr>
                    <w:t>6、耐切割性能（割破力）：掌心面≥12.4N;背面外层≥11.4N；</w:t>
                  </w:r>
                </w:p>
                <w:p>
                  <w:pPr>
                    <w:pStyle w:val="null3"/>
                    <w:jc w:val="left"/>
                  </w:pPr>
                  <w:r>
                    <w:rPr>
                      <w:rFonts w:ascii="仿宋_GB2312" w:hAnsi="仿宋_GB2312" w:cs="仿宋_GB2312" w:eastAsia="仿宋_GB2312"/>
                      <w:sz w:val="18"/>
                    </w:rPr>
                    <w:t>7、耐撕破性能：掌心面：径向≥320N,纬向≥250N背面外层：径向≥100N,纬向≥92N；</w:t>
                  </w:r>
                </w:p>
                <w:p>
                  <w:pPr>
                    <w:pStyle w:val="null3"/>
                    <w:jc w:val="left"/>
                  </w:pPr>
                  <w:r>
                    <w:rPr>
                      <w:rFonts w:ascii="仿宋_GB2312" w:hAnsi="仿宋_GB2312" w:cs="仿宋_GB2312" w:eastAsia="仿宋_GB2312"/>
                      <w:sz w:val="18"/>
                    </w:rPr>
                    <w:t>8、耐机械刺穿性能：掌心面≥106N,背面外层≥62N；</w:t>
                  </w:r>
                </w:p>
                <w:p>
                  <w:pPr>
                    <w:pStyle w:val="null3"/>
                    <w:jc w:val="left"/>
                  </w:pPr>
                  <w:r>
                    <w:rPr>
                      <w:rFonts w:ascii="仿宋_GB2312" w:hAnsi="仿宋_GB2312" w:cs="仿宋_GB2312" w:eastAsia="仿宋_GB2312"/>
                      <w:sz w:val="18"/>
                    </w:rPr>
                    <w:t>9、标签清晰度：手套标签上的文字和图形清晰可见；</w:t>
                  </w:r>
                </w:p>
                <w:p>
                  <w:pPr>
                    <w:pStyle w:val="null3"/>
                    <w:jc w:val="left"/>
                  </w:pPr>
                  <w:r>
                    <w:rPr>
                      <w:rFonts w:ascii="仿宋_GB2312" w:hAnsi="仿宋_GB2312" w:cs="仿宋_GB2312" w:eastAsia="仿宋_GB2312"/>
                      <w:sz w:val="18"/>
                    </w:rPr>
                    <w:t>10、灵巧性能/级：灵巧性能满足GA 7-2004中规定的3级要求（最小测试棒的直径：8.0mm）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握紧性能：戴手套与未戴手套的拉重比≥101%</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穿戴性能：手套的穿戴时间≤7.9s。</w:t>
                  </w:r>
                </w:p>
                <w:p>
                  <w:pPr>
                    <w:pStyle w:val="null3"/>
                    <w:jc w:val="left"/>
                  </w:pPr>
                  <w:r>
                    <w:rPr>
                      <w:rFonts w:ascii="仿宋_GB2312" w:hAnsi="仿宋_GB2312" w:cs="仿宋_GB2312" w:eastAsia="仿宋_GB2312"/>
                      <w:sz w:val="18"/>
                      <w:b/>
                    </w:rPr>
                    <w:t>腰带</w:t>
                  </w:r>
                </w:p>
                <w:p>
                  <w:pPr>
                    <w:pStyle w:val="null3"/>
                    <w:jc w:val="left"/>
                  </w:pPr>
                  <w:r>
                    <w:rPr>
                      <w:rFonts w:ascii="仿宋_GB2312" w:hAnsi="仿宋_GB2312" w:cs="仿宋_GB2312" w:eastAsia="仿宋_GB2312"/>
                      <w:sz w:val="18"/>
                    </w:rPr>
                    <w:t>1、符合XF494-2004、JB/T 8521.1-2007、GB 5725-20091.金属零件的耐腐蚀性能：试样经48 h中性盐雾试验后，外观符合GB/T 6461-2002外观等级评定的轻微级的要求；</w:t>
                  </w:r>
                </w:p>
                <w:p>
                  <w:pPr>
                    <w:pStyle w:val="null3"/>
                    <w:jc w:val="left"/>
                  </w:pPr>
                  <w:r>
                    <w:rPr>
                      <w:rFonts w:ascii="仿宋_GB2312" w:hAnsi="仿宋_GB2312" w:cs="仿宋_GB2312" w:eastAsia="仿宋_GB2312"/>
                      <w:sz w:val="18"/>
                    </w:rPr>
                    <w:t>2、破断力≥6.6kN (中部断裂)；</w:t>
                  </w:r>
                </w:p>
                <w:p>
                  <w:pPr>
                    <w:pStyle w:val="null3"/>
                    <w:jc w:val="left"/>
                  </w:pPr>
                  <w:r>
                    <w:rPr>
                      <w:rFonts w:ascii="仿宋_GB2312" w:hAnsi="仿宋_GB2312" w:cs="仿宋_GB2312" w:eastAsia="仿宋_GB2312"/>
                      <w:sz w:val="18"/>
                    </w:rPr>
                    <w:t>3、阻燃性能：纵向：续燃时间(s)：0s，阴燃时间(s)：0s ；横向：续燃时间(s)：0s，阴燃时间(s)：0s。</w:t>
                  </w:r>
                </w:p>
              </w:tc>
            </w:tr>
            <w:tr>
              <w:tc>
                <w:tcPr>
                  <w:tcW w:type="dxa" w:w="271"/>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高压森林消防水带</w:t>
                  </w:r>
                </w:p>
                <w:p>
                  <w:pPr>
                    <w:pStyle w:val="null3"/>
                    <w:jc w:val="center"/>
                  </w:pPr>
                </w:p>
              </w:tc>
              <w:tc>
                <w:tcPr>
                  <w:tcW w:type="dxa" w:w="16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p>
                  <w:pPr>
                    <w:pStyle w:val="null3"/>
                    <w:jc w:val="center"/>
                  </w:pPr>
                </w:p>
              </w:tc>
              <w:tc>
                <w:tcPr>
                  <w:tcW w:type="dxa" w:w="22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p>
                  <w:pPr>
                    <w:pStyle w:val="null3"/>
                    <w:jc w:val="center"/>
                  </w:pPr>
                </w:p>
              </w:tc>
              <w:tc>
                <w:tcPr>
                  <w:tcW w:type="dxa" w:w="1874"/>
                  <w:gridSpan w:val="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符合</w:t>
                  </w:r>
                  <w:r>
                    <w:rPr>
                      <w:rFonts w:ascii="仿宋_GB2312" w:hAnsi="仿宋_GB2312" w:cs="仿宋_GB2312" w:eastAsia="仿宋_GB2312"/>
                      <w:sz w:val="18"/>
                    </w:rPr>
                    <w:t>GB 6246-2011要求</w:t>
                  </w:r>
                  <w:r>
                    <w:br/>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水带口径为40mm，高压耐磨水带，内衬PU，外层双层长丝编织；</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工作压力≥8.0MPA，每卷长度为 30 米；</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 xml:space="preserve">水带两头均配有40mm口径的专用森林接口。 </w:t>
                  </w:r>
                  <w:r>
                    <w:br/>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水带材质：外层材质采用高强度涤纶长丝编织而成，内衬采用优质聚氨酯材质；外观质量：①织物层：编织均匀，表面整洁，无跳双经、断双经、跳纬及划伤；②衬里：厚度均匀，表面光滑平整、无褶皱或其他缺陷。</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爆破压力≥24.0MPa；单位长度质量：≤280g/m。</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轴向延伸率≤3%，直径膨胀率≤3%，附着强度 ≥70N/25mm。</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扯断伸长率≥400%；扯断强度≥45MPa，热空气老化性能：①爆破压力比率：≥75%；②附着强度比率：≥75%。</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耐低温性能：在（一30土3）℃以下条件下存放≥10h，水带应能立即展开、无卷曲现象、并能再次卷紧，且在工作压力下无渗漏；</w:t>
                  </w:r>
                  <w:r>
                    <w:br/>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耐腐蚀：水带接口经96h连续喷射盐雾腐蚀试验后，接口表面应无起层、氧化、剥落或其他肉眼可见的点蚀凹坑，并能正常操作使用。</w:t>
                  </w:r>
                  <w:r>
                    <w:br/>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耐磨性能：进行 100 次耐磨试验后，水带在相应的设计工作压力下，不应发生渗漏或破裂。</w:t>
                  </w:r>
                </w:p>
              </w:tc>
            </w:tr>
            <w:tr>
              <w:tc>
                <w:tcPr>
                  <w:tcW w:type="dxa" w:w="271"/>
                  <w:vMerge/>
                  <w:tcBorders>
                    <w:top w:val="none" w:color="000000" w:sz="4"/>
                    <w:left w:val="single" w:color="000000" w:sz="4"/>
                    <w:bottom w:val="none" w:color="000000" w:sz="4"/>
                    <w:right w:val="single" w:color="000000" w:sz="4"/>
                  </w:tcBorders>
                </w:tcPr>
                <w:p/>
              </w:tc>
              <w:tc>
                <w:tcPr>
                  <w:tcW w:type="dxa" w:w="160"/>
                  <w:vMerge/>
                  <w:tcBorders>
                    <w:top w:val="none" w:color="000000" w:sz="4"/>
                    <w:left w:val="none" w:color="000000" w:sz="4"/>
                    <w:bottom w:val="none" w:color="000000" w:sz="4"/>
                    <w:right w:val="single" w:color="000000" w:sz="4"/>
                  </w:tcBorders>
                </w:tcPr>
                <w:p/>
              </w:tc>
              <w:tc>
                <w:tcPr>
                  <w:tcW w:type="dxa" w:w="227"/>
                  <w:vMerge/>
                  <w:tcBorders>
                    <w:top w:val="none" w:color="000000" w:sz="4"/>
                    <w:left w:val="none" w:color="000000" w:sz="4"/>
                    <w:bottom w:val="none" w:color="000000" w:sz="4"/>
                    <w:right w:val="single" w:color="000000" w:sz="4"/>
                  </w:tcBorders>
                </w:tcPr>
                <w:p/>
              </w:tc>
              <w:tc>
                <w:tcPr>
                  <w:tcW w:type="dxa" w:w="1874"/>
                  <w:gridSpan w:val="4"/>
                  <w:vMerge/>
                  <w:tcBorders>
                    <w:top w:val="none" w:color="000000" w:sz="4"/>
                    <w:left w:val="none" w:color="000000" w:sz="4"/>
                    <w:bottom w:val="non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二号工具</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橡胶条</w:t>
                  </w:r>
                  <w:r>
                    <w:rPr>
                      <w:rFonts w:ascii="仿宋_GB2312" w:hAnsi="仿宋_GB2312" w:cs="仿宋_GB2312" w:eastAsia="仿宋_GB2312"/>
                      <w:sz w:val="18"/>
                    </w:rPr>
                    <w:t>18条以上，单根长度52—55cm，宽度1.8—4cm,厚度≥2.5mm,橡胶条无切割无裂痕内有加强棉线，耐高温；工具杆1.3m—1.5m长，直径3±0.5cm，木杆杆体光滑挺直，经防虫处理，无明显裂纹；橡胶条与木杆连接捆扎牢固、一次性成型，不易脱落。</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三号工具</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总长约</w:t>
                  </w:r>
                  <w:r>
                    <w:rPr>
                      <w:rFonts w:ascii="仿宋_GB2312" w:hAnsi="仿宋_GB2312" w:cs="仿宋_GB2312" w:eastAsia="仿宋_GB2312"/>
                      <w:sz w:val="18"/>
                    </w:rPr>
                    <w:t>1.5—1.8m,手柄为直径2.5cm铁管或不锈钢管，拍头由≥24根钢丝组成，单根钢丝长≥500mm,拍头连接处为2mm厚钢板一次冲压成型，手柄与钢丝连接捆扎牢固、一次性成型，不易脱落。</w:t>
                  </w:r>
                </w:p>
              </w:tc>
            </w:tr>
            <w:tr>
              <w:tc>
                <w:tcPr>
                  <w:tcW w:type="dxa" w:w="271"/>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组合工具</w:t>
                  </w:r>
                </w:p>
                <w:p>
                  <w:pPr>
                    <w:pStyle w:val="null3"/>
                    <w:jc w:val="center"/>
                  </w:pPr>
                </w:p>
              </w:tc>
              <w:tc>
                <w:tcPr>
                  <w:tcW w:type="dxa" w:w="16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p>
                  <w:pPr>
                    <w:pStyle w:val="null3"/>
                    <w:jc w:val="center"/>
                  </w:pPr>
                </w:p>
              </w:tc>
              <w:tc>
                <w:tcPr>
                  <w:tcW w:type="dxa" w:w="22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p>
                  <w:pPr>
                    <w:pStyle w:val="null3"/>
                    <w:jc w:val="center"/>
                  </w:pPr>
                </w:p>
              </w:tc>
              <w:tc>
                <w:tcPr>
                  <w:tcW w:type="dxa" w:w="1874"/>
                  <w:gridSpan w:val="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组合工具主要包括铁锹、五齿耙、扑火拍、连接杆、砍刀、锯、斧头、工具包八件组成；</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该套工具携带方便，用途广泛，是防火队伍扑大火隔离带、开辟防火通道、上山灭火的有效工具；</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连接杆可与扑火拍、五齿耙任意连接，功能齐全，具有多种用途，并可以一套工具同时供多人使用；</w:t>
                  </w:r>
                  <w:r>
                    <w:br/>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组合锹：钢板厚度</w:t>
                  </w:r>
                  <w:r>
                    <w:rPr>
                      <w:rFonts w:ascii="仿宋_GB2312" w:hAnsi="仿宋_GB2312" w:cs="仿宋_GB2312" w:eastAsia="仿宋_GB2312"/>
                      <w:sz w:val="18"/>
                    </w:rPr>
                    <w:t>≥1.0mm， 锹面有效尺寸≥180mmx140mm，镐外形尺寸≥120x15mm；</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五齿耙：钢板冲压一次成型五齿，外形尺寸</w:t>
                  </w:r>
                  <w:r>
                    <w:rPr>
                      <w:rFonts w:ascii="仿宋_GB2312" w:hAnsi="仿宋_GB2312" w:cs="仿宋_GB2312" w:eastAsia="仿宋_GB2312"/>
                      <w:sz w:val="18"/>
                    </w:rPr>
                    <w:t>≥150x210mm，厚度≥1.0mm,耙齿尺寸≥90x18mm;</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扑火工具：拍体弹簧钢片；条数</w:t>
                  </w:r>
                  <w:r>
                    <w:rPr>
                      <w:rFonts w:ascii="仿宋_GB2312" w:hAnsi="仿宋_GB2312" w:cs="仿宋_GB2312" w:eastAsia="仿宋_GB2312"/>
                      <w:sz w:val="18"/>
                    </w:rPr>
                    <w:t>≥20；</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连接杆：金属材质，表面喷塑；两节可组合连接；连接杆长度</w:t>
                  </w:r>
                  <w:r>
                    <w:rPr>
                      <w:rFonts w:ascii="仿宋_GB2312" w:hAnsi="仿宋_GB2312" w:cs="仿宋_GB2312" w:eastAsia="仿宋_GB2312"/>
                      <w:sz w:val="18"/>
                    </w:rPr>
                    <w:t>≥500mm；</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手锯：手锯外形尺寸</w:t>
                  </w:r>
                  <w:r>
                    <w:rPr>
                      <w:rFonts w:ascii="仿宋_GB2312" w:hAnsi="仿宋_GB2312" w:cs="仿宋_GB2312" w:eastAsia="仿宋_GB2312"/>
                      <w:sz w:val="18"/>
                    </w:rPr>
                    <w:t>≥450x100mm,锯齿长度≥350mm；</w:t>
                  </w:r>
                  <w:r>
                    <w:br/>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工具包：防潮材料、防火迷彩帆布，能合理放置以上</w:t>
                  </w:r>
                  <w:r>
                    <w:rPr>
                      <w:rFonts w:ascii="仿宋_GB2312" w:hAnsi="仿宋_GB2312" w:cs="仿宋_GB2312" w:eastAsia="仿宋_GB2312"/>
                      <w:sz w:val="18"/>
                    </w:rPr>
                    <w:t>7种工具;外形尺寸≥600x300x70mm。</w:t>
                  </w:r>
                </w:p>
              </w:tc>
            </w:tr>
            <w:tr>
              <w:tc>
                <w:tcPr>
                  <w:tcW w:type="dxa" w:w="27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背包</w:t>
                  </w:r>
                </w:p>
              </w:tc>
              <w:tc>
                <w:tcPr>
                  <w:tcW w:type="dxa" w:w="1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874"/>
                  <w:gridSpan w:val="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携行包总容量</w:t>
                  </w:r>
                  <w:r>
                    <w:rPr>
                      <w:rFonts w:ascii="仿宋_GB2312" w:hAnsi="仿宋_GB2312" w:cs="仿宋_GB2312" w:eastAsia="仿宋_GB2312"/>
                      <w:sz w:val="18"/>
                    </w:rPr>
                    <w:t>≥60L.</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携行包主体面料颜色为迷彩色；</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外层面料：</w:t>
                  </w:r>
                  <w:r>
                    <w:br/>
                  </w:r>
                  <w:r>
                    <w:rPr>
                      <w:rFonts w:ascii="仿宋_GB2312" w:hAnsi="仿宋_GB2312" w:cs="仿宋_GB2312" w:eastAsia="仿宋_GB2312"/>
                      <w:sz w:val="18"/>
                    </w:rPr>
                    <w:t>3.1断裂强力（N）：经向 ≥1000 N，纬向 ≥1000 N；</w:t>
                  </w:r>
                  <w:r>
                    <w:br/>
                  </w:r>
                  <w:r>
                    <w:rPr>
                      <w:rFonts w:ascii="仿宋_GB2312" w:hAnsi="仿宋_GB2312" w:cs="仿宋_GB2312" w:eastAsia="仿宋_GB2312"/>
                      <w:sz w:val="18"/>
                    </w:rPr>
                    <w:t>3.2撕破强力（N）：经向 ≥100 N，纬向 ≥100 N；</w:t>
                  </w:r>
                  <w:r>
                    <w:br/>
                  </w:r>
                  <w:r>
                    <w:rPr>
                      <w:rFonts w:ascii="仿宋_GB2312" w:hAnsi="仿宋_GB2312" w:cs="仿宋_GB2312" w:eastAsia="仿宋_GB2312"/>
                      <w:sz w:val="18"/>
                    </w:rPr>
                    <w:t>3.3耐磨性能:≥50000次；</w:t>
                  </w:r>
                  <w:r>
                    <w:br/>
                  </w:r>
                  <w:r>
                    <w:rPr>
                      <w:rFonts w:ascii="仿宋_GB2312" w:hAnsi="仿宋_GB2312" w:cs="仿宋_GB2312" w:eastAsia="仿宋_GB2312"/>
                      <w:sz w:val="18"/>
                    </w:rPr>
                    <w:t>3.4水洗尺寸变化率：经纬向：≤10%；</w:t>
                  </w:r>
                  <w:r>
                    <w:br/>
                  </w:r>
                  <w:r>
                    <w:rPr>
                      <w:rFonts w:ascii="仿宋_GB2312" w:hAnsi="仿宋_GB2312" w:cs="仿宋_GB2312" w:eastAsia="仿宋_GB2312"/>
                      <w:sz w:val="18"/>
                    </w:rPr>
                    <w:t>3.5耐皂洗色牢度：≥4级；</w:t>
                  </w:r>
                  <w:r>
                    <w:br/>
                  </w:r>
                  <w:r>
                    <w:rPr>
                      <w:rFonts w:ascii="仿宋_GB2312" w:hAnsi="仿宋_GB2312" w:cs="仿宋_GB2312" w:eastAsia="仿宋_GB2312"/>
                      <w:sz w:val="18"/>
                    </w:rPr>
                    <w:t>3.6干摩擦色牢度：≥4级；</w:t>
                  </w:r>
                  <w:r>
                    <w:br/>
                  </w:r>
                  <w:r>
                    <w:rPr>
                      <w:rFonts w:ascii="仿宋_GB2312" w:hAnsi="仿宋_GB2312" w:cs="仿宋_GB2312" w:eastAsia="仿宋_GB2312"/>
                      <w:sz w:val="18"/>
                    </w:rPr>
                    <w:t>3.7湿摩擦色牢度：≥4级。</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水带框</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外形尺寸：</w:t>
                  </w:r>
                  <w:r>
                    <w:rPr>
                      <w:rFonts w:ascii="仿宋_GB2312" w:hAnsi="仿宋_GB2312" w:cs="仿宋_GB2312" w:eastAsia="仿宋_GB2312"/>
                      <w:sz w:val="18"/>
                    </w:rPr>
                    <w:t>42×26×52cm或41×34×53cm,框架材质为不锈钢或铝合金，轻便耐府蚀，承重能力≥30—50kg,框外彩防水牛津布/帆布材质，装载容量可容纳3—5盘森林消防水带，支持背负行进中自动放带功能。</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手投灭火弹</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质量</w:t>
                  </w:r>
                  <w:r>
                    <w:rPr>
                      <w:rFonts w:ascii="仿宋_GB2312" w:hAnsi="仿宋_GB2312" w:cs="仿宋_GB2312" w:eastAsia="仿宋_GB2312"/>
                      <w:sz w:val="18"/>
                    </w:rPr>
                    <w:t>0.85—1.2kg,灭火剂装填量1000±50g，灭火半径4-6</w:t>
                  </w:r>
                  <w:r>
                    <w:rPr>
                      <w:rFonts w:ascii="仿宋_GB2312" w:hAnsi="仿宋_GB2312" w:cs="仿宋_GB2312" w:eastAsia="仿宋_GB2312"/>
                      <w:sz w:val="18"/>
                    </w:rPr>
                    <w:t>㎡</w:t>
                  </w:r>
                  <w:r>
                    <w:rPr>
                      <w:rFonts w:ascii="仿宋_GB2312" w:hAnsi="仿宋_GB2312" w:cs="仿宋_GB2312" w:eastAsia="仿宋_GB2312"/>
                      <w:sz w:val="18"/>
                    </w:rPr>
                    <w:t>,安全投掷距离≥5m。</w:t>
                  </w:r>
                </w:p>
              </w:tc>
            </w:tr>
            <w:tr>
              <w:tc>
                <w:tcPr>
                  <w:tcW w:type="dxa" w:w="2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强光手电</w:t>
                  </w:r>
                </w:p>
              </w:tc>
              <w:tc>
                <w:tcPr>
                  <w:tcW w:type="dxa" w:w="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2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87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适用于部队、公安各警种人员装备作照明、信号指示使用，适用于各种急难救助、定点搜索、紧急事故处理等工作使用；</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本安型最高防爆等级，可在易燃易爆场所安全使用，采用固态免维护</w:t>
                  </w:r>
                  <w:r>
                    <w:rPr>
                      <w:rFonts w:ascii="仿宋_GB2312" w:hAnsi="仿宋_GB2312" w:cs="仿宋_GB2312" w:eastAsia="仿宋_GB2312"/>
                      <w:sz w:val="18"/>
                    </w:rPr>
                    <w:t>LED光源，光效高，寿命长达10万小时。智能控制、强光、工作光、频闪三种光设计，按动按钮可进行自由转换；</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轻质合金精密加工而成，抗强力碰撞和冲击，耐高低温，防水防尘，可在各种恶劣环境及气候条件下使用。</w:t>
                  </w:r>
                  <w:r>
                    <w:br/>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具有低电警示和自动低电保护功能，当灯具在工作中出现电量不足会自动快速闪光，提示需要充电，如继续使用，短时间内灯具会自动保护停止工作。</w:t>
                  </w:r>
                  <w:r>
                    <w:br/>
                  </w:r>
                  <w:r>
                    <w:rPr>
                      <w:rFonts w:ascii="仿宋_GB2312" w:hAnsi="仿宋_GB2312" w:cs="仿宋_GB2312" w:eastAsia="仿宋_GB2312"/>
                      <w:sz w:val="18"/>
                    </w:rPr>
                    <w:t>结构精巧，体积小，重量轻，可放在衣袋中携带、跟消防头盔配戴使用。</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额定电压</w:t>
                  </w:r>
                  <w:r>
                    <w:rPr>
                      <w:rFonts w:ascii="仿宋_GB2312" w:hAnsi="仿宋_GB2312" w:cs="仿宋_GB2312" w:eastAsia="仿宋_GB2312"/>
                      <w:sz w:val="18"/>
                    </w:rPr>
                    <w:t>≥3.5V, 电池容量≥2000MAH，锂电池充电，外形尺寸≤30*150MM,重量≤0.2kg。</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合同签订后45个日历日内交货。 质保期：整体质保期1年，森林防火电子宣传牌质保期3年。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进度款，项⽬验收合格后，达到付款条件起30个工作日内，支付合同总金额的30.0%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依照合同约定执行。质量保证金:乙方按甲方要求时限缴纳合同总金额3%作为质量保证金，待质保期满且无质量问题后，甲方一次性无息全额退还。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1、在中标结果公⽰后，成交供应商向代理机构提交纸质响应⽂件叁份、分别胶装，加盖骑缝章，电⼦版U盘贰份，内容和通过电⼦化交易平台实施的政府采购项⽬提交的响应⽂件⼀致。 2、保证⾦若以⾦融机构、担保机构出具的保函形式则须在开标前⼀个⼯作⽇告知采购代理机构（联系⽅式：0916-2610065/邮箱：1042853189@qq.com）。 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本采购包专⻔⾯向中小企业采购</w:t>
            </w:r>
          </w:p>
        </w:tc>
        <w:tc>
          <w:tcPr>
            <w:tcW w:type="dxa" w:w="3322"/>
          </w:tcPr>
          <w:p>
            <w:pPr>
              <w:pStyle w:val="null3"/>
            </w:pPr>
            <w:r>
              <w:rPr>
                <w:rFonts w:ascii="仿宋_GB2312" w:hAnsi="仿宋_GB2312" w:cs="仿宋_GB2312" w:eastAsia="仿宋_GB2312"/>
              </w:rPr>
              <w:t>本项⽬为专⻔⾯向中小企业采购，投标⼈应为中型企业或小型、微型企业或监狱企业或残疾⼈福利性单位。投标⼈为中型、小型、微型企业的，提供《中小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中小企业声明函.docx 商务应答表 汉中市政府采购供应商资格承诺函.docx 投标人应提交的相关资格证明材料 产品技术参数表 分项报价表.docx 评审方案.docx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中小企业声明函.docx 商务应答表 汉中市政府采购供应商资格承诺函.docx 投标人应提交的相关资格证明材料 产品技术参数表 分项报价表.docx 评审方案.docx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中小企业声明函.docx 商务应答表 汉中市政府采购供应商资格承诺函.docx 投标人应提交的相关资格证明材料 产品技术参数表 分项报价表.docx 评审方案.docx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针对本项⽬需求提供实施⽅案包括①质量保障措施；②货物安全运输保障措施；③进度计划安排；④售后服务保障⽅案（至少包含售后服务范围及售后服务承诺；售后服务人员配置及响应计划；故障解决方案； 应急预案等内容）；⑤验收方案及退换货制度（至少包含产品交付后出现质量问题的响应时间及保障措施等内容）。 以上内容完整且⽆缺陷的得20分；每有⼀项缺失的扣4分；每有⼀处存在缺陷的扣 1-3 分，扣完为⽌。 注：缺陷是指内容不合理、虽有内容但不完善、内容表述前后不⼀致、套⽤其他项⽬⽅案或与项⽬需求不匹配及其他不利于项⽬实施的等任意 ⼀种情形。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规格明确，满⾜采购⼈使⽤的需求，对每项产品参数都进⾏明确响应，满⾜招标⽂件要求计25分。带“▲”的参数指标有⼀项负偏离扣2分，扣完为⽌。其它参数指标有⼀项负偏离扣1分，扣完为⽌。 备注：1、提供充⾜的佐证材料予以证明参数的技术响应性，若有提供虚假参数及材料应标的，经查实将按照有关法律规定进⾏严肃处理。（佐证材料不限于第三方检测机构出具的检测报告、产品彩页、产品说明书或功能截图、加盖授权⼚家公章的技术参数确认函等），若不提供，该项条款不得分。 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①提供团队组织⼈员配置明细表得4分，不提供不得分； ②配备1名项⽬负责⼈，并提供⾝份证及劳动合同等证明材料得2.5分，提供不全或未提供的不得分； ③配备1名项⽬技术负责⼈，并提供⾝份证及劳动合同等证明材料得2.5分，提供不全或未提供的不得分； ④除项⽬负责⼈及项⽬技术负责⼈外，提供5名及以上配置⼈员⾝份证及劳动合同等证明材料得4分；提供4名配置⼈员⾝份证及劳动合同等证明材料得3分，提供3名配置⼈员⾝份证及劳动合同等证明材料得2分，不⾜3⼈或不提供均不得分，本项最⾼4分； ⑤提供⼈员到场及不随意更换⼈员承诺得2分，不提供不得分。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其他内容</w:t>
            </w:r>
          </w:p>
        </w:tc>
        <w:tc>
          <w:tcPr>
            <w:tcW w:type="dxa" w:w="2492"/>
          </w:tcPr>
          <w:p>
            <w:pPr>
              <w:pStyle w:val="null3"/>
            </w:pPr>
            <w:r>
              <w:rPr>
                <w:rFonts w:ascii="仿宋_GB2312" w:hAnsi="仿宋_GB2312" w:cs="仿宋_GB2312" w:eastAsia="仿宋_GB2312"/>
              </w:rPr>
              <w:t>①供应商提供针对本项目的合理化建议，得2分； ②供应商提供针对本项目的培训方案，得3分； ③供应商提供产品来源可靠性的证明，证明链条完整，每提供一个产品的证明材料得1分，最高得5分。 注：证明材料不限于链条完整的授权、代理协议、销售协议、投标人为制造商提供说明等。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1、上限为采购预算价，即报价大于上限价视为无效标；2、以满足本次招标文件要求的最低报价为评标基准价，其价格为满分；3、不享有政策优惠条件的供应商报价得分=（评标基准价/投标报价）×30 （本项⽬为专⻔⾯向中⼩企业采购项⽬，不再执⾏价格评审优惠扶持政策）。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