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版本号：SZT2026-SN-SC-ZC-HW-017920260519001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辉光放电光谱仪</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SZT2026-SN-SC-ZC-HW-0179</w:t>
      </w:r>
      <w:r>
        <w:br/>
      </w:r>
      <w:r>
        <w:br/>
      </w:r>
      <w:r>
        <w:br/>
      </w:r>
    </w:p>
    <w:p>
      <w:pPr>
        <w:pStyle w:val="null3"/>
        <w:jc w:val="center"/>
        <w:outlineLvl w:val="2"/>
      </w:pPr>
      <w:r>
        <w:rPr>
          <w:rFonts w:ascii="仿宋_GB2312" w:hAnsi="仿宋_GB2312" w:cs="仿宋_GB2312" w:eastAsia="仿宋_GB2312"/>
          <w:sz w:val="28"/>
          <w:b/>
        </w:rPr>
        <w:t>西安工业大学</w:t>
      </w:r>
    </w:p>
    <w:p>
      <w:pPr>
        <w:pStyle w:val="null3"/>
        <w:jc w:val="center"/>
        <w:outlineLvl w:val="2"/>
      </w:pPr>
      <w:r>
        <w:rPr>
          <w:rFonts w:ascii="仿宋_GB2312" w:hAnsi="仿宋_GB2312" w:cs="仿宋_GB2312" w:eastAsia="仿宋_GB2312"/>
          <w:sz w:val="28"/>
          <w:b/>
        </w:rPr>
        <w:t>陕西中技招标有限公司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陕西中技招标有限公司</w:t>
      </w:r>
      <w:r>
        <w:rPr>
          <w:rFonts w:ascii="仿宋_GB2312" w:hAnsi="仿宋_GB2312" w:cs="仿宋_GB2312" w:eastAsia="仿宋_GB2312"/>
        </w:rPr>
        <w:t>（以下简称“代理机构”）受</w:t>
      </w:r>
      <w:r>
        <w:rPr>
          <w:rFonts w:ascii="仿宋_GB2312" w:hAnsi="仿宋_GB2312" w:cs="仿宋_GB2312" w:eastAsia="仿宋_GB2312"/>
        </w:rPr>
        <w:t>西安工业大学</w:t>
      </w:r>
      <w:r>
        <w:rPr>
          <w:rFonts w:ascii="仿宋_GB2312" w:hAnsi="仿宋_GB2312" w:cs="仿宋_GB2312" w:eastAsia="仿宋_GB2312"/>
        </w:rPr>
        <w:t>委托，拟对</w:t>
      </w:r>
      <w:r>
        <w:rPr>
          <w:rFonts w:ascii="仿宋_GB2312" w:hAnsi="仿宋_GB2312" w:cs="仿宋_GB2312" w:eastAsia="仿宋_GB2312"/>
        </w:rPr>
        <w:t>辉光放电光谱仪</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SZT2026-SN-SC-ZC-HW-0179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辉光放电光谱仪</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用于齿轮、轴承、模具、航空零部件、金属切削刀具等关键产品表面渗层、镀层及合金材料的成分深度分布分析，实现涂层结构表征。</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进口产品授权要求：本项目已进行进口产品论证，所投产品为进口产品的，须提供所投产品厂家授权书或总代理商授权书（提供总代理商授权书的须出具有效授权权限的相关证明文件，证明文件须能显示产品制造厂家对所投产品授权链条的完整性），国产产品不需要提供。</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西安工业大学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未央区学府中路2号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029-86173168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陕西中技招标有限公司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西安市高新区高新四路1号高科广场A座10楼1001室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李毓菲、陈先德、杨艳、马帅、赵倩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029-87304326-872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采购包1：3,040,000.00元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采购包1保证金金额：60,000.00元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开户名称：陕西中技招标有限公司（已缴纳保证金的务必在系统上上传保证金凭证）</w:t>
            </w:r>
          </w:p>
          <w:p>
            <w:pPr>
              <w:pStyle w:val="null3"/>
            </w:pPr>
            <w:r>
              <w:rPr>
                <w:rFonts w:ascii="仿宋_GB2312" w:hAnsi="仿宋_GB2312" w:cs="仿宋_GB2312" w:eastAsia="仿宋_GB2312"/>
              </w:rPr>
              <w:t>开户银行：招商银行西安分行营业部</w:t>
            </w:r>
          </w:p>
          <w:p>
            <w:pPr>
              <w:pStyle w:val="null3"/>
            </w:pPr>
            <w:r>
              <w:rPr>
                <w:rFonts w:ascii="仿宋_GB2312" w:hAnsi="仿宋_GB2312" w:cs="仿宋_GB2312" w:eastAsia="仿宋_GB2312"/>
              </w:rPr>
              <w:t>银行账号：129916812810001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说明：1.中标（成交）供应商在签订合同前5个工作日内，向采购人缴纳合同总价5%的履约保证金； 2.中标（成交）供应商如期履约完成且不存在其他任何违约责任，采购人无息由原缴费账户退还履约保证金全款。 3.若中标（成交）供应商未能按照合同约定履行，则采购人有权全额扣除履约保证金，并保留追究中标（成交）供应商违约相关的法律责任。</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180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人应向采购代理机构交纳招标代理服务费。招标代理服务费的收取参见国家计委颁布的《招标代理服务收费管理暂行办法》（计价格[2002]1980号）和（发改办价格[2003]857号）货物类收费标准按照中标金额的0.69%进行收取，在领取中标通知书时向采购代理机构一次性交纳。 开户名称：陕西中技招标有限公司 开户银行：招商银行西安分行营业部 银行账号：129916812810001</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允许。本项目允许采购进口产品，进口产品的清单详见第3章。</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西安工业大学</w:t>
      </w:r>
      <w:r>
        <w:rPr>
          <w:rFonts w:ascii="仿宋_GB2312" w:hAnsi="仿宋_GB2312" w:cs="仿宋_GB2312" w:eastAsia="仿宋_GB2312"/>
        </w:rPr>
        <w:t>和</w:t>
      </w:r>
      <w:r>
        <w:rPr>
          <w:rFonts w:ascii="仿宋_GB2312" w:hAnsi="仿宋_GB2312" w:cs="仿宋_GB2312" w:eastAsia="仿宋_GB2312"/>
        </w:rPr>
        <w:t>陕西中技招标有限公司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西安工业大学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陕西中技招标有限公司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西安工业大学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陕西中技招标有限公司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按照招标文件以及合同要求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联系人：戴经理</w:t>
      </w:r>
    </w:p>
    <w:p>
      <w:pPr>
        <w:pStyle w:val="null3"/>
      </w:pPr>
      <w:r>
        <w:rPr>
          <w:rFonts w:ascii="仿宋_GB2312" w:hAnsi="仿宋_GB2312" w:cs="仿宋_GB2312" w:eastAsia="仿宋_GB2312"/>
        </w:rPr>
        <w:t>联系电话：029-87304326-856</w:t>
      </w:r>
    </w:p>
    <w:p>
      <w:pPr>
        <w:pStyle w:val="null3"/>
      </w:pPr>
      <w:r>
        <w:rPr>
          <w:rFonts w:ascii="仿宋_GB2312" w:hAnsi="仿宋_GB2312" w:cs="仿宋_GB2312" w:eastAsia="仿宋_GB2312"/>
        </w:rPr>
        <w:t>地址：西安市高新区高新四路1号高科广场A座1001室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用于齿轮、轴承、模具、航空零部件、金属切削刀具等关键产品表面渗层、镀层及合金材料的成分深度分布分析，实现涂层结构表征。</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3,040,000.00</w:t>
      </w:r>
    </w:p>
    <w:p>
      <w:pPr>
        <w:pStyle w:val="null3"/>
      </w:pPr>
      <w:r>
        <w:rPr>
          <w:rFonts w:ascii="仿宋_GB2312" w:hAnsi="仿宋_GB2312" w:cs="仿宋_GB2312" w:eastAsia="仿宋_GB2312"/>
        </w:rPr>
        <w:t>采购包最高限价（元）: 3,040,000.00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辉光放电光谱仪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3,040,000.00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标的名称：辉光放电光谱仪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18"/>
              </w:rPr>
              <w:t>主要功能</w:t>
            </w:r>
          </w:p>
          <w:p>
            <w:pPr>
              <w:pStyle w:val="null3"/>
            </w:pPr>
            <w:r>
              <w:rPr>
                <w:rFonts w:ascii="仿宋_GB2312" w:hAnsi="仿宋_GB2312" w:cs="仿宋_GB2312" w:eastAsia="仿宋_GB2312"/>
                <w:sz w:val="18"/>
              </w:rPr>
              <w:t>用于齿轮、轴承、模具、航空零部件、金属切削刀具等关键产品表面渗层、镀层及合金材料的成分深度分布分析，实现涂层结构表征。</w:t>
            </w:r>
          </w:p>
          <w:p>
            <w:pPr>
              <w:pStyle w:val="null3"/>
            </w:pPr>
            <w:r>
              <w:rPr>
                <w:rFonts w:ascii="仿宋_GB2312" w:hAnsi="仿宋_GB2312" w:cs="仿宋_GB2312" w:eastAsia="仿宋_GB2312"/>
                <w:sz w:val="18"/>
              </w:rPr>
              <w:t>▲1.配备全谱光学系统，可同时采集并自动识别指定元素的指定谱线，谱线均可进行定量分析</w:t>
            </w:r>
          </w:p>
          <w:p>
            <w:pPr>
              <w:pStyle w:val="null3"/>
            </w:pPr>
            <w:r>
              <w:rPr>
                <w:rFonts w:ascii="仿宋_GB2312" w:hAnsi="仿宋_GB2312" w:cs="仿宋_GB2312" w:eastAsia="仿宋_GB2312"/>
                <w:sz w:val="18"/>
              </w:rPr>
              <w:t>▲2.配备固态CCD检测器，允许使用者在现有设备基础下扩展和增加对所需元素的指定谱线的检测</w:t>
            </w:r>
          </w:p>
          <w:p>
            <w:pPr>
              <w:pStyle w:val="null3"/>
            </w:pPr>
            <w:r>
              <w:rPr>
                <w:rFonts w:ascii="仿宋_GB2312" w:hAnsi="仿宋_GB2312" w:cs="仿宋_GB2312" w:eastAsia="仿宋_GB2312"/>
                <w:sz w:val="18"/>
              </w:rPr>
              <w:t>▲3.深度剖面分析范围至少覆盖次表面至150μm；</w:t>
            </w:r>
          </w:p>
          <w:p>
            <w:pPr>
              <w:pStyle w:val="null3"/>
            </w:pPr>
            <w:r>
              <w:rPr>
                <w:rFonts w:ascii="仿宋_GB2312" w:hAnsi="仿宋_GB2312" w:cs="仿宋_GB2312" w:eastAsia="仿宋_GB2312"/>
                <w:sz w:val="18"/>
              </w:rPr>
              <w:t>4.深度分辨率达到纳米级别；</w:t>
            </w:r>
          </w:p>
          <w:p>
            <w:pPr>
              <w:pStyle w:val="null3"/>
            </w:pPr>
            <w:r>
              <w:rPr>
                <w:rFonts w:ascii="仿宋_GB2312" w:hAnsi="仿宋_GB2312" w:cs="仿宋_GB2312" w:eastAsia="仿宋_GB2312"/>
                <w:sz w:val="18"/>
              </w:rPr>
              <w:t>▲5.光谱分辨率：≤25pm；</w:t>
            </w:r>
          </w:p>
          <w:p>
            <w:pPr>
              <w:pStyle w:val="null3"/>
            </w:pPr>
            <w:r>
              <w:rPr>
                <w:rFonts w:ascii="仿宋_GB2312" w:hAnsi="仿宋_GB2312" w:cs="仿宋_GB2312" w:eastAsia="仿宋_GB2312"/>
                <w:sz w:val="18"/>
              </w:rPr>
              <w:t>▲6.光谱覆盖范围至少覆盖120nm-670nm；</w:t>
            </w:r>
          </w:p>
          <w:p>
            <w:pPr>
              <w:pStyle w:val="null3"/>
            </w:pPr>
            <w:r>
              <w:rPr>
                <w:rFonts w:ascii="仿宋_GB2312" w:hAnsi="仿宋_GB2312" w:cs="仿宋_GB2312" w:eastAsia="仿宋_GB2312"/>
                <w:sz w:val="18"/>
              </w:rPr>
              <w:t>▲7.辉光放电源采用直流光源和脉冲射频光源，能够分析各类导体、半导体、非导体样品；</w:t>
            </w:r>
          </w:p>
          <w:p>
            <w:pPr>
              <w:pStyle w:val="null3"/>
            </w:pPr>
            <w:r>
              <w:rPr>
                <w:rFonts w:ascii="仿宋_GB2312" w:hAnsi="仿宋_GB2312" w:cs="仿宋_GB2312" w:eastAsia="仿宋_GB2312"/>
                <w:sz w:val="18"/>
              </w:rPr>
              <w:t>8.辉光放电源采用无油真空泵</w:t>
            </w:r>
          </w:p>
          <w:p>
            <w:pPr>
              <w:pStyle w:val="null3"/>
            </w:pPr>
            <w:r>
              <w:rPr>
                <w:rFonts w:ascii="仿宋_GB2312" w:hAnsi="仿宋_GB2312" w:cs="仿宋_GB2312" w:eastAsia="仿宋_GB2312"/>
                <w:sz w:val="18"/>
              </w:rPr>
              <w:t>9.仪器至少包括一组直径为4mm的标准电极组件，并提供1mm、2mm、2.5mm、8mm和10mm电极的升级</w:t>
            </w:r>
          </w:p>
          <w:p>
            <w:pPr>
              <w:pStyle w:val="null3"/>
            </w:pPr>
            <w:r>
              <w:rPr>
                <w:rFonts w:ascii="仿宋_GB2312" w:hAnsi="仿宋_GB2312" w:cs="仿宋_GB2312" w:eastAsia="仿宋_GB2312"/>
                <w:sz w:val="18"/>
              </w:rPr>
              <w:t>10.真空系统采用单一真空泵设计</w:t>
            </w:r>
          </w:p>
          <w:p>
            <w:pPr>
              <w:pStyle w:val="null3"/>
            </w:pPr>
            <w:r>
              <w:rPr>
                <w:rFonts w:ascii="仿宋_GB2312" w:hAnsi="仿宋_GB2312" w:cs="仿宋_GB2312" w:eastAsia="仿宋_GB2312"/>
                <w:sz w:val="18"/>
              </w:rPr>
              <w:t>11.等离子体压力实时调节，点火后500ms内稳定的离子体光源；具备等离子体进行样品表面污染物清洁功能</w:t>
            </w:r>
          </w:p>
          <w:p>
            <w:pPr>
              <w:pStyle w:val="null3"/>
            </w:pPr>
            <w:r>
              <w:rPr>
                <w:rFonts w:ascii="仿宋_GB2312" w:hAnsi="仿宋_GB2312" w:cs="仿宋_GB2312" w:eastAsia="仿宋_GB2312"/>
                <w:sz w:val="18"/>
              </w:rPr>
              <w:t>12.分析软件功能</w:t>
            </w:r>
          </w:p>
          <w:p>
            <w:pPr>
              <w:pStyle w:val="null3"/>
            </w:pPr>
            <w:r>
              <w:rPr>
                <w:rFonts w:ascii="仿宋_GB2312" w:hAnsi="仿宋_GB2312" w:cs="仿宋_GB2312" w:eastAsia="仿宋_GB2312"/>
                <w:sz w:val="18"/>
              </w:rPr>
              <w:t>12.1 基于Windows 的操作系统；</w:t>
            </w:r>
          </w:p>
          <w:p>
            <w:pPr>
              <w:pStyle w:val="null3"/>
            </w:pPr>
            <w:r>
              <w:rPr>
                <w:rFonts w:ascii="仿宋_GB2312" w:hAnsi="仿宋_GB2312" w:cs="仿宋_GB2312" w:eastAsia="仿宋_GB2312"/>
                <w:sz w:val="18"/>
              </w:rPr>
              <w:t>12.2 包含NIST标准谱线库和ASTM标准溅射速率库</w:t>
            </w:r>
          </w:p>
          <w:p>
            <w:pPr>
              <w:pStyle w:val="null3"/>
            </w:pPr>
            <w:r>
              <w:rPr>
                <w:rFonts w:ascii="仿宋_GB2312" w:hAnsi="仿宋_GB2312" w:cs="仿宋_GB2312" w:eastAsia="仿宋_GB2312"/>
                <w:sz w:val="18"/>
              </w:rPr>
              <w:t>13 .数据采集及处理系统：内置光谱仪操作软件，此次采购价包含软件终身使用及升级；</w:t>
            </w:r>
          </w:p>
          <w:p>
            <w:pPr>
              <w:pStyle w:val="null3"/>
            </w:pPr>
            <w:r>
              <w:rPr>
                <w:rFonts w:ascii="仿宋_GB2312" w:hAnsi="仿宋_GB2312" w:cs="仿宋_GB2312" w:eastAsia="仿宋_GB2312"/>
                <w:sz w:val="18"/>
              </w:rPr>
              <w:t>14.输出终端：幅面≥A4，彩色输出；</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 150 日内货到采购人指定地点；安装调试验收时间：合同签订后 150 日内</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西安工业大学指定地点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进口设备：采购人通过委托的外贸公司向中标供应商指定的境外厂商开具100%不可撤销即期跟单信用证。信用证90%的合同货款凭外贸合同约定单据及西安工业大学出具的开箱点货报告原件解付；剩余10%合同尾款凭西安工业大学出具的设备终验验收报告原件解付；国产设备：货到西安工业大学指定地点经验收合格后，采购人14日内支付成交金额的100%，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 交付检验：所供货物到货后，甲方和乙方指定人员共同参加开箱检验，乙方负责开箱，甲乙双方及时对货物名称、厂家、数量、品种、型号、规格、参数、功能需求等（乙方协助）进行核对、检验。若货物与合同约定不符，甲方有权拒绝接收，乙方应无条件退换货直至合格，并承担逾期交货的违约责任，赔偿甲方损失。 2、初验：货物通过试运行测试后进入试运行，试运行不少于30工作日。由乙方向甲方（用户）提供详细的试运行报告，报告中至少应详细记录各种实测、运行数据。项目试运行且通过乙方自测后提交甲方（用户）进行初验，验收内容按试运行报告，现场查看货物运行情况。初验合格后，乙方填写初验验收报告并经甲方使用单位确认。 3、整体验收即终验：该项目初验合格后，甲方根据初验验收报告，组织甲方相关人员或甲方专家组成验收小组对设备进行最终验收。验收依据为本合同文本、招投标文件和国内相应的标准、规范。验收合格后，甲方填写终验验收单，作为付款依据。验收不合格的，限期整改，整改过程中产生的费用和货物发生的一切损失由乙方承担；整改超过二次的，甲方有权单方解除本合同，乙方应无条件退还已收取的全部合同价款，并按合同总价30%向甲方支付违约金，违约金不足弥补甲方损失的，由乙方负责赔偿，货款尾款甲方有权不予支付。</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（1）投标货物生产商必须在境内设有售后服务中心； (2) 投标方必须提供原厂明确的售后承诺和售后服务方案； (3) 质保期：进口仪器设备不得少于3年，国产设备不得少于5年。质保期自买方验收合格签字之日起计算；质保期内的零部件、配件(不含耗材)和人工等均为免费；质保期内，乙方免费提供人员培训及上门维修服务，负责修理或更换因生产工艺或材质质量原因而出现故障的零部件，一切材料及人工费用全免。如乙方原因不能履行质保义务，甲方有权委托第三方处理，由此产生的费用和风险由乙方承担，造成甲方损失的应予以赔偿； (4) 设备质保期满前1个月，卖方免费提供一次全面的检查、维护； (5) 维保服务：质保期结束以后，乙方继续承担仪器的终身维护，对甲方提供支持，如回答甲方提出的问题、排除甲方的软、硬件故障等，责任工程师每年定期回访客户不少于3次，及时为设备进行检查和问诊； (6) 以上所有售后服务承诺均需由原厂提供，并由当地的授权维修负责人签字，原厂盖章。</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1、除本合同约定的违约责任之外，双方按《中华人民共和国民法典》中的相关条款执行。 2、提供的货物不符合合同要求，或者不能满足招标文件技术要求，乙方必须无条件退换直到合格，并承担逾期供货违约责任。否则，甲方有权终止合同，乙方及制造厂商共同退还货款，并支付合同金额30%的违约金，违约金不足以弥补损失的，应继续赔偿损失。 3、除因不可抗力，乙方逾期交货，每天应按合同总价的千分之一向甲方支付违约金。如乙方逾期三十天仍未交齐货物的，甲方有权终止合同，乙方及制造厂商共同退还货款，并按合同总价30%向甲方支付违约金，违约金不足以弥补损失的，应继续赔偿损失。 4、乙方所交货物的类型、版本、参数、功能需求等在使用中如发生不符合合同约定、国家标准，或者所供货物达不到约定技术要求的，或者运行存在较大潜在风险的，导致甲方无法正常使用的，乙方应无条件全额向甲方退还已收取的合同款，并向甲方支付合同总价款30%的违约金，违约金不足以弥补损失的，应继续赔偿损失。 5、乙方所供货物在合理使用期限内，因质量或安装问题造成甲方或第三方人身伤亡、财产损失的，乙方应负责解决并承担赔偿责任，并赔偿甲方所有损失（包含但不限于律师费、诉讼费等一切损失）；乙方应按甲方要求采取退货、换货等方式处理，退换货的一切费用由乙方承担，并应退还甲方支付的合同总货款。 6、若乙方逾期完成安装调试的，每逾期一日应向甲方支付违约金1万元，违约金不足以弥补损失的，应继续赔偿甲方损失。</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一、报价异常低价处理 （一）政府采购评审中出现下列情形之一的，评审委员会应当启动异常低价投标（响应）审查程序：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相关供应商在评审现场合理的时间内对投标（响应）价格作出解释，提供项目具体成本测算等与报价合理性相关的书面说明及必要的证明材料，包括但不限于原材料成本、人工成本、制造费用等。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二、落实政府采购政策《国务院办公厅关于在政府采购中实施本国产品标准及相关政策的通知国办发〔2025〕34号》 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 本国产品标准的适用范围：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 产品应当在中国境内生产，即在中华人民共和国关境内实现从原材料、组件到产品的属性改变。属性改变是指经过制造、加工或者组装等工序，产生完全不同于原材料、组件的新产品，并具有新的名称和特征（用途）。 供应商应对其提供的产品出具《关于符合本国产品标准的声明函》。提供虚假《声明函》、虚假证明文件谋取中标、成交的，依照《政府采购法》等法律法规规定追究相应责任。 三、项目说明：1、本项目允许采购进口产品。 如果因信息不对称等原因，仍有满足需求的国内产品要求参与采购竞争的，采购人及其委托的采购代理机构不对其加以限制，按照公平竞争原则实施采购。 2、“进口产品”是指通过中国海关报关验放进入中国境内且产自关境外的产品。 四、投标有效期：本项目投标有效期为从开标之日起180日历天。中标供应商的投标文件有效期自动延长合同履行完毕。 五、报价说明： 1、因采购人具有教科文进口环节减免税资格，进口设备可以报免税报价，不在教科文减免范围的设备应按含税开展报价。免税报价包含外贸代理服务费。 2、免税报价免除仅为进口环节的教科文减免税（进口环节增值税） 3、供应商报价未明确免税报价的视为含税报价。 4、供应商报价应满足正常使用的一切费用，并包含设备验收时涉及的工艺验证等费用。5、供应商应当按招标文件规定的供货及服务要求、责任范围和合同条件，以人民币进行报价。 报价包含全套货物抵达用户现场，安装验收直至投入使用期间，所需费用。报价包含但不限于人工费、辅材费、税费、安装调试费、培训费等（上述费用包含在总报价中但不得在分项价格表中单独列出）全部内容。 六、其他备注说明（因本项目使用电子招投标系统，格式无法调整，招标文件中其他部分与本部分不一致时以本部分要求为准） 1、在合同履行过程中，如发生合同纠纷，合同双方应按照中华人民共和国法律解释，按照《中华人民共和国民法典》规定及合同条款约定进行处理。 2、本项目已通过进口产品论证，投标文件中接受外文资料，但主要部分仍应尽量对应翻译成中文并附在相关外文资料后面。 3、本项目不强制要求文件第2.4.4知识产权第二条要求。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1、具有独立承担民事责任的能力（企业法人应提供统一社会信用代码的营业执照；事业法人应提供事业单位法人证、组织机构代码证等证明文件；其他组织应提供合法证明文件；自然人提供身份证明文件）； 2、具有良好的商业信誉和健全的财务会计制度（提供2024或2025年度财务审计报告或开标前近12个月内的银行资信证明或财政部门认可的政府采购专业担保机构出具的担保函）； 3、具有履行合同所必需的设备和专业技术能力（格式详见附件）； 4、具有依法缴纳税收和社会保障资金的良好记录（同时提供投标截止时间前12个月内缴存的任意时段的社保及税收缴纳证明；依法不需要缴纳的应提供相关证明文件)； 5、参加政府采购活动前三年内，在经营活动中没有重大违法记录（格式详见附件）。</w:t>
            </w:r>
          </w:p>
        </w:tc>
        <w:tc>
          <w:tcPr>
            <w:tcW w:type="dxa" w:w="1661"/>
          </w:tcPr>
          <w:p>
            <w:pPr>
              <w:pStyle w:val="null3"/>
            </w:pPr>
            <w:r>
              <w:rPr>
                <w:rFonts w:ascii="仿宋_GB2312" w:hAnsi="仿宋_GB2312" w:cs="仿宋_GB2312" w:eastAsia="仿宋_GB2312"/>
              </w:rPr>
              <w:t>投标函 格式文本.docx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进口产品授权要求</w:t>
            </w:r>
          </w:p>
        </w:tc>
        <w:tc>
          <w:tcPr>
            <w:tcW w:type="dxa" w:w="3322"/>
          </w:tcPr>
          <w:p>
            <w:pPr>
              <w:pStyle w:val="null3"/>
            </w:pPr>
            <w:r>
              <w:rPr>
                <w:rFonts w:ascii="仿宋_GB2312" w:hAnsi="仿宋_GB2312" w:cs="仿宋_GB2312" w:eastAsia="仿宋_GB2312"/>
              </w:rPr>
              <w:t>本项目已进行进口产品论证，所投产品为进口产品的，须提供所投产品厂家授权书或总代理商授权书（提供总代理商授权书的须出具有效授权权限的相关证明文件，证明文件须能显示产品制造厂家对所投产品授权链条的完整性），国产产品不需要提供。</w:t>
            </w:r>
          </w:p>
        </w:tc>
        <w:tc>
          <w:tcPr>
            <w:tcW w:type="dxa" w:w="1661"/>
          </w:tcPr>
          <w:p>
            <w:pPr>
              <w:pStyle w:val="null3"/>
            </w:pPr>
            <w:r>
              <w:rPr>
                <w:rFonts w:ascii="仿宋_GB2312" w:hAnsi="仿宋_GB2312" w:cs="仿宋_GB2312" w:eastAsia="仿宋_GB2312"/>
              </w:rPr>
              <w:t>格式文本.docx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1.在评标过程中，评标委员会认为投标人报价异常的，应当启动异常低价投标（响应）审查程序（具体判定详见3.5其他要求）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法定代表人直接参加的，须提供身份证；法定代表人授权他人参加的，须提供法定代表人授权委托书及被授权人身份证</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关于联合体投标</w:t>
            </w:r>
          </w:p>
        </w:tc>
        <w:tc>
          <w:tcPr>
            <w:tcW w:type="dxa" w:w="3322"/>
          </w:tcPr>
          <w:p>
            <w:pPr>
              <w:pStyle w:val="null3"/>
            </w:pPr>
            <w:r>
              <w:rPr>
                <w:rFonts w:ascii="仿宋_GB2312" w:hAnsi="仿宋_GB2312" w:cs="仿宋_GB2312" w:eastAsia="仿宋_GB2312"/>
              </w:rPr>
              <w:t>本项目不接受联合体投标，不得分包、转包</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投标有效期响应招标文件的要求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交货安装期</w:t>
            </w:r>
          </w:p>
        </w:tc>
        <w:tc>
          <w:tcPr>
            <w:tcW w:type="dxa" w:w="3322"/>
          </w:tcPr>
          <w:p>
            <w:pPr>
              <w:pStyle w:val="null3"/>
            </w:pPr>
            <w:r>
              <w:rPr>
                <w:rFonts w:ascii="仿宋_GB2312" w:hAnsi="仿宋_GB2312" w:cs="仿宋_GB2312" w:eastAsia="仿宋_GB2312"/>
              </w:rPr>
              <w:t>交货安装期按招标文件要求的各项节点响应</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质保期按照招标文件的相关要求响应</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付款方式响应招标文件的要求</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投标保证金按要求缴纳</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投标报价未超过采购预算或最高限价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投标内容未出现漏项或数量与要求不符、技术参数严重负偏离影响采购人使用</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核心产品</w:t>
            </w:r>
          </w:p>
        </w:tc>
        <w:tc>
          <w:tcPr>
            <w:tcW w:type="dxa" w:w="3322"/>
          </w:tcPr>
          <w:p>
            <w:pPr>
              <w:pStyle w:val="null3"/>
            </w:pPr>
            <w:r>
              <w:rPr>
                <w:rFonts w:ascii="仿宋_GB2312" w:hAnsi="仿宋_GB2312" w:cs="仿宋_GB2312" w:eastAsia="仿宋_GB2312"/>
              </w:rPr>
              <w:t>核心产品品牌应满足3个品牌，不满足视为有效投标人不足3家</w:t>
            </w:r>
          </w:p>
        </w:tc>
        <w:tc>
          <w:tcPr>
            <w:tcW w:type="dxa" w:w="1661"/>
          </w:tcPr>
          <w:p>
            <w:pPr>
              <w:pStyle w:val="null3"/>
            </w:pPr>
            <w:r>
              <w:rPr>
                <w:rFonts w:ascii="仿宋_GB2312" w:hAnsi="仿宋_GB2312" w:cs="仿宋_GB2312" w:eastAsia="仿宋_GB2312"/>
              </w:rPr>
              <w:t>开标一览表 标的清单</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技术方案中各项设备及软件功能的技术参数响应清晰明确，符合使用要求，技术指标和性能完全响应招标文件要求，满足使用需求，计33分。结合规格、技术参数偏离表的响应证明材料，按招标文件内配置最低要求，带“▲”号指标项每出现1个负偏离扣3分，非“▲”号指标项每出现1个负偏离，扣2分，供应商须按招标文件要求提供带“▲”号指标项的证明材料（包括产品彩页或检测报告或带网址链接的官网功能截图或加盖厂商公章的技术参数说明），否则自行承担未提供证明材料导致技术参数被视为负偏离的风险。</w:t>
            </w:r>
          </w:p>
        </w:tc>
        <w:tc>
          <w:tcPr>
            <w:tcW w:type="dxa" w:w="831"/>
          </w:tcPr>
          <w:p>
            <w:pPr>
              <w:pStyle w:val="null3"/>
              <w:jc w:val="right"/>
            </w:pPr>
            <w:r>
              <w:rPr>
                <w:rFonts w:ascii="仿宋_GB2312" w:hAnsi="仿宋_GB2312" w:cs="仿宋_GB2312" w:eastAsia="仿宋_GB2312"/>
              </w:rPr>
              <w:t>33.0000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产品质量保障</w:t>
            </w:r>
          </w:p>
        </w:tc>
        <w:tc>
          <w:tcPr>
            <w:tcW w:type="dxa" w:w="2492"/>
          </w:tcPr>
          <w:p>
            <w:pPr>
              <w:pStyle w:val="null3"/>
            </w:pPr>
            <w:r>
              <w:rPr>
                <w:rFonts w:ascii="仿宋_GB2312" w:hAnsi="仿宋_GB2312" w:cs="仿宋_GB2312" w:eastAsia="仿宋_GB2312"/>
              </w:rPr>
              <w:t>评审内容包含:①产品性能②使用寿命及效果③质量保证措施。 每一项内容全面详细、阐述条理清晰得2分，满分6分，每项存在一处缺陷，扣1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整体实施方案</w:t>
            </w:r>
          </w:p>
        </w:tc>
        <w:tc>
          <w:tcPr>
            <w:tcW w:type="dxa" w:w="2492"/>
          </w:tcPr>
          <w:p>
            <w:pPr>
              <w:pStyle w:val="null3"/>
            </w:pPr>
            <w:r>
              <w:rPr>
                <w:rFonts w:ascii="仿宋_GB2312" w:hAnsi="仿宋_GB2312" w:cs="仿宋_GB2312" w:eastAsia="仿宋_GB2312"/>
              </w:rPr>
              <w:t>评审内容包含:①整体进度计划、安装调试、验收方案；②运行环境实施方案；③人员保障方案。 每一项内容全面详细、阐述条理清晰得2分，满分6分，每项存在一处缺陷，扣1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评审内容包含:①投标人提供的人员培训时间、培训内容、预期达到的效果；②提供培训的机会和次数；③培训讲师。 每一项内容全面详细、阐述条理清晰得2分，满分6分，每项存在一处缺陷，扣1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评审内容包含:①售后服务人员配备②售后服务响应时间及方式③售后应急措施，备件供应准备及质量④质保期后的维修方案。 每一项内容全面详细、阐述条理清晰得2分，满分8分，每项存在一处缺陷，扣1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供应商投标产品中每有一项为节能产品或环境标志产品经国家认证的得1分。（以经国家确定的认证机构出具的、处于有效期内的节能产品、环境标志产品认证证书为准。）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提供所投产品业绩，提供合同复印件（扫描件）加盖供应商公章，每份有效业绩计2分，合计最高10分。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30分。其他供应商的价格分统一按照下列公式计算：投标报价得分=（评标基准价/投标报价）×30。政府采购活动中既有本国产品又有非本国产品参与竞争的,依法对本国产品给予价格评审优惠，对本国产品的报价给予20%的价格扣除,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详见附件：格式文本.docx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详见附件：进口设备采购协议（模板）20260508.docx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