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版本号：SXLY-2026-00420260528002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2026年残疾人托养服务（残疾人居家安养）项目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SXLY-2026-004</w:t>
      </w:r>
      <w:r>
        <w:br/>
      </w:r>
      <w:r>
        <w:br/>
      </w:r>
      <w:r>
        <w:br/>
      </w:r>
    </w:p>
    <w:p>
      <w:pPr>
        <w:pStyle w:val="null3"/>
        <w:jc w:val="center"/>
        <w:outlineLvl w:val="2"/>
      </w:pPr>
      <w:r>
        <w:rPr>
          <w:rFonts w:ascii="仿宋_GB2312" w:hAnsi="仿宋_GB2312" w:cs="仿宋_GB2312" w:eastAsia="仿宋_GB2312"/>
          <w:sz w:val="28"/>
          <w:b/>
        </w:rPr>
        <w:t>西安市长安区残疾人联合会</w:t>
      </w:r>
    </w:p>
    <w:p>
      <w:pPr>
        <w:pStyle w:val="null3"/>
        <w:jc w:val="center"/>
        <w:outlineLvl w:val="2"/>
      </w:pPr>
      <w:r>
        <w:rPr>
          <w:rFonts w:ascii="仿宋_GB2312" w:hAnsi="仿宋_GB2312" w:cs="仿宋_GB2312" w:eastAsia="仿宋_GB2312"/>
          <w:sz w:val="28"/>
          <w:b/>
        </w:rPr>
        <w:t>陕西乐烨项目管理有限公司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陕西乐烨项目管理有限公司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西安市长安区残疾人联合会</w:t>
      </w:r>
      <w:r>
        <w:rPr>
          <w:rFonts w:ascii="仿宋_GB2312" w:hAnsi="仿宋_GB2312" w:cs="仿宋_GB2312" w:eastAsia="仿宋_GB2312"/>
        </w:rPr>
        <w:t>委托，拟对</w:t>
      </w:r>
      <w:r>
        <w:rPr>
          <w:rFonts w:ascii="仿宋_GB2312" w:hAnsi="仿宋_GB2312" w:cs="仿宋_GB2312" w:eastAsia="仿宋_GB2312"/>
        </w:rPr>
        <w:t>2026年残疾人托养服务（残疾人居家安养）项目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SXLY-2026-004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2026年残疾人托养服务（残疾人居家安养）项目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2026年残疾人托养服务（残疾人居家安养）。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报告：提供经审计的2025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3、完税证明：提供已缴纳的2025年6月至今任意一个月的纳税证明或完税证明，纳税证明或完税证明上应有代收机构或税务机关的公章或业务专用章。依法免税的供应商应提供相关文件证明；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4、设备和专业技术能力的承诺：供应商须提供具有履行合同所必需的设备和专业技术能力的承诺；</w:t>
      </w:r>
    </w:p>
    <w:p>
      <w:pPr>
        <w:pStyle w:val="null3"/>
      </w:pPr>
      <w:r>
        <w:rPr>
          <w:rFonts w:ascii="仿宋_GB2312" w:hAnsi="仿宋_GB2312" w:cs="仿宋_GB2312" w:eastAsia="仿宋_GB2312"/>
        </w:rPr>
        <w:t>5、参保缴费情况证明：提供已缴存的2025年6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6、重大违法记录：出具参加本次政府采购活动前三年内在经营活动中没有重大违法记录的书面声明；</w:t>
      </w:r>
    </w:p>
    <w:p>
      <w:pPr>
        <w:pStyle w:val="null3"/>
      </w:pPr>
      <w:r>
        <w:rPr>
          <w:rFonts w:ascii="仿宋_GB2312" w:hAnsi="仿宋_GB2312" w:cs="仿宋_GB2312" w:eastAsia="仿宋_GB2312"/>
        </w:rPr>
        <w:t>7、授权委托书：法定代表人参加磋商的提供法定代表人身份证明及身份证，委托代理人参加磋商的提供授权委托书及委托代理人身份证；自然人只需提供身份证；备注：分支机构由分支机构负责人授权即可；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8、联合体：本项目不接受联合体磋商（提供书面声明材料）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西安市长安区韦曲南长安街321号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13032911668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陕西乐烨项目管理有限公司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陕西省西安市市辖区陕西省西安市未央区凤城五路德宜国际中心（MAX未来）A座2001A1室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杨新旺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17829275833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及国家发改委2011年颁布的《国家发展改革委关于降低部分建设项目收费标准规范收费行为等有关问题的通知 》（发改价格[2011]534号）计算。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西安市长安区残疾人联合会</w:t>
      </w:r>
      <w:r>
        <w:rPr>
          <w:rFonts w:ascii="仿宋_GB2312" w:hAnsi="仿宋_GB2312" w:cs="仿宋_GB2312" w:eastAsia="仿宋_GB2312"/>
        </w:rPr>
        <w:t>和</w:t>
      </w:r>
      <w:r>
        <w:rPr>
          <w:rFonts w:ascii="仿宋_GB2312" w:hAnsi="仿宋_GB2312" w:cs="仿宋_GB2312" w:eastAsia="仿宋_GB2312"/>
        </w:rPr>
        <w:t>陕西乐烨项目管理有限公司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陕西乐烨项目管理有限公司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陕西乐烨项目管理有限公司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陕西乐烨项目管理有限公司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陕西乐烨项目管理有限公司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陕西乐烨项目管理有限公司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联系人：杨新旺</w:t>
      </w:r>
    </w:p>
    <w:p>
      <w:pPr>
        <w:pStyle w:val="null3"/>
      </w:pPr>
      <w:r>
        <w:rPr>
          <w:rFonts w:ascii="仿宋_GB2312" w:hAnsi="仿宋_GB2312" w:cs="仿宋_GB2312" w:eastAsia="仿宋_GB2312"/>
        </w:rPr>
        <w:t>联系电话：17829275833</w:t>
      </w:r>
    </w:p>
    <w:p>
      <w:pPr>
        <w:pStyle w:val="null3"/>
      </w:pPr>
      <w:r>
        <w:rPr>
          <w:rFonts w:ascii="仿宋_GB2312" w:hAnsi="仿宋_GB2312" w:cs="仿宋_GB2312" w:eastAsia="仿宋_GB2312"/>
        </w:rPr>
        <w:t>地址：陕西省西安市经济技术开发区常青二路德宜国际中心（MAX未来）A座2001A1室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2026年残疾人托养服务（残疾人居家安养）。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2026年残疾人托养服务（残疾人居家安养）项目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标的名称：2026年残疾人托养服务（残疾人居家安养）项目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采购需求</w:t>
            </w:r>
          </w:p>
          <w:p>
            <w:pPr>
              <w:pStyle w:val="null3"/>
              <w:spacing w:before="315"/>
              <w:ind w:left="420"/>
              <w:jc w:val="both"/>
            </w:pPr>
            <w:r>
              <w:rPr>
                <w:rFonts w:ascii="仿宋_GB2312" w:hAnsi="仿宋_GB2312" w:cs="仿宋_GB2312" w:eastAsia="仿宋_GB2312"/>
                <w:sz w:val="28"/>
                <w:b/>
              </w:rPr>
              <w:t>一、项目</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2026年残疾人托养服务（残疾人居家安养）。</w:t>
            </w:r>
          </w:p>
          <w:p>
            <w:pPr>
              <w:pStyle w:val="null3"/>
              <w:numPr>
                <w:ilvl w:val="0"/>
                <w:numId w:val="1"/>
              </w:numPr>
              <w:spacing w:before="315"/>
              <w:jc w:val="both"/>
            </w:pP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1、服务对象：具有西安市长安区户籍、年龄16-59(＜60)周岁持中华人民共和国残疾人证，有居家服务需求的智力残疾人、稳定期的精神残疾人、重度肢体残疾人以及同时存在智力或精神残疾的多重残疾人。纳入特困人员救助供养条件的残疾人不作为居家服务对象。</w:t>
            </w:r>
          </w:p>
          <w:p>
            <w:pPr>
              <w:pStyle w:val="null3"/>
              <w:ind w:firstLine="560"/>
              <w:jc w:val="both"/>
            </w:pPr>
            <w:r>
              <w:rPr>
                <w:rFonts w:ascii="仿宋_GB2312" w:hAnsi="仿宋_GB2312" w:cs="仿宋_GB2312" w:eastAsia="仿宋_GB2312"/>
                <w:sz w:val="28"/>
              </w:rPr>
              <w:t>2、服务人数：享受2026年残疾人居家安养项目的服务对象120人。</w:t>
            </w:r>
          </w:p>
          <w:p>
            <w:pPr>
              <w:pStyle w:val="null3"/>
              <w:ind w:firstLine="560"/>
              <w:jc w:val="both"/>
            </w:pPr>
            <w:r>
              <w:rPr>
                <w:rFonts w:ascii="仿宋_GB2312" w:hAnsi="仿宋_GB2312" w:cs="仿宋_GB2312" w:eastAsia="仿宋_GB2312"/>
                <w:sz w:val="28"/>
              </w:rPr>
              <w:t>3、服务方式：乙方选派服务员，采取定期上门、计时服务等形式，每月定期上门为享受长安区2026年残疾人居家安养项目的服务对象提供生活照料、康复养护、心理疏导等居家生活服务，并做好服务记录。服务记录必须经服务对象或家属签字或按手印进行确认，并对本次服务进行评价。</w:t>
            </w:r>
          </w:p>
          <w:p>
            <w:pPr>
              <w:pStyle w:val="null3"/>
              <w:ind w:firstLine="560"/>
              <w:jc w:val="both"/>
            </w:pPr>
            <w:r>
              <w:rPr>
                <w:rFonts w:ascii="仿宋_GB2312" w:hAnsi="仿宋_GB2312" w:cs="仿宋_GB2312" w:eastAsia="仿宋_GB2312"/>
                <w:sz w:val="28"/>
              </w:rPr>
              <w:t>4、服务内容：</w:t>
            </w:r>
          </w:p>
          <w:p>
            <w:pPr>
              <w:pStyle w:val="null3"/>
              <w:ind w:firstLine="560"/>
              <w:jc w:val="both"/>
            </w:pPr>
            <w:r>
              <w:rPr>
                <w:rFonts w:ascii="仿宋_GB2312" w:hAnsi="仿宋_GB2312" w:cs="仿宋_GB2312" w:eastAsia="仿宋_GB2312"/>
                <w:sz w:val="28"/>
              </w:rPr>
              <w:t>（一）根据残疾人的自理能力和服务需求，为残疾人提供生活照料：助洁、助餐、助浴、助行、助医等服务。</w:t>
            </w:r>
          </w:p>
          <w:p>
            <w:pPr>
              <w:pStyle w:val="null3"/>
              <w:ind w:firstLine="560"/>
              <w:jc w:val="both"/>
            </w:pPr>
            <w:r>
              <w:rPr>
                <w:rFonts w:ascii="仿宋_GB2312" w:hAnsi="仿宋_GB2312" w:cs="仿宋_GB2312" w:eastAsia="仿宋_GB2312"/>
                <w:sz w:val="28"/>
              </w:rPr>
              <w:t>（二）根据残疾人的残疾类别、残疾程度和康复需求，为残疾人提供康复护理：生活护理和康复保健等服务。</w:t>
            </w:r>
          </w:p>
          <w:p>
            <w:pPr>
              <w:pStyle w:val="null3"/>
              <w:ind w:firstLine="560"/>
              <w:jc w:val="both"/>
            </w:pPr>
            <w:r>
              <w:rPr>
                <w:rFonts w:ascii="仿宋_GB2312" w:hAnsi="仿宋_GB2312" w:cs="仿宋_GB2312" w:eastAsia="仿宋_GB2312"/>
                <w:sz w:val="28"/>
              </w:rPr>
              <w:t>（三）根据残疾人的心理状态和性格特点，为残疾人提供精神慰藉、心理疏导等服务。</w:t>
            </w:r>
          </w:p>
          <w:p>
            <w:pPr>
              <w:pStyle w:val="null3"/>
              <w:ind w:firstLine="560"/>
              <w:jc w:val="both"/>
            </w:pPr>
            <w:r>
              <w:rPr>
                <w:rFonts w:ascii="仿宋_GB2312" w:hAnsi="仿宋_GB2312" w:cs="仿宋_GB2312" w:eastAsia="仿宋_GB2312"/>
                <w:sz w:val="28"/>
              </w:rPr>
              <w:t>5、服务要求</w:t>
            </w:r>
          </w:p>
          <w:p>
            <w:pPr>
              <w:pStyle w:val="null3"/>
              <w:ind w:firstLine="560"/>
              <w:jc w:val="both"/>
            </w:pPr>
            <w:r>
              <w:rPr>
                <w:rFonts w:ascii="仿宋_GB2312" w:hAnsi="仿宋_GB2312" w:cs="仿宋_GB2312" w:eastAsia="仿宋_GB2312"/>
                <w:sz w:val="28"/>
              </w:rPr>
              <w:t>1.居家保洁：室内清洁应按照规范的清洁顺序，由里到外，由高到低，由边角到中央进行打扫，达到整洁干净，空气清新的效果。</w:t>
            </w:r>
          </w:p>
          <w:p>
            <w:pPr>
              <w:pStyle w:val="null3"/>
              <w:ind w:firstLine="560"/>
              <w:jc w:val="both"/>
            </w:pPr>
            <w:r>
              <w:rPr>
                <w:rFonts w:ascii="仿宋_GB2312" w:hAnsi="仿宋_GB2312" w:cs="仿宋_GB2312" w:eastAsia="仿宋_GB2312"/>
                <w:sz w:val="28"/>
              </w:rPr>
              <w:t>2.做饭、送餐：乙方应根据服务对象的身体情况及口味要求进行饮食准备，食材准备过程要保证安全、卫生，并根据食材的特点进行烹饪，合理搭配膳食，做到饮食安全健康。</w:t>
            </w:r>
          </w:p>
          <w:p>
            <w:pPr>
              <w:pStyle w:val="null3"/>
              <w:ind w:firstLine="560"/>
              <w:jc w:val="both"/>
            </w:pPr>
            <w:r>
              <w:rPr>
                <w:rFonts w:ascii="仿宋_GB2312" w:hAnsi="仿宋_GB2312" w:cs="仿宋_GB2312" w:eastAsia="仿宋_GB2312"/>
                <w:sz w:val="28"/>
              </w:rPr>
              <w:t>3.个人卫生类：洗衣、洗澡、理发、修剪指甲等服务乙方应根据残疾人的需求随机安排并根据残疾人的自身情况及家庭情况，可选择在家助浴或者公共浴室助浴，需有一名家人陪同。</w:t>
            </w:r>
          </w:p>
          <w:p>
            <w:pPr>
              <w:pStyle w:val="null3"/>
              <w:ind w:firstLine="560"/>
              <w:jc w:val="both"/>
            </w:pPr>
            <w:r>
              <w:rPr>
                <w:rFonts w:ascii="仿宋_GB2312" w:hAnsi="仿宋_GB2312" w:cs="仿宋_GB2312" w:eastAsia="仿宋_GB2312"/>
                <w:sz w:val="28"/>
              </w:rPr>
              <w:t>4.陪同看病、取药：服务人员要全程陪同，细心服务，将残疾人人身安全放在首位。</w:t>
            </w:r>
          </w:p>
          <w:p>
            <w:pPr>
              <w:pStyle w:val="null3"/>
              <w:ind w:firstLine="560"/>
              <w:jc w:val="both"/>
            </w:pPr>
            <w:r>
              <w:rPr>
                <w:rFonts w:ascii="仿宋_GB2312" w:hAnsi="仿宋_GB2312" w:cs="仿宋_GB2312" w:eastAsia="仿宋_GB2312"/>
                <w:sz w:val="28"/>
              </w:rPr>
              <w:t>5.代为购物：服务人员需按照残疾人意愿、需求为残疾人代购相关物品，保存相关凭证，和残疾人做好清单核对。</w:t>
            </w:r>
          </w:p>
          <w:p>
            <w:pPr>
              <w:pStyle w:val="null3"/>
              <w:ind w:firstLine="560"/>
              <w:jc w:val="both"/>
            </w:pPr>
            <w:r>
              <w:rPr>
                <w:rFonts w:ascii="仿宋_GB2312" w:hAnsi="仿宋_GB2312" w:cs="仿宋_GB2312" w:eastAsia="仿宋_GB2312"/>
                <w:sz w:val="28"/>
              </w:rPr>
              <w:t>6.康复护理：协助残疾人进行康复训练，如在肢体康复训练中，帮助其进行关节活动训练、肌肉力量训练等，确保训练的正确执行和安全。在训练过程中，观察残疾人的身体反应，及时调整训练强度和方式。</w:t>
            </w:r>
          </w:p>
          <w:p>
            <w:pPr>
              <w:pStyle w:val="null3"/>
              <w:ind w:firstLine="560"/>
              <w:jc w:val="both"/>
            </w:pPr>
            <w:r>
              <w:rPr>
                <w:rFonts w:ascii="仿宋_GB2312" w:hAnsi="仿宋_GB2312" w:cs="仿宋_GB2312" w:eastAsia="仿宋_GB2312"/>
                <w:sz w:val="28"/>
              </w:rPr>
              <w:t>7.精神慰藉和心理疏导：帮助残疾人正确认识自身残疾状况、识别和改变负面的思维模式和行为习惯、缓解不良情绪；倾听残疾人的心声，让他们能够倾诉内心的感受、困惑和痛苦，使其感受到被理解和接纳。</w:t>
            </w:r>
          </w:p>
          <w:p>
            <w:pPr>
              <w:pStyle w:val="null3"/>
              <w:ind w:firstLine="560"/>
              <w:jc w:val="both"/>
            </w:pPr>
            <w:r>
              <w:rPr>
                <w:rFonts w:ascii="仿宋_GB2312" w:hAnsi="仿宋_GB2312" w:cs="仿宋_GB2312" w:eastAsia="仿宋_GB2312"/>
                <w:sz w:val="28"/>
              </w:rPr>
              <w:t>8.协议期间乙方不得以任何形式、任何理由向服务对象收取服务费用。</w:t>
            </w:r>
          </w:p>
          <w:p>
            <w:pPr>
              <w:pStyle w:val="null3"/>
              <w:ind w:firstLine="560"/>
              <w:jc w:val="both"/>
            </w:pPr>
            <w:r>
              <w:rPr>
                <w:rFonts w:ascii="仿宋_GB2312" w:hAnsi="仿宋_GB2312" w:cs="仿宋_GB2312" w:eastAsia="仿宋_GB2312"/>
                <w:sz w:val="28"/>
              </w:rPr>
              <w:t>9.乙方应积极配合甲方开展服务质量评价等工作。</w:t>
            </w:r>
          </w:p>
          <w:p>
            <w:pPr>
              <w:pStyle w:val="null3"/>
              <w:ind w:firstLine="560"/>
              <w:jc w:val="both"/>
            </w:pPr>
            <w:r>
              <w:rPr>
                <w:rFonts w:ascii="仿宋_GB2312" w:hAnsi="仿宋_GB2312" w:cs="仿宋_GB2312" w:eastAsia="仿宋_GB2312"/>
                <w:sz w:val="28"/>
              </w:rPr>
              <w:t xml:space="preserve">6、服务时间   </w:t>
            </w:r>
          </w:p>
          <w:p>
            <w:pPr>
              <w:pStyle w:val="null3"/>
              <w:ind w:firstLine="560"/>
              <w:jc w:val="both"/>
            </w:pPr>
            <w:r>
              <w:rPr>
                <w:rFonts w:ascii="仿宋_GB2312" w:hAnsi="仿宋_GB2312" w:cs="仿宋_GB2312" w:eastAsia="仿宋_GB2312"/>
                <w:sz w:val="28"/>
              </w:rPr>
              <w:t>服务对象享受服务时间为每人每月不低于</w:t>
            </w:r>
            <w:r>
              <w:rPr>
                <w:rFonts w:ascii="仿宋_GB2312" w:hAnsi="仿宋_GB2312" w:cs="仿宋_GB2312" w:eastAsia="仿宋_GB2312"/>
                <w:sz w:val="28"/>
              </w:rPr>
              <w:t>8小时，服务96小时为1人次，每人次购买标准2500元。</w:t>
            </w:r>
          </w:p>
          <w:p>
            <w:pPr>
              <w:pStyle w:val="null3"/>
              <w:spacing w:before="315"/>
              <w:ind w:left="420"/>
              <w:jc w:val="both"/>
            </w:pPr>
            <w:r>
              <w:rPr>
                <w:rFonts w:ascii="仿宋_GB2312" w:hAnsi="仿宋_GB2312" w:cs="仿宋_GB2312" w:eastAsia="仿宋_GB2312"/>
                <w:sz w:val="28"/>
                <w:b/>
              </w:rPr>
              <w:t>三</w:t>
            </w:r>
            <w:r>
              <w:rPr>
                <w:rFonts w:ascii="仿宋_GB2312" w:hAnsi="仿宋_GB2312" w:cs="仿宋_GB2312" w:eastAsia="仿宋_GB2312"/>
                <w:sz w:val="28"/>
                <w:b/>
              </w:rPr>
              <w:t>、商务要求（如服务期限、款项结算等）</w:t>
            </w:r>
          </w:p>
          <w:p>
            <w:pPr>
              <w:pStyle w:val="null3"/>
              <w:ind w:firstLine="560"/>
              <w:jc w:val="both"/>
            </w:pPr>
            <w:r>
              <w:rPr>
                <w:rFonts w:ascii="仿宋_GB2312" w:hAnsi="仿宋_GB2312" w:cs="仿宋_GB2312" w:eastAsia="仿宋_GB2312"/>
                <w:sz w:val="28"/>
              </w:rPr>
              <w:t>3.1服务期限</w:t>
            </w:r>
          </w:p>
          <w:p>
            <w:pPr>
              <w:pStyle w:val="null3"/>
              <w:ind w:firstLine="560"/>
              <w:jc w:val="both"/>
            </w:pPr>
            <w:r>
              <w:rPr>
                <w:rFonts w:ascii="仿宋_GB2312" w:hAnsi="仿宋_GB2312" w:cs="仿宋_GB2312" w:eastAsia="仿宋_GB2312"/>
                <w:sz w:val="28"/>
              </w:rPr>
              <w:t>服务期自合同签订之日起至</w:t>
            </w:r>
            <w:r>
              <w:rPr>
                <w:rFonts w:ascii="仿宋_GB2312" w:hAnsi="仿宋_GB2312" w:cs="仿宋_GB2312" w:eastAsia="仿宋_GB2312"/>
                <w:sz w:val="28"/>
              </w:rPr>
              <w:t>2026</w:t>
            </w:r>
            <w:r>
              <w:rPr>
                <w:rFonts w:ascii="仿宋_GB2312" w:hAnsi="仿宋_GB2312" w:cs="仿宋_GB2312" w:eastAsia="仿宋_GB2312"/>
                <w:sz w:val="28"/>
              </w:rPr>
              <w:t>年</w:t>
            </w:r>
            <w:r>
              <w:rPr>
                <w:rFonts w:ascii="仿宋_GB2312" w:hAnsi="仿宋_GB2312" w:cs="仿宋_GB2312" w:eastAsia="仿宋_GB2312"/>
                <w:sz w:val="28"/>
              </w:rPr>
              <w:t>12</w:t>
            </w:r>
            <w:r>
              <w:rPr>
                <w:rFonts w:ascii="仿宋_GB2312" w:hAnsi="仿宋_GB2312" w:cs="仿宋_GB2312" w:eastAsia="仿宋_GB2312"/>
                <w:sz w:val="28"/>
              </w:rPr>
              <w:t>月31</w:t>
            </w:r>
            <w:r>
              <w:rPr>
                <w:rFonts w:ascii="仿宋_GB2312" w:hAnsi="仿宋_GB2312" w:cs="仿宋_GB2312" w:eastAsia="仿宋_GB2312"/>
                <w:sz w:val="28"/>
              </w:rPr>
              <w:t>日。（如遇不可抗力因素，视情况协商而定）。</w:t>
            </w:r>
          </w:p>
          <w:p>
            <w:pPr>
              <w:pStyle w:val="null3"/>
              <w:ind w:firstLine="560"/>
              <w:jc w:val="both"/>
            </w:pPr>
            <w:r>
              <w:rPr>
                <w:rFonts w:ascii="仿宋_GB2312" w:hAnsi="仿宋_GB2312" w:cs="仿宋_GB2312" w:eastAsia="仿宋_GB2312"/>
                <w:sz w:val="28"/>
              </w:rPr>
              <w:t>3.2服务地点</w:t>
            </w:r>
          </w:p>
          <w:p>
            <w:pPr>
              <w:pStyle w:val="null3"/>
              <w:ind w:firstLine="560"/>
              <w:jc w:val="both"/>
            </w:pPr>
            <w:r>
              <w:rPr>
                <w:rFonts w:ascii="仿宋_GB2312" w:hAnsi="仿宋_GB2312" w:cs="仿宋_GB2312" w:eastAsia="仿宋_GB2312"/>
                <w:sz w:val="28"/>
              </w:rPr>
              <w:t>采购人指定地点。</w:t>
            </w:r>
          </w:p>
          <w:p>
            <w:pPr>
              <w:pStyle w:val="null3"/>
              <w:ind w:firstLine="560"/>
              <w:jc w:val="both"/>
            </w:pPr>
            <w:r>
              <w:rPr>
                <w:rFonts w:ascii="仿宋_GB2312" w:hAnsi="仿宋_GB2312" w:cs="仿宋_GB2312" w:eastAsia="仿宋_GB2312"/>
                <w:sz w:val="28"/>
              </w:rPr>
              <w:t>3.3支付方式</w:t>
            </w:r>
          </w:p>
          <w:p>
            <w:pPr>
              <w:pStyle w:val="null3"/>
              <w:ind w:firstLine="560"/>
              <w:jc w:val="both"/>
            </w:pPr>
            <w:r>
              <w:rPr>
                <w:rFonts w:ascii="仿宋_GB2312" w:hAnsi="仿宋_GB2312" w:cs="仿宋_GB2312" w:eastAsia="仿宋_GB2312"/>
                <w:sz w:val="28"/>
              </w:rPr>
              <w:t>一次付清</w:t>
            </w:r>
          </w:p>
          <w:p>
            <w:pPr>
              <w:pStyle w:val="null3"/>
              <w:ind w:firstLine="560"/>
              <w:jc w:val="both"/>
            </w:pPr>
            <w:r>
              <w:rPr>
                <w:rFonts w:ascii="仿宋_GB2312" w:hAnsi="仿宋_GB2312" w:cs="仿宋_GB2312" w:eastAsia="仿宋_GB2312"/>
                <w:sz w:val="28"/>
              </w:rPr>
              <w:t>3.4支付约定</w:t>
            </w:r>
          </w:p>
          <w:p>
            <w:pPr>
              <w:pStyle w:val="null3"/>
              <w:ind w:firstLine="560"/>
              <w:jc w:val="both"/>
            </w:pPr>
            <w:r>
              <w:rPr>
                <w:rFonts w:ascii="仿宋_GB2312" w:hAnsi="仿宋_GB2312" w:cs="仿宋_GB2312" w:eastAsia="仿宋_GB2312"/>
                <w:sz w:val="28"/>
              </w:rPr>
              <w:t>付款条件说明：</w:t>
            </w:r>
            <w:r>
              <w:rPr>
                <w:rFonts w:ascii="仿宋_GB2312" w:hAnsi="仿宋_GB2312" w:cs="仿宋_GB2312" w:eastAsia="仿宋_GB2312"/>
                <w:sz w:val="28"/>
              </w:rPr>
              <w:t>服务费用依据服务对象或家人签字确认的服务记录进行结算。服务时间不足约定服务时间的，按实际服务时间据实结算；服务时间超过约定服务时间的，按约定服务时间结算。服务费用采取转账方式支付（具体以财政局拨付时间为准）</w:t>
            </w:r>
            <w:r>
              <w:rPr>
                <w:rFonts w:ascii="仿宋_GB2312" w:hAnsi="仿宋_GB2312" w:cs="仿宋_GB2312" w:eastAsia="仿宋_GB2312"/>
                <w:sz w:val="28"/>
              </w:rPr>
              <w:t>，达到付款条件起</w:t>
            </w:r>
            <w:r>
              <w:rPr>
                <w:rFonts w:ascii="仿宋_GB2312" w:hAnsi="仿宋_GB2312" w:cs="仿宋_GB2312" w:eastAsia="仿宋_GB2312"/>
                <w:sz w:val="28"/>
              </w:rPr>
              <w:t>30 日内，支付合同总金额的 100.00%。</w:t>
            </w:r>
          </w:p>
          <w:p>
            <w:pPr>
              <w:pStyle w:val="null3"/>
              <w:spacing w:before="315"/>
              <w:jc w:val="both"/>
            </w:pPr>
            <w:r>
              <w:rPr>
                <w:rFonts w:ascii="仿宋_GB2312" w:hAnsi="仿宋_GB2312" w:cs="仿宋_GB2312" w:eastAsia="仿宋_GB2312"/>
                <w:sz w:val="28"/>
                <w:b/>
              </w:rPr>
              <w:t>六、其他</w:t>
            </w:r>
          </w:p>
          <w:p>
            <w:pPr>
              <w:pStyle w:val="null3"/>
              <w:spacing w:after="120"/>
              <w:jc w:val="both"/>
            </w:pPr>
            <w:r>
              <w:rPr>
                <w:rFonts w:ascii="仿宋_GB2312" w:hAnsi="仿宋_GB2312" w:cs="仿宋_GB2312" w:eastAsia="仿宋_GB2312"/>
                <w:sz w:val="28"/>
              </w:rPr>
              <w:t>（一）质量验收标准或规范</w:t>
            </w:r>
          </w:p>
          <w:p>
            <w:pPr>
              <w:pStyle w:val="null3"/>
              <w:spacing w:after="120"/>
              <w:jc w:val="both"/>
            </w:pPr>
            <w:r>
              <w:rPr>
                <w:rFonts w:ascii="仿宋_GB2312" w:hAnsi="仿宋_GB2312" w:cs="仿宋_GB2312" w:eastAsia="仿宋_GB2312"/>
                <w:sz w:val="28"/>
              </w:rPr>
              <w:t>1）工作完成后，由甲方组织，通过对受助对象回访进行评审和验收，评审和验收标准应符合相应主管部门的审查要求，评审达不到要求的，继续完善至符合要求。</w:t>
            </w:r>
          </w:p>
          <w:p>
            <w:pPr>
              <w:pStyle w:val="null3"/>
              <w:spacing w:after="120"/>
              <w:jc w:val="both"/>
            </w:pPr>
            <w:r>
              <w:rPr>
                <w:rFonts w:ascii="仿宋_GB2312" w:hAnsi="仿宋_GB2312" w:cs="仿宋_GB2312" w:eastAsia="仿宋_GB2312"/>
                <w:sz w:val="28"/>
              </w:rPr>
              <w:t xml:space="preserve"> </w:t>
            </w:r>
            <w:r>
              <w:rPr>
                <w:rFonts w:ascii="仿宋_GB2312" w:hAnsi="仿宋_GB2312" w:cs="仿宋_GB2312" w:eastAsia="仿宋_GB2312"/>
                <w:sz w:val="28"/>
              </w:rPr>
              <w:t>2）验收依据：合同文本、合同附件、磋商文件及响应文件。</w:t>
            </w:r>
          </w:p>
          <w:p>
            <w:pPr>
              <w:pStyle w:val="null3"/>
              <w:spacing w:after="120"/>
              <w:jc w:val="both"/>
            </w:pPr>
            <w:r>
              <w:rPr>
                <w:rFonts w:ascii="仿宋_GB2312" w:hAnsi="仿宋_GB2312" w:cs="仿宋_GB2312" w:eastAsia="仿宋_GB2312"/>
                <w:sz w:val="28"/>
              </w:rPr>
              <w:t>（二）违约责任</w:t>
            </w:r>
          </w:p>
          <w:p>
            <w:pPr>
              <w:pStyle w:val="null3"/>
              <w:spacing w:after="120"/>
              <w:jc w:val="both"/>
            </w:pPr>
            <w:r>
              <w:rPr>
                <w:rFonts w:ascii="仿宋_GB2312" w:hAnsi="仿宋_GB2312" w:cs="仿宋_GB2312" w:eastAsia="仿宋_GB2312"/>
                <w:sz w:val="28"/>
              </w:rPr>
              <w:t>按《中华人民共和国民法典》中的相关条款执行。</w:t>
            </w:r>
          </w:p>
          <w:p>
            <w:pPr>
              <w:pStyle w:val="null3"/>
              <w:spacing w:after="120"/>
              <w:jc w:val="both"/>
            </w:pPr>
            <w:r>
              <w:rPr>
                <w:rFonts w:ascii="仿宋_GB2312" w:hAnsi="仿宋_GB2312" w:cs="仿宋_GB2312" w:eastAsia="仿宋_GB2312"/>
                <w:sz w:val="28"/>
              </w:rPr>
              <w:t>（</w:t>
            </w:r>
            <w:r>
              <w:rPr>
                <w:rFonts w:ascii="仿宋_GB2312" w:hAnsi="仿宋_GB2312" w:cs="仿宋_GB2312" w:eastAsia="仿宋_GB2312"/>
                <w:sz w:val="28"/>
              </w:rPr>
              <w:t>1）乙方提供服务期间，与居家安养服务对象发生涉及法律等方面的纠纷，如服务人员或服务对象发生人身意外伤害、财产丢失等相关责任，均由乙方承担，甲方不承担法律责任。</w:t>
            </w:r>
          </w:p>
          <w:p>
            <w:pPr>
              <w:pStyle w:val="null3"/>
              <w:spacing w:after="120"/>
              <w:jc w:val="both"/>
            </w:pPr>
            <w:r>
              <w:rPr>
                <w:rFonts w:ascii="仿宋_GB2312" w:hAnsi="仿宋_GB2312" w:cs="仿宋_GB2312" w:eastAsia="仿宋_GB2312"/>
                <w:sz w:val="28"/>
              </w:rPr>
              <w:t>（</w:t>
            </w:r>
            <w:r>
              <w:rPr>
                <w:rFonts w:ascii="仿宋_GB2312" w:hAnsi="仿宋_GB2312" w:cs="仿宋_GB2312" w:eastAsia="仿宋_GB2312"/>
                <w:sz w:val="28"/>
              </w:rPr>
              <w:t>2）乙方派出的工作人员不符合服务人员标准，甲方有权要求其予以整改，整改仍达不到甲方要求的服务人员标准时，甲方有权要求其更换服务人员，因此产生的相应损失由乙方自行承担。</w:t>
            </w:r>
          </w:p>
          <w:p>
            <w:pPr>
              <w:pStyle w:val="null3"/>
              <w:spacing w:after="120"/>
              <w:jc w:val="both"/>
            </w:pPr>
            <w:r>
              <w:rPr>
                <w:rFonts w:ascii="仿宋_GB2312" w:hAnsi="仿宋_GB2312" w:cs="仿宋_GB2312" w:eastAsia="仿宋_GB2312"/>
                <w:sz w:val="28"/>
              </w:rPr>
              <w:t>（</w:t>
            </w:r>
            <w:r>
              <w:rPr>
                <w:rFonts w:ascii="仿宋_GB2312" w:hAnsi="仿宋_GB2312" w:cs="仿宋_GB2312" w:eastAsia="仿宋_GB2312"/>
                <w:sz w:val="28"/>
              </w:rPr>
              <w:t>3）合同履行期间，乙方不按照合同约定或甲方要求提供服务的，甲方有权提出限期整改要求，乙方应及时整改。乙方未在合理期限内整改，或整改后仍无法达到相关要求及标准的，甲方有权单方解除合同，并要求乙方承担相应的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服务期自合同签订之日起至2026年12月31日。（如遇不可抗力因素，视情况协商而定）。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1）工作完成后，由甲方组织，通过对受助对象回访进行评审和验收，评审和验收标准应符合相应主管部门的审查要求，评审达不到要求的，继续完善至符合要求。 2）验收依据：合同文本、合同附件、磋商文件及响应文件。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用依据服务对象或家人签字确认的服务记录进行结算。服务时间不足约定服务时间的，按实际服务时间据实结算；服务时间超过约定服务时间的，按约定服务时间结算。服务费用采取转账方式支付（具体以财政局拨付时间为准） ，达到付款条件起30个工作日内，支付合同总金额的100.0%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（1）乙方提供服务期间，与居家安养服务对象发生涉及法律等方面的纠纷，如服务人员或服务对象发生人身意外伤害、财产丢失等相关责任，均由乙方承担，甲方不承担法律责任。 （2）乙方派出的工作人员不符合服务人员标准，甲方有权要求其予以整改，整改仍达不到甲方要求的服务人员标准时，甲方有权要求其更换服务人员，因此产生的相应损失由乙方自行承担。 （3）合同履行期间，乙方不按照合同约定或甲方要求提供服务的，甲方有权提出限期整改要求，乙方应及时整改。乙方未在合理期限内整改，或整改后仍无法达到相关要求及标准的，甲方有权单方解除合同，并要求乙方承担相应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残疾人福利性单位声明函 商务应答表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经审计的2025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提供已缴纳的2025年6月至今任意一个月的纳税证明或完税证明，纳税证明或完税证明上应有代收机构或税务机关的公章或业务专用章。依法免税的供应商应提供相关文件证明；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参保缴费情况证明</w:t>
            </w:r>
          </w:p>
        </w:tc>
        <w:tc>
          <w:tcPr>
            <w:tcW w:type="dxa" w:w="3322"/>
          </w:tcPr>
          <w:p>
            <w:pPr>
              <w:pStyle w:val="null3"/>
            </w:pPr>
            <w:r>
              <w:rPr>
                <w:rFonts w:ascii="仿宋_GB2312" w:hAnsi="仿宋_GB2312" w:cs="仿宋_GB2312" w:eastAsia="仿宋_GB2312"/>
              </w:rPr>
              <w:t>提供已缴存的2025年6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响应文件份数</w:t>
            </w:r>
          </w:p>
        </w:tc>
        <w:tc>
          <w:tcPr>
            <w:tcW w:type="dxa" w:w="3322"/>
          </w:tcPr>
          <w:p>
            <w:pPr>
              <w:pStyle w:val="null3"/>
            </w:pPr>
            <w:r>
              <w:rPr>
                <w:rFonts w:ascii="仿宋_GB2312" w:hAnsi="仿宋_GB2312" w:cs="仿宋_GB2312" w:eastAsia="仿宋_GB2312"/>
              </w:rPr>
              <w:t>应符合“供应商须知前附表”规定的正本、副本、电子文件数量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应满足磋商响应文件中要求的服务期</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应满足磋商响应文件中要求的服务地点</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应满足磋商响应文件中的规定</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评审内容：①对项目的理解②现状分析。 评审标准：方案各部分内容全面详细、阐述条理清晰详尽、符合本项目采购需求得8分；评审内容每缺一项扣4分，扣完为止；评审内容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供应商提供的服务方案包含：①服务理念及特色②托养服务方案③评估与总结方案④岗位培训方案。 评审标准：方案各部分内容全面详细、阐述条理清晰详尽、符合本项目采购需求得16分；评审内容每缺一项扣4分，扣完为止；评审内容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方案各部分内容全面详细、阐述条理清晰详尽、符合本项目采购需求得8分；评审内容每缺一项扣4分，扣完为止；评审内容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重难点问题解决方案</w:t>
            </w:r>
          </w:p>
        </w:tc>
        <w:tc>
          <w:tcPr>
            <w:tcW w:type="dxa" w:w="2492"/>
          </w:tcPr>
          <w:p>
            <w:pPr>
              <w:pStyle w:val="null3"/>
            </w:pPr>
            <w:r>
              <w:rPr>
                <w:rFonts w:ascii="仿宋_GB2312" w:hAnsi="仿宋_GB2312" w:cs="仿宋_GB2312" w:eastAsia="仿宋_GB2312"/>
              </w:rPr>
              <w:t>评审内容：①对本项目实施面临的重点、难点进行分析②对本项目重点、难点的应对措施。 评审标准：各部分内容全面详细、阐述条理清晰详尽、符合本项目采购需求，能保障本项目实施得8分；评审内容每缺一项扣4分，评审内容有缺陷未完全响应评审标准的扣0.5-3.5分。（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质量保障措施及制度</w:t>
            </w:r>
          </w:p>
        </w:tc>
        <w:tc>
          <w:tcPr>
            <w:tcW w:type="dxa" w:w="2492"/>
          </w:tcPr>
          <w:p>
            <w:pPr>
              <w:pStyle w:val="null3"/>
            </w:pPr>
            <w:r>
              <w:rPr>
                <w:rFonts w:ascii="仿宋_GB2312" w:hAnsi="仿宋_GB2312" w:cs="仿宋_GB2312" w:eastAsia="仿宋_GB2312"/>
              </w:rPr>
              <w:t>评审内容：根据针对本项目提供的①质量保障措施；②质量控制制度。评审标准：各部分内容全面详细、阐述条理清晰详尽、符合本项目采购需求，能保障本项目实施得8分；评审内容每缺一项扣4分，评审内容有缺陷未完全响应评审标准的扣0.5-3.5分。（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 评审标准：方案各部分内容全面详细、阐述条理清晰详尽、符合本项目采购需求得8分；评审内容每缺一项扣4分，扣完为止；评审内容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评审内容：①针对本项目提供组织框架②人员保障措施③人员岗位安排及职责④管理制度。 评审标准：方案各部分内容全面详细、阐述条理清晰详尽、符合本项目采购需求得16分；评审内容每缺一项扣4分，扣完为止；评审内容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评审内容：供应商应为本项目更好实施提供相关建议及服务承诺，内容包括①合理化建议②服务承诺。 评审标准：各部分内容全面详细、阐述条理清晰详尽、符合本项目采购需求，能保障本项目实施得8分；评审内容每缺一项扣4分，评审内容有缺陷未完全响应评审标准的扣0.5-3.5分。（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供应商提供2023年6月至今（以合同签订日期为准）类似项目业绩。 响应文件中附加盖公章的完整的合同或协议复印件，否则不作为评审依据），每提供一份有效业绩得2分，最多得10分。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磋商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详见附件：托养 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