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版本号：SCZD2026-JT-1009-001.1B120260622001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经开院区打印耗材(二次)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SCZD2026-JT-1009-001.1B1</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经开院区打印耗材(二次)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SCZD2026-JT-1009-001.1B1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经开院区打印耗材(二次)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西安市中心医院经开院区打印耗材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在递交响应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投标人参加本项目的合法授权人授权委托书：投标人参加本项目的合法授权人授权委托书；投标人应授权合法的人员参加投标全过程，其中法定代表人（单位负责人）投标的，应提供法定代表人（单位负责人）身份证明；授权代表投标的，应提供法定代表人（单位负责人）身份证明、授权委托书（及被授权人近三个月内任意一个月（不含投标当月）在本单位社保缴纳的证明）；</w:t>
      </w:r>
    </w:p>
    <w:p>
      <w:pPr>
        <w:pStyle w:val="null3"/>
      </w:pPr>
      <w:r>
        <w:rPr>
          <w:rFonts w:ascii="仿宋_GB2312" w:hAnsi="仿宋_GB2312" w:cs="仿宋_GB2312" w:eastAsia="仿宋_GB2312"/>
        </w:rPr>
        <w:t>3、投标人不得存在下列情形之一： （1）单位负责人为同一人或者存在直接控股、管理关系的不同供应商，不得参加同一合同项下的政府采购活动； （2）为本项目提供整体设计、规范编制或者项目管理、监理、检测等服务的投标人，不得再参加该采购项目的其他采购活动：投标人不得存在下列情形之一： （1）单位负责人为同一人或者存在直接控股、管理关系的不同供应商，不得参加同一合同项下的政府采购活动； （2）为本项目提供整体设计、规范编制或者项目管理、监理、检测等服务的投标人，不得再参加该采购项目的其他采购活动。</w:t>
      </w:r>
    </w:p>
    <w:p>
      <w:pPr>
        <w:pStyle w:val="null3"/>
      </w:pPr>
      <w:r>
        <w:rPr>
          <w:rFonts w:ascii="仿宋_GB2312" w:hAnsi="仿宋_GB2312" w:cs="仿宋_GB2312" w:eastAsia="仿宋_GB2312"/>
        </w:rPr>
        <w:t>4、已向采购代理机构获取采购文件：需向采购代理机构获取采购文件，未向采购代理机构获取采购文件的投标人均无资格参加投标。</w:t>
      </w:r>
    </w:p>
    <w:p>
      <w:pPr>
        <w:pStyle w:val="null3"/>
      </w:pPr>
      <w:r>
        <w:rPr>
          <w:rFonts w:ascii="仿宋_GB2312" w:hAnsi="仿宋_GB2312" w:cs="仿宋_GB2312" w:eastAsia="仿宋_GB2312"/>
        </w:rPr>
        <w:t>5、供应商非采购人单位职工及其亲属投资开办或控股的企业不存在利害关系及其他可能影响投标公正性的情形：供应商非采购人单位职工及其亲属投资开办或控股的企业不存在利害关系及其他可能影响投标公正性的情形。</w:t>
      </w:r>
    </w:p>
    <w:p>
      <w:pPr>
        <w:pStyle w:val="null3"/>
      </w:pPr>
      <w:r>
        <w:rPr>
          <w:rFonts w:ascii="仿宋_GB2312" w:hAnsi="仿宋_GB2312" w:cs="仿宋_GB2312" w:eastAsia="仿宋_GB2312"/>
        </w:rPr>
        <w:t>6、法律、行政法规规定的其他条件：不存在违反法律法规的情况</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西安市新城区西五路161号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罗琳、梁静怡、雷鹏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西安市中心医院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陕西省采购招标有限责任公司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详见拟签订合同文本。</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西安市中心医院经开院区打印耗材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西安市中心医院经开院区打印耗材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标的名称：西安市中心医院经开院区打印耗材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ind w:left="420"/>
              <w:jc w:val="both"/>
            </w:pPr>
            <w:r>
              <w:rPr>
                <w:rFonts w:ascii="仿宋_GB2312" w:hAnsi="仿宋_GB2312" w:cs="仿宋_GB2312" w:eastAsia="仿宋_GB2312"/>
                <w:sz w:val="24"/>
                <w:b/>
              </w:rPr>
              <w:t>一、项目概况</w:t>
            </w:r>
          </w:p>
          <w:p>
            <w:pPr>
              <w:pStyle w:val="null3"/>
              <w:spacing w:before="105" w:after="120"/>
              <w:ind w:firstLine="360"/>
              <w:jc w:val="both"/>
            </w:pPr>
            <w:r>
              <w:rPr>
                <w:rFonts w:ascii="仿宋_GB2312" w:hAnsi="仿宋_GB2312" w:cs="仿宋_GB2312" w:eastAsia="仿宋_GB2312"/>
                <w:sz w:val="24"/>
              </w:rPr>
              <w:t>打印耗材是我院日常信息化使用的必要基础耗材，主要包括硒鼓、墨盒等日程信息化基础设施维护使用。</w:t>
            </w:r>
          </w:p>
          <w:p>
            <w:pPr>
              <w:pStyle w:val="null3"/>
              <w:spacing w:before="105" w:after="105"/>
              <w:ind w:left="420"/>
              <w:jc w:val="both"/>
            </w:pPr>
            <w:r>
              <w:rPr>
                <w:rFonts w:ascii="仿宋_GB2312" w:hAnsi="仿宋_GB2312" w:cs="仿宋_GB2312" w:eastAsia="仿宋_GB2312"/>
                <w:sz w:val="24"/>
                <w:b/>
              </w:rPr>
              <w:t>二、采购内容</w:t>
            </w:r>
          </w:p>
          <w:tbl>
            <w:tblPr>
              <w:tblBorders>
                <w:top w:val="none" w:color="000000" w:sz="4"/>
                <w:left w:val="none" w:color="000000" w:sz="4"/>
                <w:bottom w:val="none" w:color="000000" w:sz="4"/>
                <w:right w:val="none" w:color="000000" w:sz="4"/>
                <w:insideH w:val="none"/>
                <w:insideV w:val="none"/>
              </w:tblBorders>
            </w:tblPr>
            <w:tblGrid>
              <w:gridCol w:w="192"/>
              <w:gridCol w:w="313"/>
              <w:gridCol w:w="514"/>
              <w:gridCol w:w="151"/>
              <w:gridCol w:w="878"/>
              <w:gridCol w:w="151"/>
              <w:gridCol w:w="353"/>
            </w:tblGrid>
            <w:tr>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物品名称</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适用机型</w:t>
                  </w: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是否原装</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技术参数（硒鼓墨盒A4纸张5%覆盖率）</w:t>
                  </w: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单价最高限价（元）</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爱普生L8058喷墨打印机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黑色/页数≥7200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爱普生L8058喷墨打印机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彩色/页数≥7200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惠普1112打印机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黑色/页数≥155</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惠普1112打印机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彩色/页数≥150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惠普M202DW打印机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黑色/页数≥1500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p>
                  <w:pPr>
                    <w:pStyle w:val="null3"/>
                    <w:jc w:val="center"/>
                  </w:pPr>
                  <w:r>
                    <w:rPr>
                      <w:rFonts w:ascii="仿宋_GB2312" w:hAnsi="仿宋_GB2312" w:cs="仿宋_GB2312" w:eastAsia="仿宋_GB2312"/>
                      <w:sz w:val="19"/>
                    </w:rPr>
                    <w:t xml:space="preserve"> </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硒鼓（核心产品）</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HP4004打印机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惠普178A打印机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惠普178A打印机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彩色/页数≥1000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p>
                  <w:pPr>
                    <w:pStyle w:val="null3"/>
                    <w:jc w:val="center"/>
                  </w:pPr>
                  <w:r>
                    <w:rPr>
                      <w:rFonts w:ascii="仿宋_GB2312" w:hAnsi="仿宋_GB2312" w:cs="仿宋_GB2312" w:eastAsia="仿宋_GB2312"/>
                      <w:sz w:val="19"/>
                    </w:rPr>
                    <w:t xml:space="preserve"> </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粉盒（核心产品）</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惠普MFPM227打印机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黑色/页数≥1600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p>
                  <w:pPr>
                    <w:pStyle w:val="null3"/>
                    <w:jc w:val="center"/>
                  </w:pPr>
                  <w:r>
                    <w:rPr>
                      <w:rFonts w:ascii="仿宋_GB2312" w:hAnsi="仿宋_GB2312" w:cs="仿宋_GB2312" w:eastAsia="仿宋_GB2312"/>
                      <w:sz w:val="19"/>
                    </w:rPr>
                    <w:t xml:space="preserve"> </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硒鼓（核心产品）</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惠普MFPM227打印机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黑色/页数≥12000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惠普9720喷墨打印机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黑色/页数≥1250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惠普9720喷墨打印机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彩色/页数≥800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三星M2021D打印机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黑色/页数≥1500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惠普M403DN打印机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黑色/页数≥2800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惠普M403DN打印机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黑色/页数≥3000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790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富士施乐M288b打印机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黑色/页数≥1500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富士施乐M288b打印机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黑色/页数≥8000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惠普M452打印机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黑色/页数≥2300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惠普M452打印机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彩色/页数≥2300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930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惠普1025打印机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黑色/页数≥1200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589</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惠普1025打印机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彩色/页数≥1000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惠普1566打印机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黑色/页数≥2100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惠普1505打印机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惠普9120喷墨打印机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黑色/页数≥1250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惠普9120喷墨打印机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彩色/页数≥900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兄弟FAX2890打印机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黑色/页数≥12000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兄弟2890打印机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黑色/页数≥1200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惠普1005W打印机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黑色/页数≥22000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惠普1005W打印机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黑色/页数≥3000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兄弟2260D打印机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黑色/页数≥1500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兄弟2260D打印机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黑色/页数≥10000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惠普305d打印机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黑色/页数≥2800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色带</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爱普生LQ300K打印机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原装色带芯</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富士施乐C328dw打印机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黑色/页数≥3200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富士施乐C328dw打印机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彩色/页数≥2100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惠普2035打印机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黑色/页数≥2300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惠普2035打印机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黑色/页数≥2500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色带</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爱普生520K打印机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原装色带芯</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色带</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爱普生1600K</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原装色带芯</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色带架</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爱普生LQ630K</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原装色带架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色带架</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爱普生LQ1600K3H打印机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原装色带架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佳能IP7280打印机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黑色/页数≥350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佳能IP7280打印机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彩色/页数≥350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爱普生L310打印机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黑色/页数≥6000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爱普生L310打印机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彩色/页数≥6500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佳能4810打印机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黑色/页数≥6000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佳能4810打印机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彩色/页数≥7000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惠普2677打印机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黑色/页数≥480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惠普2677打印机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彩色/页数≥150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惠普2029HC打印机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黑色/页数≥1500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惠普2029HC打印机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彩色/页数≥750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108</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佳能IP2780打印机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黑色/页数≥220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佳能IP2780打印机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彩色/页数≥244</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惠普108a打印机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黑色/页数≥1400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惠普103a打印机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黑色/页数≥1500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惠普103a打印机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黑色/页数≥1400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版纸</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理光4450复印机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320毫米X55米</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卷</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理光4450复印机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500毫升</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惠普M401d打印机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黑色/页数2560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色带架</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爱普生LQ300K打印机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原装色带架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色带架</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爱普生LQ520K打印机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原装色带架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89</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惠普M501打印机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黑色/页数≥8500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惠普M254DN打印机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黑色/页数≥1420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惠普M254DN打印机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彩色/页数≥1330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惠普180N打印机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黑色/页数≥1100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惠普180N打印机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彩色/页数≥900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富士施乐V3065复印机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黑色/页数≥25000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硒鼓组件</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富士施乐V3065复印机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黑色/页数≥80000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富士施乐V4070复印机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黑色/页数≥25000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硒鼓组件</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富士施乐V4070复印机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彩色/页数≥80000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惠普5200L打印机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黑色/页数≥7300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惠普1025打印机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黑色/页数≥16000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惠普2015打印机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黑色/页数≥3000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墨袋</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爱普生WF-5290打印机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黑色/页数≥3000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墨袋</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爱普生WF-5290打印机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彩色/页数≥3000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兄弟T920DW打印机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黑白/页数≥6500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兄弟T920DW打印机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彩色/页数≥5000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爱普生L805打印机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黑色/页数≥3000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爱普生L805打印机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彩色/页数≥5400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夏普AR1808s复印机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黑色/页数≥18000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硒鼓组件</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夏普AR1808s复印机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黑色/页数≥60000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利盟C950de复印机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黑色/页数≥32000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利盟C950de复印机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彩色/页数≥22000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惠普9120喷墨机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黑色/页数≥500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惠普9120喷墨机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彩色/页数≥800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理光2014复印机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黑色/页数≥12000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硒鼓组件</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理光2014复印机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黑色/页数≥80000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HP150NW打印机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HP150NW打印机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彩色/页数≥700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HP150NW硒鼓</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页数≥16000页</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震旦ADC240MNA打印机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彩色/页数≥2300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佳能G1830喷墨打印机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黑色/页数≥6000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佳能G1830喷墨打印机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彩色/页数≥7600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色带架</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得实DS1000针式打印机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得实原装色带架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震旦ADC240MNA打印机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黑色/页数≥3000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震旦ADC240MNA打印机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黑色/页数≥3000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震旦ADC240MNA打印机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彩色/页数≥3000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佳能MG3080喷墨打印机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黑色/页数≥300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佳能MG3080喷墨打印机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彩色/页数≥300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佳能IP1188喷墨打印机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彩色/页数≥298</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佳能IP1188喷墨打印机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黑色/页数≥298</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色带芯</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爱普生1900K2H打印机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爱普生原装色带芯</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色带架</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爱普生1900K2H打印机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爱普生原装色带架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爱普生WF7511喷墨打印机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黑色/页数≥945</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爱普生WF7511喷墨打印机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彩色/页数≥945</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佳能MF3010打印机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黑色/页数≥1500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惠普8100喷墨打印机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黑色/页数≥2300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惠普8100喷墨打印机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彩色/页数≥1500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HPM176打印机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彩色/页数≥1000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HPM176打印机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爱普生L3258喷墨打印机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黑色/页数≥4500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爱普生L3258喷墨打印机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彩色/页数≥4500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爱普生WF3641喷墨打印机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黑色/页数≥2200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爱普生WF3641喷墨打印机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彩色/页数≥1100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惠普3004DN打印机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爱普生L4268喷墨打印机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黑色/页数≥7500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爱普生L4268喷墨打印机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彩色/页数≥4500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爱普生6468喷墨打印机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黑色/页数≥7500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爱普生6468喷墨打印机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彩色/页数≥6000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色带架</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爱普生LQ-90KP针式打印机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原装色带架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理光MP3055SP复印机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黑色/页数≥24000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HPM437ndA复印机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黑色/页数≥13700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HPM454dn打印机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黑色/页数≥2400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HPM454dn打印机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彩色/页数≥2400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耐高温碳带</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得实DL-206</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混合基/110mm*70mm</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 Tank MFP1005W</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原装标准版2500页</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 Tank MFP1005W</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原装标准版</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震旦ADC309复印机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黑色/页数≥28000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震旦ADC309复印机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彩色/页数≥28000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成像鼓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震旦ADC309复印机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黑色/页数≥225000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成像鼓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震旦ADC309复印机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彩色/页数≥10000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废粉盒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震旦ADC309复印机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原装</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 Deskjet1212打印机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黑色/页数≥240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 Deskjet1212打印机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彩色/页数≥200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HP701A打印机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黑色/页数≥12000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HP105A打印机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黑色/页数≥1500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色带芯</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爱普生1600KⅣH打印机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原装色带芯</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色带架</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爱普生1600KⅣH打印机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原装色带架</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HPM208dw打印机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黑色/页数≥2600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 LaserJet MFP M437dn(A3黑白复印机)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原装/页数≥80000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 150nw激光打印机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黑色/页数≥1200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 150nw激光打印机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彩色/页数≥1200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HPM17A打印机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黑色/页数≥1500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 DEskjet2385打印机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黑色/页数≥700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 DEskjet2385打印机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黑色/页数≥700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OKI C610打印机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黑色/页数≥20000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OKI C610打印机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黑色/页数≥20000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OKI C610打印机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黑色/页数≥6000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OKI C610打印机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替代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黑色/页数≥6000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奔图CP1155DN打印机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黑色/页数≥3000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奔图CP1155DN打印机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彩色/页数≥2300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硒鼓</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奔图P3305D打印机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黑色/页数≥12000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粉盒</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奔图P3305D打印机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黑色/页数≥3000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 SMRATTANK  588</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黑色/页数≥7600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墨水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HP SMRATTANK  588</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彩色/页数≥8000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HDMI 高清线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HDMI 3米 4K高清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HDMI 高清线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HDMI 5米 4K高清</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HDMI 高清线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HDMI 10米 4K高清</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USB 延长线3米</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 3米 3.0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USB 延长线5米</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 5米 3.0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USB 打印机数据线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 1.5米 3.0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USB 打印机数据线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 2米 3.0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USB 打印机数据线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 3米 3.0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网线跳线2米</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六类千兆网线无氧铜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网线跳线3米</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六类千兆网线无氧铜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网线跳线5米</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六类千兆网线无氧铜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网线跳线10米</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六类千兆网线无氧铜</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超六类屏蔽网线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大唐电信305米 灰色  6类网线  纯铜线芯</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箱</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交换机5口</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千兆</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交换机8口</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千兆</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交换机16口</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千兆</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路由器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TP-link AC1900 5G</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HDMI转VGA转接头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HDMI转VGA转接头 带独立供电</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USB转HDMI转接头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USB转HDMI转接头</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工程VGA线25米</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工程VGA线25米</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工程HDMI线15米</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工程HDMI线15米</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工程30米VGA线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 VGA线 30米</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有线键盘</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USB/ps2   键帽字工艺：激光刻字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有线鼠标</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USB/ps2   键帽字工艺：激光刻字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无线鼠标</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连接方式：2,4G无线连接 按键数：104键使用系统Windows7以上版本</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无线键盘</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连接方式：2,4G无线连接 按键数：104键使用系统Windows7以上版本</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鼠标垫</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180*220*2mm</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鼠标垫</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300*250*3mm</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电源适配器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热敏打印机电源适配器  19V 2.4A</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电源适配器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显示器电源适配器</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电源适配器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笔记本电脑电源适配器</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主机电源</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功率：大于500W 适用于各品牌台式机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CD光盘</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CD光盘700MB 50片桶装</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DVD4.7光盘</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DVD4.7G 光盘50片装桶装</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DVD4.7光盘</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DVD4.7G 光盘单片装</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光盘套100个装</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光盘套100个装</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DVD刻录机</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USB外置DVD刻录机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有线小音箱</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有线小音箱</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窗口对讲机</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得胜DA237  音响一体麦克风  传输方式：有线 供电：外部供电  双喇叭</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翻页笔</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得力2.4GHz 绿光</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无线WIFI</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5G 千兆  带天线</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PCI-E com扩展卡</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PCI-E com扩展卡</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PCI -E网卡</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PCI -E网卡 千兆</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嘉恒0K采集卡  </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低值易耗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接口：PCI-E  型号:OK-C20-E  使用于本院采集系统图像采集</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录音笔</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低值易耗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采样率：16K、48K 内置内存32GB TF卡 操作系统：Windows7/8/10/11/MAC OS X 语音转文字、云端同步</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64G U盘</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低值易耗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容量：64GB 外壳材料：金属  最大写入速度：50MB/S 读取速度大于200MB/S</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128G U盘</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低值易耗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容量：128GB 外壳材料：金属  最大写入速度：50MB/S 读取速度大于200MB/S</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移动硬盘2T</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低值易耗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容量：2TB 移动机械硬盘    支持系统WINDOWS7以上 接口：USB3.0  尺寸：2.5英寸</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移动硬盘1T</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低值易耗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容量：1TB 移动机械硬盘    支持系统WINDOWS7以上 接口：USB3.0  尺寸：2.5英寸</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23.8寸显示器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低值易耗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接口:HDMI和GA   分辨率1920*1080  刷新率：100Hz  屏幕比例16:9</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碎纸机</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低值易耗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单次碎纸10张以上  保密等级：4及以上  可碎介质：纸  卡   光盘容量11L以上</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移动电话</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低值易耗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内存   4+64G  全网通   屏幕刷新率：90Hz</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高拍仪</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低值易耗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自带硬质底座、扫描速度：小于1S 扫描介质：文件、票据、证件、接口：USB最大幅面：A4 自动纠偏OCR文字识别</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电话水晶头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其他材料</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镀金电话语音水晶头</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电话线连接器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其他材料</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镀金电话语音水晶头连接器</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电话线整卷</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其他材料</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2芯铜芯语音电话线 长度100米  偏线</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卷</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座机电话</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其他材料</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免提通话功能、铃声音量可调、颜色白色、黑色中文显示屏</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无绳电话一拖二</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其他材料</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免提通话功能、铃声音量可调、颜色黑色   中文显示屏   母子机  一拖一</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手持扫码枪</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低值易耗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扫描精度：5mil 解码类型一维   USB接口   支持医院收费系统  检验系统   输血系统</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固定式扫描平台</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低值易耗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扫描精度：5mil 解码类型一维   USB接口  免驱 支持医院收费系统  检验系统   输血系统</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会议摄像头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低值易耗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分辨率：4K  光学变倍：3x  可预设位置3个  带遥控器</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全向麦</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低值易耗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支持主动降噪、USB、内置蓝牙、无线、带音响、内置电池 支持视频会议</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DDR3台式内存条  4G</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低值易耗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DDR3 1600MHz台式机内存兼容联想 HP 戴尔品牌机台式机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DDR4 台式内存条 8G</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低值易耗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DDR4 2666MHz台式机内存兼容联想 HP 戴尔品牌机</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摄像头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低值易耗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2K分辨率  线长大于2米</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Type-C多功能扩展坞</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其他材料</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3个USB+HDMI+网口 金属材质</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电脑线扎带</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其他材料</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魔术贴理线带10米一卷  宽度2CM 任意裁剪</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卷</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6类网线水晶头</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其他材料</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六类水晶头触点镀金  100Ps一盒</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多功能网线寻线仪</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其他材料</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适用网线CCT5 CT6  抗干扰巡线功能 带手电筒、接口类型：RJ45 RJ11</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225</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多功能网线钳</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其他材料</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功能：剥线、剪线、压线材质:高碳钢；双用电话网线钳</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226</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无线键鼠套装</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其他材料</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连接方式：2,4G无线连接 按键数：104键使用系统Windows7以上版本</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227</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台式机固态硬盘240G</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低值易耗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容量:240GB 接口：SATA /M2大小顺序速度540MB/S  顺序写入：480MB/S</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228</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台式机机械硬盘1T</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低值易耗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容量:1TB 接口：SATA 大小：3.5寸台式机机械硬盘 5400转</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229</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台式机固态硬盘1T</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低值易耗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容量:1TB 接口：SATA 大小顺序速度540MB/S  顺序写入：480MB/S</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USB 延长线3米</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 0.5米 3.0</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231</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AI鼠标</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语音交互：普通话识别准确率≥98% 输入速度≥400字/分钟。语言互译，驱动内集成AI模型（如豆包，Deepseek)   支持2.4G无线及蓝牙连接</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232</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台式机硬盘2T</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低值易耗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容量:2TB 接口：SATA 大小：3.5寸台式机机械硬盘 5400转</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台式机硬盘4T</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低值易耗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容量:4TB 接口：SATA 大小：3.5寸台式机机械硬盘 5400转</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234</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身份证读卡器</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低值易耗</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支持正件：二代身份证、港奥台居住证、外国人永久居留身份证、识别率：≥99.9%、供电：USB5V供电无需外接电源支持医院各软件调用功能</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89236.2</w:t>
                  </w:r>
                </w:p>
              </w:tc>
            </w:tr>
          </w:tbl>
          <w:p>
            <w:pPr>
              <w:pStyle w:val="null3"/>
              <w:spacing w:before="105" w:after="105"/>
              <w:ind w:left="420"/>
              <w:jc w:val="both"/>
            </w:pPr>
            <w:r>
              <w:rPr>
                <w:rFonts w:ascii="仿宋_GB2312" w:hAnsi="仿宋_GB2312" w:cs="仿宋_GB2312" w:eastAsia="仿宋_GB2312"/>
                <w:sz w:val="24"/>
                <w:b/>
              </w:rPr>
              <w:t>三、服务要求</w:t>
            </w:r>
          </w:p>
          <w:p>
            <w:pPr>
              <w:pStyle w:val="null3"/>
              <w:spacing w:before="105" w:after="105"/>
              <w:ind w:firstLine="480"/>
              <w:jc w:val="both"/>
            </w:pPr>
            <w:r>
              <w:rPr>
                <w:rFonts w:ascii="仿宋_GB2312" w:hAnsi="仿宋_GB2312" w:cs="仿宋_GB2312" w:eastAsia="仿宋_GB2312"/>
                <w:sz w:val="24"/>
              </w:rPr>
              <w:t>供应商签订合同后，根据采购人的采购需要送货，送至到采购人处。</w:t>
            </w:r>
          </w:p>
          <w:p>
            <w:pPr>
              <w:pStyle w:val="null3"/>
              <w:spacing w:before="105" w:after="105"/>
              <w:ind w:left="420"/>
              <w:jc w:val="both"/>
            </w:pPr>
            <w:r>
              <w:rPr>
                <w:rFonts w:ascii="仿宋_GB2312" w:hAnsi="仿宋_GB2312" w:cs="仿宋_GB2312" w:eastAsia="仿宋_GB2312"/>
                <w:sz w:val="24"/>
                <w:b/>
              </w:rPr>
              <w:t>四、商务要求</w:t>
            </w:r>
          </w:p>
          <w:p>
            <w:pPr>
              <w:pStyle w:val="null3"/>
              <w:ind w:firstLine="480"/>
              <w:jc w:val="both"/>
            </w:pPr>
            <w:r>
              <w:rPr>
                <w:rFonts w:ascii="仿宋_GB2312" w:hAnsi="仿宋_GB2312" w:cs="仿宋_GB2312" w:eastAsia="仿宋_GB2312"/>
                <w:sz w:val="24"/>
              </w:rPr>
              <w:t>1.供货期：自合同签订之日起一年，按需配送。</w:t>
            </w:r>
          </w:p>
          <w:p>
            <w:pPr>
              <w:pStyle w:val="null3"/>
              <w:spacing w:before="105" w:after="105"/>
              <w:ind w:firstLine="480"/>
              <w:jc w:val="both"/>
            </w:pPr>
            <w:r>
              <w:rPr>
                <w:rFonts w:ascii="仿宋_GB2312" w:hAnsi="仿宋_GB2312" w:cs="仿宋_GB2312" w:eastAsia="仿宋_GB2312"/>
                <w:sz w:val="24"/>
              </w:rPr>
              <w:t>2.交货时间：接到采购人订单之日起</w:t>
            </w:r>
            <w:r>
              <w:rPr>
                <w:rFonts w:ascii="仿宋_GB2312" w:hAnsi="仿宋_GB2312" w:cs="仿宋_GB2312" w:eastAsia="仿宋_GB2312"/>
                <w:sz w:val="24"/>
                <w:u w:val="single"/>
              </w:rPr>
              <w:t>3</w:t>
            </w:r>
            <w:r>
              <w:rPr>
                <w:rFonts w:ascii="仿宋_GB2312" w:hAnsi="仿宋_GB2312" w:cs="仿宋_GB2312" w:eastAsia="仿宋_GB2312"/>
                <w:sz w:val="24"/>
              </w:rPr>
              <w:t>日内交货，每周配送2-3次。</w:t>
            </w:r>
          </w:p>
          <w:p>
            <w:pPr>
              <w:pStyle w:val="null3"/>
              <w:jc w:val="both"/>
            </w:pPr>
            <w:r>
              <w:rPr>
                <w:rFonts w:ascii="仿宋_GB2312" w:hAnsi="仿宋_GB2312" w:cs="仿宋_GB2312" w:eastAsia="仿宋_GB2312"/>
                <w:sz w:val="24"/>
              </w:rPr>
              <w:t>3.款项结算：合同签订后每个月5个工作日内根据各中标供应商所供货物的实际数量据实结算一次。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接到采购人订单之日起3日内交货，每周配送2-3次。</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进度款，合同签订后每个月5个工作日内根据乙方所供货物的实际数量据实结算一次。，达到付款条件起30个工作日内，支付合同总金额的100.0%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付款条件说明： 合同签订后每个月5个工作日内根据乙方所供货物的实际数量据实结算一次。 （以合同签订为准）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响应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投标人参加本项目的合法授权人授权委托书</w:t>
            </w:r>
          </w:p>
        </w:tc>
        <w:tc>
          <w:tcPr>
            <w:tcW w:type="dxa" w:w="3322"/>
          </w:tcPr>
          <w:p>
            <w:pPr>
              <w:pStyle w:val="null3"/>
            </w:pPr>
            <w:r>
              <w:rPr>
                <w:rFonts w:ascii="仿宋_GB2312" w:hAnsi="仿宋_GB2312" w:cs="仿宋_GB2312" w:eastAsia="仿宋_GB2312"/>
              </w:rPr>
              <w:t>投标人参加本项目的合法授权人授权委托书；投标人应授权合法的人员参加投标全过程，其中法定代表人（单位负责人）投标的，应提供法定代表人（单位负责人）身份证明；授权代表投标的，应提供法定代表人（单位负责人）身份证明、授权委托书（及被授权人近三个月内任意一个月（不含投标当月）在本单位社保缴纳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投标人不得存在下列情形之一： （1）单位负责人为同一人或者存在直接控股、管理关系的不同供应商，不得参加同一合同项下的政府采购活动； （2）为本项目提供整体设计、规范编制或者项目管理、监理、检测等服务的投标人，不得再参加该采购项目的其他采购活动</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（1）单位负责人为同一人或者存在直接控股、管理关系的不同供应商，不得参加同一合同项下的政府采购活动； （2）为本项目提供整体设计、规范编制或者项目管理、监理、检测等服务的投标人，不得再参加该采购项目的其他采购活动。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需向采购代理机构获取采购文件，未向采购代理机构获取采购文件的投标人均无资格参加投标。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332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2.异常低价审查 2.1评审中出现下列情形之一的，谈判小组应当启动异常低价投标审查程序：（1）响应报价低于采购项目最高限价45%的，即响应报价&lt;采购项目最高限价×45%；（2）谈判小组基于专业判断，认为供应商报价过低，有可能影响产品质量或者不能诚信履约的其他情形。相关法律法规对供应商报价有规定的，从其规定。2.2谈判小组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谈判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谈判小组应当将其作为无效投标处理。</w:t>
            </w:r>
          </w:p>
        </w:tc>
        <w:tc>
          <w:tcPr>
            <w:tcW w:type="dxa" w:w="1661"/>
          </w:tcPr>
          <w:p>
            <w:pPr>
              <w:pStyle w:val="null3"/>
            </w:pPr>
            <w:r>
              <w:rPr>
                <w:rFonts w:ascii="仿宋_GB2312" w:hAnsi="仿宋_GB2312" w:cs="仿宋_GB2312" w:eastAsia="仿宋_GB2312"/>
              </w:rPr>
              <w:t>标的清单 响应分项报价表-NEW.docx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响应文件按谈判文件要求签署、盖章</w:t>
            </w:r>
          </w:p>
        </w:tc>
        <w:tc>
          <w:tcPr>
            <w:tcW w:type="dxa" w:w="1661"/>
          </w:tcPr>
          <w:p>
            <w:pPr>
              <w:pStyle w:val="null3"/>
            </w:pPr>
            <w:r>
              <w:rPr>
                <w:rFonts w:ascii="仿宋_GB2312" w:hAnsi="仿宋_GB2312" w:cs="仿宋_GB2312" w:eastAsia="仿宋_GB2312"/>
              </w:rPr>
              <w:t>供应商参加政府采购活动承诺书.docx 本国产品说明 中小企业声明函 中国境内生产的组件成本核算基本规则 节能产品、环境标志产品明细表.docx 资格证明文件.docx 响应方案.docx 响应文件封面 残疾人福利性单位声明函 标的清单 关于符合本国产品标准的声明函 响应分项报价表-NEW.docx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响应有效期满足谈判文件要求的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响应人首次响应报价没有超出采购预算或最高限价或单价最高限价</w:t>
            </w:r>
          </w:p>
        </w:tc>
        <w:tc>
          <w:tcPr>
            <w:tcW w:type="dxa" w:w="1661"/>
          </w:tcPr>
          <w:p>
            <w:pPr>
              <w:pStyle w:val="null3"/>
            </w:pPr>
            <w:r>
              <w:rPr>
                <w:rFonts w:ascii="仿宋_GB2312" w:hAnsi="仿宋_GB2312" w:cs="仿宋_GB2312" w:eastAsia="仿宋_GB2312"/>
              </w:rPr>
              <w:t>标的清单 响应分项报价表-NEW.docx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响应内容不存在漏项或数量与要求不符合谈判文件规定情形，响应内容满足谈判文件的商务、技术等实质性要求，不存在采购档次降低或影响采购性能、功能的情形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遵循公平竞争的原则，没有弄虚作假、恶意串通或妨碍其他响应人的竞争行为，损害采购人或者其他响应人的合法权益。</w:t>
            </w:r>
          </w:p>
        </w:tc>
        <w:tc>
          <w:tcPr>
            <w:tcW w:type="dxa" w:w="1661"/>
          </w:tcPr>
          <w:p>
            <w:pPr>
              <w:pStyle w:val="null3"/>
            </w:pPr>
            <w:r>
              <w:rPr>
                <w:rFonts w:ascii="仿宋_GB2312" w:hAnsi="仿宋_GB2312" w:cs="仿宋_GB2312" w:eastAsia="仿宋_GB2312"/>
              </w:rPr>
              <w:t>供应商参加政府采购活动承诺书.docx 本国产品说明 中小企业声明函 中国境内生产的组件成本核算基本规则 节能产品、环境标志产品明细表.docx 资格证明文件.docx 响应方案.docx 响应文件封面 残疾人福利性单位声明函 标的清单 关于符合本国产品标准的声明函 响应分项报价表-NEW.docx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不存在其它不符合法律法规或谈判文件规定的响应无效条款的情形</w:t>
            </w:r>
          </w:p>
        </w:tc>
        <w:tc>
          <w:tcPr>
            <w:tcW w:type="dxa" w:w="1661"/>
          </w:tcPr>
          <w:p>
            <w:pPr>
              <w:pStyle w:val="null3"/>
            </w:pPr>
            <w:r>
              <w:rPr>
                <w:rFonts w:ascii="仿宋_GB2312" w:hAnsi="仿宋_GB2312" w:cs="仿宋_GB2312" w:eastAsia="仿宋_GB2312"/>
              </w:rPr>
              <w:t>供应商参加政府采购活动承诺书.docx 本国产品说明 中小企业声明函 中国境内生产的组件成本核算基本规则 节能产品、环境标志产品明细表.docx 资格证明文件.docx 响应方案.docx 响应文件封面 残疾人福利性单位声明函 标的清单 关于符合本国产品标准的声明函 响应分项报价表-NEW.docx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93"/>
        <w:gridCol w:w="1780"/>
        <w:gridCol w:w="3560"/>
        <w:gridCol w:w="1187"/>
        <w:gridCol w:w="1187"/>
      </w:tblGrid>
      <w:tr>
        <w:tc>
          <w:tcPr>
            <w:tcW w:type="dxa" w:w="593"/>
          </w:tcPr>
          <w:p>
            <w:pPr>
              <w:pStyle w:val="null3"/>
            </w:pPr>
            <w:r>
              <w:rPr>
                <w:rFonts w:ascii="仿宋_GB2312" w:hAnsi="仿宋_GB2312" w:cs="仿宋_GB2312" w:eastAsia="仿宋_GB2312"/>
              </w:rPr>
              <w:t xml:space="preserve"> 序号</w:t>
            </w:r>
          </w:p>
        </w:tc>
        <w:tc>
          <w:tcPr>
            <w:tcW w:type="dxa" w:w="1780"/>
          </w:tcPr>
          <w:p>
            <w:pPr>
              <w:pStyle w:val="null3"/>
            </w:pPr>
            <w:r>
              <w:rPr>
                <w:rFonts w:ascii="仿宋_GB2312" w:hAnsi="仿宋_GB2312" w:cs="仿宋_GB2312" w:eastAsia="仿宋_GB2312"/>
              </w:rPr>
              <w:t xml:space="preserve"> 评审点要求概况</w:t>
            </w:r>
          </w:p>
        </w:tc>
        <w:tc>
          <w:tcPr>
            <w:tcW w:type="dxa" w:w="3560"/>
          </w:tcPr>
          <w:p>
            <w:pPr>
              <w:pStyle w:val="null3"/>
            </w:pPr>
            <w:r>
              <w:rPr>
                <w:rFonts w:ascii="仿宋_GB2312" w:hAnsi="仿宋_GB2312" w:cs="仿宋_GB2312" w:eastAsia="仿宋_GB2312"/>
              </w:rPr>
              <w:t xml:space="preserve"> 异常低价的情形</w:t>
            </w:r>
          </w:p>
        </w:tc>
      </w:tr>
      <w:tr>
        <w:tc>
          <w:tcPr>
            <w:tcW w:type="dxa" w:w="8307"/>
            <w:gridSpan w:val="5"/>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响应分项报价表-NEW.docx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标的清单 关于符合本国产品标准的声明函 响应分项报价表-NEW.docx 报价表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详见附件：响应分项报价表-NEW.docx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详见附件：拟签订合同文本-0622.docx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