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版本号：GDZX-CS-F-26(004)20260610001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商洛市冷水鱼苗种繁育中心项目监理服务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GDZX-CS-F-26(004)</w:t>
      </w:r>
      <w:r>
        <w:br/>
      </w:r>
      <w:r>
        <w:br/>
      </w:r>
      <w:r>
        <w:br/>
      </w:r>
    </w:p>
    <w:p>
      <w:pPr>
        <w:pStyle w:val="null3"/>
        <w:jc w:val="center"/>
        <w:outlineLvl w:val="2"/>
      </w:pPr>
      <w:r>
        <w:rPr>
          <w:rFonts w:ascii="仿宋_GB2312" w:hAnsi="仿宋_GB2312" w:cs="仿宋_GB2312" w:eastAsia="仿宋_GB2312"/>
          <w:sz w:val="28"/>
          <w:b/>
        </w:rPr>
        <w:t>商洛市水产工作站</w:t>
      </w:r>
    </w:p>
    <w:p>
      <w:pPr>
        <w:pStyle w:val="null3"/>
        <w:jc w:val="center"/>
        <w:outlineLvl w:val="2"/>
      </w:pPr>
      <w:r>
        <w:rPr>
          <w:rFonts w:ascii="仿宋_GB2312" w:hAnsi="仿宋_GB2312" w:cs="仿宋_GB2312" w:eastAsia="仿宋_GB2312"/>
          <w:sz w:val="28"/>
          <w:b/>
        </w:rPr>
        <w:t>观点项目管理咨询有限公司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观点项目管理咨询有限公司</w:t>
      </w:r>
      <w:r>
        <w:rPr>
          <w:rFonts w:ascii="仿宋_GB2312" w:hAnsi="仿宋_GB2312" w:cs="仿宋_GB2312" w:eastAsia="仿宋_GB2312"/>
        </w:rPr>
        <w:t>（以下简称“代理机构”）受</w:t>
      </w:r>
      <w:r>
        <w:rPr>
          <w:rFonts w:ascii="仿宋_GB2312" w:hAnsi="仿宋_GB2312" w:cs="仿宋_GB2312" w:eastAsia="仿宋_GB2312"/>
        </w:rPr>
        <w:t>商洛市水产工作站</w:t>
      </w:r>
      <w:r>
        <w:rPr>
          <w:rFonts w:ascii="仿宋_GB2312" w:hAnsi="仿宋_GB2312" w:cs="仿宋_GB2312" w:eastAsia="仿宋_GB2312"/>
        </w:rPr>
        <w:t>委托，拟对</w:t>
      </w:r>
      <w:r>
        <w:rPr>
          <w:rFonts w:ascii="仿宋_GB2312" w:hAnsi="仿宋_GB2312" w:cs="仿宋_GB2312" w:eastAsia="仿宋_GB2312"/>
        </w:rPr>
        <w:t>商洛市冷水鱼苗种繁育中心项目监理服务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GDZX-CS-F-26(004)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商洛市冷水鱼苗种繁育中心项目监理服务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商洛市冷⽔⻥苗种繁育中⼼施⼯过程监理服务⼯作。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采购包1（商洛市冷水鱼苗种繁育中心项目监理服务）：属于专门面向中小企业采购。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应具有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财务状况：提供供应商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帐户开户证明；</w:t>
      </w:r>
    </w:p>
    <w:p>
      <w:pPr>
        <w:pStyle w:val="null3"/>
      </w:pPr>
      <w:r>
        <w:rPr>
          <w:rFonts w:ascii="仿宋_GB2312" w:hAnsi="仿宋_GB2312" w:cs="仿宋_GB2312" w:eastAsia="仿宋_GB2312"/>
        </w:rPr>
        <w:t>3、税收缴纳证明：提供近开标前一年内至今已缴纳的任意一个月的完税证明（任意税种）。依法免税的单位应提供相关证明材料；</w:t>
      </w:r>
    </w:p>
    <w:p>
      <w:pPr>
        <w:pStyle w:val="null3"/>
      </w:pPr>
      <w:r>
        <w:rPr>
          <w:rFonts w:ascii="仿宋_GB2312" w:hAnsi="仿宋_GB2312" w:cs="仿宋_GB2312" w:eastAsia="仿宋_GB2312"/>
        </w:rPr>
        <w:t>4、社会保障资金缴纳证明：提供开标前一年内至今已缴纳的任意一个月的社保缴纳证明。依法不需要缴纳社会保障资金的单位应提供相关证明材料；</w:t>
      </w:r>
    </w:p>
    <w:p>
      <w:pPr>
        <w:pStyle w:val="null3"/>
      </w:pPr>
      <w:r>
        <w:rPr>
          <w:rFonts w:ascii="仿宋_GB2312" w:hAnsi="仿宋_GB2312" w:cs="仿宋_GB2312" w:eastAsia="仿宋_GB2312"/>
        </w:rPr>
        <w:t>5、书面声明：参加政府采购活动前3年内，在经营活动中没有重大违法记录的承诺；</w:t>
      </w:r>
    </w:p>
    <w:p>
      <w:pPr>
        <w:pStyle w:val="null3"/>
      </w:pPr>
      <w:r>
        <w:rPr>
          <w:rFonts w:ascii="仿宋_GB2312" w:hAnsi="仿宋_GB2312" w:cs="仿宋_GB2312" w:eastAsia="仿宋_GB2312"/>
        </w:rPr>
        <w:t>6、书面声明：履行合同所必需的设备和专业技术能力的承诺；</w:t>
      </w:r>
    </w:p>
    <w:p>
      <w:pPr>
        <w:pStyle w:val="null3"/>
      </w:pPr>
      <w:r>
        <w:rPr>
          <w:rFonts w:ascii="仿宋_GB2312" w:hAnsi="仿宋_GB2312" w:cs="仿宋_GB2312" w:eastAsia="仿宋_GB2312"/>
        </w:rPr>
        <w:t>7、信誉截图：供应商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供应商鲜章，查询时间为发售文件之日至开标当日）；</w:t>
      </w:r>
    </w:p>
    <w:p>
      <w:pPr>
        <w:pStyle w:val="null3"/>
      </w:pPr>
      <w:r>
        <w:rPr>
          <w:rFonts w:ascii="仿宋_GB2312" w:hAnsi="仿宋_GB2312" w:cs="仿宋_GB2312" w:eastAsia="仿宋_GB2312"/>
        </w:rPr>
        <w:t>8、供应商代表证明文件：供应商提供法定代表人授权书（附法定代表人及代理人身份证正反两面）及代理人身份证原件。法定代表人直接参加只须提交其法人身份证原件及复印件加盖公章；</w:t>
      </w:r>
    </w:p>
    <w:p>
      <w:pPr>
        <w:pStyle w:val="null3"/>
      </w:pPr>
      <w:r>
        <w:rPr>
          <w:rFonts w:ascii="仿宋_GB2312" w:hAnsi="仿宋_GB2312" w:cs="仿宋_GB2312" w:eastAsia="仿宋_GB2312"/>
        </w:rPr>
        <w:t>9、本项目不接受联合体：本项目不接受联合体磋商，供应商须提供《非联合体磋商声明》；</w:t>
      </w:r>
    </w:p>
    <w:p>
      <w:pPr>
        <w:pStyle w:val="null3"/>
      </w:pPr>
      <w:r>
        <w:rPr>
          <w:rFonts w:ascii="仿宋_GB2312" w:hAnsi="仿宋_GB2312" w:cs="仿宋_GB2312" w:eastAsia="仿宋_GB2312"/>
        </w:rPr>
        <w:t>10、磋商保证金：供应商提供磋商保证金缴纳凭证。</w:t>
      </w:r>
    </w:p>
    <w:p>
      <w:pPr>
        <w:pStyle w:val="null3"/>
      </w:pPr>
      <w:r>
        <w:rPr>
          <w:rFonts w:ascii="仿宋_GB2312" w:hAnsi="仿宋_GB2312" w:cs="仿宋_GB2312" w:eastAsia="仿宋_GB2312"/>
        </w:rPr>
        <w:t>11、资质要求：具备房屋建筑工程监理乙级及以上资质；</w:t>
      </w:r>
    </w:p>
    <w:p>
      <w:pPr>
        <w:pStyle w:val="null3"/>
      </w:pPr>
      <w:r>
        <w:rPr>
          <w:rFonts w:ascii="仿宋_GB2312" w:hAnsi="仿宋_GB2312" w:cs="仿宋_GB2312" w:eastAsia="仿宋_GB2312"/>
        </w:rPr>
        <w:t>12、项目负责人：具备房屋建筑工程专业国家注册监理工程师资格，在本单位注册且无在监工程（提供无在监理工程承诺书）；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商洛市水产工作站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商洛市商州区北新街134号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13991427840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观点项目管理咨询有限公司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陕西省商洛市商州区民生路同城置业6楼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霍立婷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18509279038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开户名称：观点项目管理咨询有限公司</w:t>
            </w:r>
          </w:p>
          <w:p>
            <w:pPr>
              <w:pStyle w:val="null3"/>
            </w:pPr>
            <w:r>
              <w:rPr>
                <w:rFonts w:ascii="仿宋_GB2312" w:hAnsi="仿宋_GB2312" w:cs="仿宋_GB2312" w:eastAsia="仿宋_GB2312"/>
              </w:rPr>
              <w:t>开户银行：中信银行股份有限公司陕西自贸试验区西安科技路支行</w:t>
            </w:r>
          </w:p>
          <w:p>
            <w:pPr>
              <w:pStyle w:val="null3"/>
            </w:pPr>
            <w:r>
              <w:rPr>
                <w:rFonts w:ascii="仿宋_GB2312" w:hAnsi="仿宋_GB2312" w:cs="仿宋_GB2312" w:eastAsia="仿宋_GB2312"/>
              </w:rPr>
              <w:t>银行账号：8111701012600566031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招标代理服务收费管理暂行办法》的通知(计价格(2002)1980号)、《国家发展改革委关于降低部分建设项目收费标准规范收费行为等有关问题的通知》(发改价格[2011]534号)规定的收费标准收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商洛市水产工作站</w:t>
      </w:r>
      <w:r>
        <w:rPr>
          <w:rFonts w:ascii="仿宋_GB2312" w:hAnsi="仿宋_GB2312" w:cs="仿宋_GB2312" w:eastAsia="仿宋_GB2312"/>
        </w:rPr>
        <w:t>和</w:t>
      </w:r>
      <w:r>
        <w:rPr>
          <w:rFonts w:ascii="仿宋_GB2312" w:hAnsi="仿宋_GB2312" w:cs="仿宋_GB2312" w:eastAsia="仿宋_GB2312"/>
        </w:rPr>
        <w:t>观点项目管理咨询有限公司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商洛市水产工作站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观点项目管理咨询有限公司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商洛市水产工作站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观点项目管理咨询有限公司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观点项目管理咨询有限公司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观点项目管理咨询有限公司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观点项目管理咨询有限公司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联系人：霍立婷</w:t>
      </w:r>
    </w:p>
    <w:p>
      <w:pPr>
        <w:pStyle w:val="null3"/>
      </w:pPr>
      <w:r>
        <w:rPr>
          <w:rFonts w:ascii="仿宋_GB2312" w:hAnsi="仿宋_GB2312" w:cs="仿宋_GB2312" w:eastAsia="仿宋_GB2312"/>
        </w:rPr>
        <w:t>联系电话：18509279038</w:t>
      </w:r>
    </w:p>
    <w:p>
      <w:pPr>
        <w:pStyle w:val="null3"/>
      </w:pPr>
      <w:r>
        <w:rPr>
          <w:rFonts w:ascii="仿宋_GB2312" w:hAnsi="仿宋_GB2312" w:cs="仿宋_GB2312" w:eastAsia="仿宋_GB2312"/>
        </w:rPr>
        <w:t>地址：陕西省商洛市商州区民生路同城置业6楼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商洛市冷水鱼苗种繁育中心施工过程监理服务工作。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商洛市冷水鱼苗种繁育中心施工过程及质保期内的监理服务工作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标的名称：商洛市冷水鱼苗种繁育中心施工过程及质保期内的监理服务工作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服务期</w:t>
            </w:r>
            <w:r>
              <w:rPr>
                <w:rFonts w:ascii="仿宋_GB2312" w:hAnsi="仿宋_GB2312" w:cs="仿宋_GB2312" w:eastAsia="仿宋_GB2312"/>
                <w:sz w:val="21"/>
              </w:rPr>
              <w:t>：</w:t>
            </w:r>
            <w:r>
              <w:rPr>
                <w:rFonts w:ascii="仿宋_GB2312" w:hAnsi="仿宋_GB2312" w:cs="仿宋_GB2312" w:eastAsia="仿宋_GB2312"/>
                <w:sz w:val="21"/>
              </w:rPr>
              <w:t>300日历天。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w:t>
            </w:r>
            <w:r>
              <w:rPr>
                <w:rFonts w:ascii="仿宋_GB2312" w:hAnsi="仿宋_GB2312" w:cs="仿宋_GB2312" w:eastAsia="仿宋_GB2312"/>
                <w:sz w:val="21"/>
              </w:rPr>
              <w:t>地点：</w:t>
            </w:r>
            <w:r>
              <w:rPr>
                <w:rFonts w:ascii="仿宋_GB2312" w:hAnsi="仿宋_GB2312" w:cs="仿宋_GB2312" w:eastAsia="仿宋_GB2312"/>
                <w:sz w:val="21"/>
              </w:rPr>
              <w:t>采购人指定地点。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需满足的要求：满足政府采购法第二十二条；监理公司必须具备相应资质等级，具备监理服务所必须的设备、人员和专业技术能力。</w:t>
            </w:r>
          </w:p>
          <w:p>
            <w:pPr>
              <w:pStyle w:val="null3"/>
              <w:jc w:val="both"/>
            </w:pPr>
            <w:r>
              <w:rPr>
                <w:rFonts w:ascii="仿宋_GB2312" w:hAnsi="仿宋_GB2312" w:cs="仿宋_GB2312" w:eastAsia="仿宋_GB2312"/>
                <w:sz w:val="21"/>
              </w:rPr>
              <w:t>4.付款方式：</w:t>
            </w:r>
            <w:r>
              <w:rPr>
                <w:rFonts w:ascii="仿宋_GB2312" w:hAnsi="仿宋_GB2312" w:cs="仿宋_GB2312" w:eastAsia="仿宋_GB2312"/>
                <w:sz w:val="21"/>
              </w:rPr>
              <w:t>最终依采购人与成交供应商签订的合同为准。</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供应商须按本项目监理服务内容及实施阶段，组建满足工程全过程监理需求的项目监理机构，人员配置须符合《建设工程监理规范》（GB/T 50319）、采购文件要求及相关行业标准规定。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进度款，合同签订后1个月内，达到付款条件起30个工作日内，支付合同总金额的30.0%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进度款，项目主体完工，达到付款条件起30个工作日内，支付合同总金额的50.0%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进度款，监理与相关服务期届满15日内，达到付款条件起15个工作日内，支付合同总金额的20.0%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响应文件封面 中小企业声明函 残疾人福利性单位声明函 服务内容及服务要求应答表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应具有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提供近开标前一年内至今已缴纳的任意一个月的完税证明（任意税种）。依法免税的单位应提供相关证明材料；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提供开标前一年内至今已缴纳的任意一个月的社保缴纳证明。依法不需要缴纳社会保障资金的单位应提供相关证明材料；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供应商鲜章，查询时间为发售文件之日至开标当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供应商代表证明文件</w:t>
            </w:r>
          </w:p>
        </w:tc>
        <w:tc>
          <w:tcPr>
            <w:tcW w:type="dxa" w:w="3322"/>
          </w:tcPr>
          <w:p>
            <w:pPr>
              <w:pStyle w:val="null3"/>
            </w:pPr>
            <w:r>
              <w:rPr>
                <w:rFonts w:ascii="仿宋_GB2312" w:hAnsi="仿宋_GB2312" w:cs="仿宋_GB2312" w:eastAsia="仿宋_GB2312"/>
              </w:rPr>
              <w:t>供应商提供法定代表人授权书（附法定代表人及代理人身份证正反两面）及代理人身份证原件。法定代表人直接参加只须提交其法人身份证原件及复印件加盖公章；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本项目不接受联合体磋商，供应商须提供《非联合体磋商声明》；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供应商提供磋商保证金缴纳凭证。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具备房屋建筑工程监理乙级及以上资质；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具备房屋建筑工程专业国家注册监理工程师资格，在本单位注册且无在监工程（提供无在监理工程承诺书）；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磋商响应文件里法定代表人或其授权代表人的签字齐全并在需要处加盖公司公章</w:t>
            </w:r>
          </w:p>
        </w:tc>
        <w:tc>
          <w:tcPr>
            <w:tcW w:type="dxa" w:w="1661"/>
          </w:tcPr>
          <w:p>
            <w:pPr>
              <w:pStyle w:val="null3"/>
            </w:pPr>
            <w:r>
              <w:rPr>
                <w:rFonts w:ascii="仿宋_GB2312" w:hAnsi="仿宋_GB2312" w:cs="仿宋_GB2312" w:eastAsia="仿宋_GB2312"/>
              </w:rPr>
              <w:t>响应文件封面 中小企业声明函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中小企业声明函 商务应答表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提供企业2023年01月01日至本项目磋商响应文件递交截止时间止房屋建筑工程监理业绩（附合同复印件）每提供1项类似项目业绩得3分，满分12分。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监理方案</w:t>
            </w:r>
          </w:p>
        </w:tc>
        <w:tc>
          <w:tcPr>
            <w:tcW w:type="dxa" w:w="2492"/>
          </w:tcPr>
          <w:p>
            <w:pPr>
              <w:pStyle w:val="null3"/>
            </w:pPr>
            <w:r>
              <w:rPr>
                <w:rFonts w:ascii="仿宋_GB2312" w:hAnsi="仿宋_GB2312" w:cs="仿宋_GB2312" w:eastAsia="仿宋_GB2312"/>
              </w:rPr>
              <w:t>1. 工程理解与重难点分析： 准确理解项目特点、难点、风险点，针对性强：6 分； 基本理解，要点齐全：4 分； 理解肤浅、缺项：2 分； 未提供不得分。 2. 进度控制措施： 进度计划审核、关键线路把控、工期预警与协调机制完善：6 分； 措施可行：4 分； 措施一般：2 分； 未提供不得分。 3. 投资控制与合同管理： 工程量审核、变更签证、索赔处理、造价控制方案完整：6 分； 基本覆盖：4 分； 缺项严重：2 分； 未提供不得分。 4. 信息管理与资料归档： 资料管理体系、信息化手段（监理日志、影像、台账）、归档规范：6 分； 基本满足：3 分； 未提供不得分。 5. 协调与服务承诺： 协调机制健全、驻场服务、响应时间、配合验收等承诺明确：4 分； 一般：2 分； 未提供不得分。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1.质量目标明确、事前 / 事中 / 事后控制完整、旁站 / 巡视 / 平行检验方案具体：6 分； 2.措施基本齐全、可操作：4 分； 3.内容空泛、无针对性：2 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三大体系证书</w:t>
            </w:r>
          </w:p>
        </w:tc>
        <w:tc>
          <w:tcPr>
            <w:tcW w:type="dxa" w:w="2492"/>
          </w:tcPr>
          <w:p>
            <w:pPr>
              <w:pStyle w:val="null3"/>
            </w:pPr>
            <w:r>
              <w:rPr>
                <w:rFonts w:ascii="仿宋_GB2312" w:hAnsi="仿宋_GB2312" w:cs="仿宋_GB2312" w:eastAsia="仿宋_GB2312"/>
              </w:rPr>
              <w:t>1.ISO9001 质量管理体系认证得2分；2.ISO14001 环境管理体系得2分；3.ISO45001 职业健康安全管理体系认证证书得2分；4.未提供不得分。（提供有效期内证书复印件加盖公章）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安全生产与文明施工监理</w:t>
            </w:r>
          </w:p>
        </w:tc>
        <w:tc>
          <w:tcPr>
            <w:tcW w:type="dxa" w:w="2492"/>
          </w:tcPr>
          <w:p>
            <w:pPr>
              <w:pStyle w:val="null3"/>
            </w:pPr>
            <w:r>
              <w:rPr>
                <w:rFonts w:ascii="仿宋_GB2312" w:hAnsi="仿宋_GB2312" w:cs="仿宋_GB2312" w:eastAsia="仿宋_GB2312"/>
              </w:rPr>
              <w:t>1.安全生产与文明施工监理： 安全监理体系、危大工程专项方案审查、安全巡查 + 隐患闭环、文明施工措施到位：6 分； 2.措施基本到位：4 分；3. 内容薄弱：2 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监理组织机构与人员配置</w:t>
            </w:r>
          </w:p>
        </w:tc>
        <w:tc>
          <w:tcPr>
            <w:tcW w:type="dxa" w:w="2492"/>
          </w:tcPr>
          <w:p>
            <w:pPr>
              <w:pStyle w:val="null3"/>
            </w:pPr>
            <w:r>
              <w:rPr>
                <w:rFonts w:ascii="仿宋_GB2312" w:hAnsi="仿宋_GB2312" w:cs="仿宋_GB2312" w:eastAsia="仿宋_GB2312"/>
              </w:rPr>
              <w:t>1.机构健全、岗位职责清晰、人员持证匹配（总监 / 专监 / 监理员）、专业配套齐全最多得 6 分； 人员缺一个证扣一分； 2.人员年龄在30-55得2分，其他得1分。最多得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满足磋商文件要求且最后报价最低的合格供应商的价格为磋商基准价，其价格分为满分。其他供应商的报价得分统一按照下列公式计算： 磋商总报价得分=（磋商基准价÷最后磋商报价）×30%×100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