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版本号：HYZCCS20260320260527003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合阳县中医院物业采购项目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HYZCCS202603</w:t>
      </w:r>
      <w:r>
        <w:br/>
      </w:r>
      <w:r>
        <w:br/>
      </w:r>
      <w:r>
        <w:br/>
      </w:r>
    </w:p>
    <w:p>
      <w:pPr>
        <w:pStyle w:val="null3"/>
        <w:jc w:val="center"/>
        <w:outlineLvl w:val="2"/>
      </w:pPr>
      <w:r>
        <w:rPr>
          <w:rFonts w:ascii="仿宋_GB2312" w:hAnsi="仿宋_GB2312" w:cs="仿宋_GB2312" w:eastAsia="仿宋_GB2312"/>
          <w:sz w:val="28"/>
          <w:b/>
        </w:rPr>
        <w:t>合阳县中医医院</w:t>
      </w:r>
    </w:p>
    <w:p>
      <w:pPr>
        <w:pStyle w:val="null3"/>
        <w:jc w:val="center"/>
        <w:outlineLvl w:val="2"/>
      </w:pPr>
      <w:r>
        <w:rPr>
          <w:rFonts w:ascii="仿宋_GB2312" w:hAnsi="仿宋_GB2312" w:cs="仿宋_GB2312" w:eastAsia="仿宋_GB2312"/>
          <w:sz w:val="28"/>
          <w:b/>
        </w:rPr>
        <w:t>合阳县政府采购中心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合阳县政府采购中心</w:t>
      </w:r>
      <w:r>
        <w:rPr>
          <w:rFonts w:ascii="仿宋_GB2312" w:hAnsi="仿宋_GB2312" w:cs="仿宋_GB2312" w:eastAsia="仿宋_GB2312"/>
        </w:rPr>
        <w:t>（以下简称“代理机构”）受</w:t>
      </w:r>
      <w:r>
        <w:rPr>
          <w:rFonts w:ascii="仿宋_GB2312" w:hAnsi="仿宋_GB2312" w:cs="仿宋_GB2312" w:eastAsia="仿宋_GB2312"/>
        </w:rPr>
        <w:t>合阳县中医医院</w:t>
      </w:r>
      <w:r>
        <w:rPr>
          <w:rFonts w:ascii="仿宋_GB2312" w:hAnsi="仿宋_GB2312" w:cs="仿宋_GB2312" w:eastAsia="仿宋_GB2312"/>
        </w:rPr>
        <w:t>委托，拟对</w:t>
      </w:r>
      <w:r>
        <w:rPr>
          <w:rFonts w:ascii="仿宋_GB2312" w:hAnsi="仿宋_GB2312" w:cs="仿宋_GB2312" w:eastAsia="仿宋_GB2312"/>
        </w:rPr>
        <w:t>合阳县中医院物业采购项目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HYZCCS202603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合阳县中医院物业采购项目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1、项目名称：保洁社会化外包服务项目 2、预算金额：552000.00元 3、采购内容及分包情况：本项目分一个包，采购内容为对各病区行政办公区及公共区域卫生实行外包（包含所需耗材物资）。 4、合同履行期限：招一延一，一年一签。医院考核小组年度考核合格后续签下一年度合同。 5、项目实施地点：合阳县中医医院。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采购包1（合阳县中医院物业采购项目）：属于专门面向中小企业采购。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1、法定代表人身份证明/法定代表人授权委托书：法定代表人直接参加投标的，须出具法人身份证明及身份证；法定代表人授权代表参加投标的，须出具法定代表人授权书及授权代表身份证</w:t>
      </w:r>
    </w:p>
    <w:p>
      <w:pPr>
        <w:pStyle w:val="null3"/>
      </w:pPr>
      <w:r>
        <w:rPr>
          <w:rFonts w:ascii="仿宋_GB2312" w:hAnsi="仿宋_GB2312" w:cs="仿宋_GB2312" w:eastAsia="仿宋_GB2312"/>
        </w:rPr>
        <w:t>2、中小企业声明函：本包专门面向中小企业，仅限符合《政府采购促进中小企业发展管理办法》（财库【2020】46号）条件的中小企业参加，供应商应填写中小企业声明函并对真实性负责（残疾人福利性组织及监狱企业视同为小型、微型企业），供应商需在项目电子化交易系统中按照要求上传相关证件文件并进行电子签章。</w:t>
      </w:r>
    </w:p>
    <w:p>
      <w:pPr>
        <w:pStyle w:val="null3"/>
      </w:pPr>
      <w:r>
        <w:rPr>
          <w:rFonts w:ascii="仿宋_GB2312" w:hAnsi="仿宋_GB2312" w:cs="仿宋_GB2312" w:eastAsia="仿宋_GB2312"/>
        </w:rPr>
        <w:t>3、信用记录：供应商不得为“信用中国(www.creditchina.gov.cn)”中列入失信被执行人和重大税收违法案件当事人名单的供应商，不得为“中国政府采购网(www.ccgp.gov.cn)”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合阳县东新街69号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合阳县中医医院经办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15319164222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合阳县政府采购中心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陕西省渭南市合阳县合阳县东新街43号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张林勃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09138343420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党晓娜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不属于</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不属于</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不属于</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合阳县中医医院</w:t>
      </w:r>
      <w:r>
        <w:rPr>
          <w:rFonts w:ascii="仿宋_GB2312" w:hAnsi="仿宋_GB2312" w:cs="仿宋_GB2312" w:eastAsia="仿宋_GB2312"/>
        </w:rPr>
        <w:t>和</w:t>
      </w:r>
      <w:r>
        <w:rPr>
          <w:rFonts w:ascii="仿宋_GB2312" w:hAnsi="仿宋_GB2312" w:cs="仿宋_GB2312" w:eastAsia="仿宋_GB2312"/>
        </w:rPr>
        <w:t>合阳县政府采购中心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合阳县政府采购中心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合阳县政府采购中心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采购人竞争性磋商文件的服务要求和技术指标(满足项目采购清单中技术规格要求)、供应商的响应文件及承诺与采购合同约定标准进行验收;2.采购人、供应商双方如对服务要求和技术指标的约定标准有相互抵触或异议的事项，由采购人在响应文件中按服务要求和技术指标比较优胜的原则确定该项的约定标准进行验收。3,其他未尽事宜应严格按照《财政部关于进一步加强政府采购需求和履约验收管理的指导意见》(财库【2016】205号)等政府采购相关法律法规的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合阳县政府采购中心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合阳县政府采购中心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合阳县政府采购中心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联系人：张林勃</w:t>
      </w:r>
    </w:p>
    <w:p>
      <w:pPr>
        <w:pStyle w:val="null3"/>
      </w:pPr>
      <w:r>
        <w:rPr>
          <w:rFonts w:ascii="仿宋_GB2312" w:hAnsi="仿宋_GB2312" w:cs="仿宋_GB2312" w:eastAsia="仿宋_GB2312"/>
        </w:rPr>
        <w:t>联系电话：09138343420</w:t>
      </w:r>
    </w:p>
    <w:p>
      <w:pPr>
        <w:pStyle w:val="null3"/>
      </w:pPr>
      <w:r>
        <w:rPr>
          <w:rFonts w:ascii="仿宋_GB2312" w:hAnsi="仿宋_GB2312" w:cs="仿宋_GB2312" w:eastAsia="仿宋_GB2312"/>
        </w:rPr>
        <w:t>地址：渭南市合阳县东新街43号</w:t>
      </w:r>
    </w:p>
    <w:p>
      <w:pPr>
        <w:pStyle w:val="null3"/>
      </w:pPr>
      <w:r>
        <w:rPr>
          <w:rFonts w:ascii="仿宋_GB2312" w:hAnsi="仿宋_GB2312" w:cs="仿宋_GB2312" w:eastAsia="仿宋_GB2312"/>
        </w:rPr>
        <w:t>邮编：715300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1、项目名称：保洁社会化外包服务项目 2、预算金额：552000.00元 3、采购内容及分包情况：本项目分一个包，采购内容为对各病区行政办公区及公共区域卫生实行外包（包含所需耗材物资）。 4、合同履行期限：招一延一，一年一签。医院考核小组年度考核合格后续签下一年度合同。 5、项目实施地点：合阳县中医医院。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552,000.00</w:t>
      </w:r>
    </w:p>
    <w:p>
      <w:pPr>
        <w:pStyle w:val="null3"/>
      </w:pPr>
      <w:r>
        <w:rPr>
          <w:rFonts w:ascii="仿宋_GB2312" w:hAnsi="仿宋_GB2312" w:cs="仿宋_GB2312" w:eastAsia="仿宋_GB2312"/>
        </w:rPr>
        <w:t>采购包最高限价（元）: 552,000.00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32"/>
                <w:b/>
              </w:rPr>
              <w:t>一、采购标的数量和规格</w:t>
            </w:r>
          </w:p>
          <w:p>
            <w:pPr>
              <w:pStyle w:val="null3"/>
              <w:ind w:firstLine="640"/>
              <w:jc w:val="left"/>
            </w:pPr>
            <w:r>
              <w:rPr>
                <w:rFonts w:ascii="仿宋_GB2312" w:hAnsi="仿宋_GB2312" w:cs="仿宋_GB2312" w:eastAsia="仿宋_GB2312"/>
                <w:sz w:val="32"/>
              </w:rPr>
              <w:t>（一）、中医院保洁工作规划及保洁区域</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32"/>
              </w:rPr>
              <w:t>保洁总面积约15000m</w:t>
            </w:r>
            <w:r>
              <w:rPr>
                <w:rFonts w:ascii="仿宋_GB2312" w:hAnsi="仿宋_GB2312" w:cs="仿宋_GB2312" w:eastAsia="仿宋_GB2312"/>
                <w:sz w:val="32"/>
                <w:vertAlign w:val="superscript"/>
              </w:rPr>
              <w:t>2</w:t>
            </w:r>
            <w:r>
              <w:rPr>
                <w:rFonts w:ascii="仿宋_GB2312" w:hAnsi="仿宋_GB2312" w:cs="仿宋_GB2312" w:eastAsia="仿宋_GB2312"/>
                <w:sz w:val="32"/>
              </w:rPr>
              <w:t>，包含门诊楼、住院楼、妇科楼、急诊楼、迎街楼、公共区域及绿化修剪，保洁经理1名、保洁员19名，共计20人。</w:t>
            </w:r>
          </w:p>
          <w:p>
            <w:pPr>
              <w:pStyle w:val="null3"/>
              <w:ind w:firstLine="640"/>
              <w:jc w:val="both"/>
            </w:pPr>
            <w:r>
              <w:rPr>
                <w:rFonts w:ascii="仿宋_GB2312" w:hAnsi="仿宋_GB2312" w:cs="仿宋_GB2312" w:eastAsia="仿宋_GB2312"/>
                <w:sz w:val="32"/>
              </w:rPr>
              <w:t>（二）、保洁耗材规划及设备</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、需购耗材物资</w:t>
            </w:r>
          </w:p>
          <w:p>
            <w:pPr>
              <w:pStyle w:val="null3"/>
              <w:ind w:firstLine="640"/>
              <w:jc w:val="both"/>
            </w:pPr>
            <w:r>
              <w:rPr>
                <w:rFonts w:ascii="仿宋_GB2312" w:hAnsi="仿宋_GB2312" w:cs="仿宋_GB2312" w:eastAsia="仿宋_GB2312"/>
                <w:sz w:val="32"/>
              </w:rPr>
              <w:t>（1）劳保物品</w:t>
            </w:r>
          </w:p>
          <w:p>
            <w:pPr>
              <w:pStyle w:val="null3"/>
              <w:ind w:firstLine="640"/>
              <w:jc w:val="both"/>
            </w:pPr>
            <w:r>
              <w:rPr>
                <w:rFonts w:ascii="仿宋_GB2312" w:hAnsi="仿宋_GB2312" w:cs="仿宋_GB2312" w:eastAsia="仿宋_GB2312"/>
                <w:sz w:val="32"/>
              </w:rPr>
              <w:t>洗衣粉、毛巾、口罩、肥皂、绒手套、胶手套、工作服秋、长袖、工作服夏、短袖等：</w:t>
            </w:r>
          </w:p>
          <w:p>
            <w:pPr>
              <w:pStyle w:val="null3"/>
              <w:ind w:firstLine="640"/>
              <w:jc w:val="both"/>
            </w:pPr>
            <w:r>
              <w:rPr>
                <w:rFonts w:ascii="仿宋_GB2312" w:hAnsi="仿宋_GB2312" w:cs="仿宋_GB2312" w:eastAsia="仿宋_GB2312"/>
                <w:sz w:val="32"/>
              </w:rPr>
              <w:t>（2）洁具用品</w:t>
            </w:r>
          </w:p>
          <w:p>
            <w:pPr>
              <w:pStyle w:val="null3"/>
              <w:ind w:firstLine="640"/>
              <w:jc w:val="both"/>
            </w:pPr>
            <w:r>
              <w:rPr>
                <w:rFonts w:ascii="仿宋_GB2312" w:hAnsi="仿宋_GB2312" w:cs="仿宋_GB2312" w:eastAsia="仿宋_GB2312"/>
                <w:sz w:val="32"/>
              </w:rPr>
              <w:t>油拖把、拖把、夹板拖、扫帚、簸箕、脸盆、塑料桶、塑料袋（大、中、小）、垃圾袋、坐便洁刷、灰刀、玻璃器、洗洁净、放香球、厕洁灵、空气清新剂、吸尘油、稀盐酸、钢丝球、梯子、水管等。</w:t>
            </w:r>
          </w:p>
          <w:p>
            <w:pPr>
              <w:pStyle w:val="null3"/>
              <w:ind w:firstLine="640"/>
              <w:jc w:val="both"/>
            </w:pPr>
            <w:r>
              <w:rPr>
                <w:rFonts w:ascii="仿宋_GB2312" w:hAnsi="仿宋_GB2312" w:cs="仿宋_GB2312" w:eastAsia="仿宋_GB2312"/>
                <w:sz w:val="32"/>
              </w:rPr>
              <w:t>（3）其它</w:t>
            </w:r>
          </w:p>
          <w:p>
            <w:pPr>
              <w:pStyle w:val="null3"/>
              <w:ind w:firstLine="640"/>
              <w:jc w:val="both"/>
            </w:pPr>
            <w:r>
              <w:rPr>
                <w:rFonts w:ascii="仿宋_GB2312" w:hAnsi="仿宋_GB2312" w:cs="仿宋_GB2312" w:eastAsia="仿宋_GB2312"/>
                <w:sz w:val="32"/>
              </w:rPr>
              <w:t>卫生香、铁锈球、84消毒液、百洁布、鞋套、草酸、等。</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、保洁大中小设备</w:t>
            </w:r>
          </w:p>
          <w:p>
            <w:pPr>
              <w:pStyle w:val="null3"/>
              <w:ind w:firstLine="640"/>
              <w:jc w:val="both"/>
            </w:pPr>
            <w:r>
              <w:rPr>
                <w:rFonts w:ascii="仿宋_GB2312" w:hAnsi="仿宋_GB2312" w:cs="仿宋_GB2312" w:eastAsia="仿宋_GB2312"/>
                <w:sz w:val="32"/>
              </w:rPr>
              <w:t>（1）、洗地机          2台</w:t>
            </w:r>
          </w:p>
          <w:p>
            <w:pPr>
              <w:pStyle w:val="null3"/>
              <w:ind w:firstLine="640"/>
              <w:jc w:val="both"/>
            </w:pPr>
            <w:r>
              <w:rPr>
                <w:rFonts w:ascii="仿宋_GB2312" w:hAnsi="仿宋_GB2312" w:cs="仿宋_GB2312" w:eastAsia="仿宋_GB2312"/>
                <w:sz w:val="32"/>
              </w:rPr>
              <w:t>（2）、吸尘机          1台</w:t>
            </w:r>
          </w:p>
          <w:p>
            <w:pPr>
              <w:pStyle w:val="null3"/>
              <w:ind w:firstLine="640"/>
              <w:jc w:val="both"/>
            </w:pPr>
            <w:r>
              <w:rPr>
                <w:rFonts w:ascii="仿宋_GB2312" w:hAnsi="仿宋_GB2312" w:cs="仿宋_GB2312" w:eastAsia="仿宋_GB2312"/>
                <w:sz w:val="32"/>
              </w:rPr>
              <w:t>（3）、榨水车          21台</w:t>
            </w:r>
          </w:p>
          <w:p>
            <w:pPr>
              <w:pStyle w:val="null3"/>
              <w:ind w:firstLine="640"/>
              <w:jc w:val="both"/>
            </w:pPr>
            <w:r>
              <w:rPr>
                <w:rFonts w:ascii="仿宋_GB2312" w:hAnsi="仿宋_GB2312" w:cs="仿宋_GB2312" w:eastAsia="仿宋_GB2312"/>
                <w:sz w:val="32"/>
              </w:rPr>
              <w:t>（4）、打草机          1台</w:t>
            </w:r>
          </w:p>
          <w:p>
            <w:pPr>
              <w:pStyle w:val="null3"/>
              <w:ind w:firstLine="640"/>
              <w:jc w:val="both"/>
            </w:pPr>
            <w:r>
              <w:rPr>
                <w:rFonts w:ascii="仿宋_GB2312" w:hAnsi="仿宋_GB2312" w:cs="仿宋_GB2312" w:eastAsia="仿宋_GB2312"/>
                <w:sz w:val="32"/>
              </w:rPr>
              <w:t>（5）、打药管          1套</w:t>
            </w:r>
          </w:p>
          <w:p>
            <w:pPr>
              <w:pStyle w:val="null3"/>
              <w:ind w:firstLine="640"/>
              <w:jc w:val="both"/>
            </w:pPr>
            <w:r>
              <w:rPr>
                <w:rFonts w:ascii="仿宋_GB2312" w:hAnsi="仿宋_GB2312" w:cs="仿宋_GB2312" w:eastAsia="仿宋_GB2312"/>
                <w:sz w:val="32"/>
              </w:rPr>
              <w:t>（6）、垃圾清运车      1台</w:t>
            </w:r>
          </w:p>
          <w:p>
            <w:pPr>
              <w:pStyle w:val="null3"/>
              <w:ind w:firstLine="643"/>
              <w:jc w:val="left"/>
            </w:pPr>
            <w:r>
              <w:rPr>
                <w:rFonts w:ascii="仿宋_GB2312" w:hAnsi="仿宋_GB2312" w:cs="仿宋_GB2312" w:eastAsia="仿宋_GB2312"/>
                <w:sz w:val="32"/>
                <w:b/>
              </w:rPr>
              <w:t>（三）、保洁员工作流程</w:t>
            </w:r>
          </w:p>
          <w:tbl>
            <w:tblPr>
              <w:tblBorders>
                <w:top w:val="single"/>
                <w:left w:val="single"/>
                <w:bottom w:val="single"/>
                <w:right w:val="single"/>
                <w:insideH w:val="single"/>
                <w:insideV w:val="single"/>
              </w:tblBorders>
            </w:tblPr>
            <w:tblGrid>
              <w:gridCol w:w="696"/>
              <w:gridCol w:w="1856"/>
            </w:tblGrid>
            <w:tr>
              <w:tc>
                <w:tcPr>
                  <w:tcW w:type="dxa" w:w="696"/>
                  <w:tcBorders>
                    <w:top w:val="single" w:color="000000" w:sz="4"/>
                    <w:left w:val="single" w:color="000000" w:sz="4"/>
                    <w:bottom w:val="single" w:color="000000" w:sz="4"/>
                    <w:right w:val="single" w:color="000000" w:sz="4"/>
                  </w:tcBorders>
                  <w:tcMar>
                    <w:top w:type="dxa" w:w="15"/>
                    <w:left w:type="dxa" w:w="15"/>
                    <w:bottom w:type="dxa" w:w="75"/>
                    <w:right w:type="dxa" w:w="15"/>
                  </w:tcMar>
                </w:tcPr>
                <w:p>
                  <w:pPr>
                    <w:pStyle w:val="null3"/>
                    <w:jc w:val="center"/>
                  </w:pPr>
                  <w:r>
                    <w:rPr>
                      <w:rFonts w:ascii="仿宋_GB2312" w:hAnsi="仿宋_GB2312" w:cs="仿宋_GB2312" w:eastAsia="仿宋_GB2312"/>
                      <w:sz w:val="24"/>
                      <w:b/>
                      <w:color w:val="000000"/>
                    </w:rPr>
                    <w:t>工作时间</w:t>
                  </w:r>
                </w:p>
              </w:tc>
              <w:tc>
                <w:tcPr>
                  <w:tcW w:type="dxa" w:w="1856"/>
                  <w:tcBorders>
                    <w:top w:val="single" w:color="000000" w:sz="4"/>
                    <w:left w:val="none" w:color="000000" w:sz="4"/>
                    <w:bottom w:val="single" w:color="000000" w:sz="4"/>
                    <w:right w:val="single" w:color="000000" w:sz="4"/>
                  </w:tcBorders>
                  <w:tcMar>
                    <w:top w:type="dxa" w:w="15"/>
                    <w:left w:type="dxa" w:w="15"/>
                    <w:bottom w:type="dxa" w:w="75"/>
                    <w:right w:type="dxa" w:w="15"/>
                  </w:tcMar>
                </w:tcPr>
                <w:p>
                  <w:pPr>
                    <w:pStyle w:val="null3"/>
                    <w:jc w:val="center"/>
                  </w:pPr>
                  <w:r>
                    <w:rPr>
                      <w:rFonts w:ascii="仿宋_GB2312" w:hAnsi="仿宋_GB2312" w:cs="仿宋_GB2312" w:eastAsia="仿宋_GB2312"/>
                      <w:sz w:val="24"/>
                      <w:b/>
                      <w:color w:val="000000"/>
                    </w:rPr>
                    <w:t>工作流程</w:t>
                  </w:r>
                </w:p>
              </w:tc>
            </w:tr>
            <w:tr>
              <w:tc>
                <w:tcPr>
                  <w:tcW w:type="dxa" w:w="696"/>
                  <w:tcBorders>
                    <w:top w:val="none" w:color="000000" w:sz="4"/>
                    <w:left w:val="single" w:color="000000" w:sz="4"/>
                    <w:bottom w:val="single" w:color="000000" w:sz="4"/>
                    <w:right w:val="single" w:color="000000" w:sz="4"/>
                  </w:tcBorders>
                  <w:tcMar>
                    <w:top w:type="dxa" w:w="15"/>
                    <w:left w:type="dxa" w:w="15"/>
                    <w:bottom w:type="dxa" w:w="75"/>
                    <w:right w:type="dxa" w:w="15"/>
                  </w:tcMar>
                </w:tcPr>
                <w:p>
                  <w:pPr>
                    <w:pStyle w:val="null3"/>
                    <w:jc w:val="center"/>
                  </w:pPr>
                  <w:r>
                    <w:rPr>
                      <w:rFonts w:ascii="仿宋_GB2312" w:hAnsi="仿宋_GB2312" w:cs="仿宋_GB2312" w:eastAsia="仿宋_GB2312"/>
                      <w:sz w:val="24"/>
                      <w:color w:val="000000"/>
                    </w:rPr>
                    <w:t>6:30-7:00</w:t>
                  </w:r>
                </w:p>
              </w:tc>
              <w:tc>
                <w:tcPr>
                  <w:tcW w:type="dxa" w:w="1856"/>
                  <w:tcBorders>
                    <w:top w:val="none" w:color="000000" w:sz="4"/>
                    <w:left w:val="none" w:color="000000" w:sz="4"/>
                    <w:bottom w:val="single" w:color="000000" w:sz="4"/>
                    <w:right w:val="single" w:color="000000" w:sz="4"/>
                  </w:tcBorders>
                  <w:tcMar>
                    <w:top w:type="dxa" w:w="15"/>
                    <w:left w:type="dxa" w:w="15"/>
                    <w:bottom w:type="dxa" w:w="75"/>
                    <w:right w:type="dxa" w:w="15"/>
                  </w:tcMar>
                </w:tcPr>
                <w:p>
                  <w:pPr>
                    <w:pStyle w:val="null3"/>
                    <w:jc w:val="left"/>
                  </w:pPr>
                  <w:r>
                    <w:rPr>
                      <w:rFonts w:ascii="仿宋_GB2312" w:hAnsi="仿宋_GB2312" w:cs="仿宋_GB2312" w:eastAsia="仿宋_GB2312"/>
                      <w:sz w:val="24"/>
                      <w:color w:val="000000"/>
                    </w:rPr>
                    <w:t>清扫区域卫生、尘推走廊、大厅、拖楼梯、清扫垃圾、座便器、小便器、拖卫生间地面、清扫水房(冲洗水池、水龙头、拖地面)，溅脏随时处理.</w:t>
                  </w:r>
                </w:p>
              </w:tc>
            </w:tr>
            <w:tr>
              <w:tc>
                <w:tcPr>
                  <w:tcW w:type="dxa" w:w="696"/>
                  <w:tcBorders>
                    <w:top w:val="none" w:color="000000" w:sz="4"/>
                    <w:left w:val="single" w:color="000000" w:sz="4"/>
                    <w:bottom w:val="single" w:color="000000" w:sz="4"/>
                    <w:right w:val="single" w:color="000000" w:sz="4"/>
                  </w:tcBorders>
                  <w:tcMar>
                    <w:top w:type="dxa" w:w="15"/>
                    <w:left w:type="dxa" w:w="15"/>
                    <w:bottom w:type="dxa" w:w="75"/>
                    <w:right w:type="dxa" w:w="15"/>
                  </w:tcMar>
                </w:tcPr>
                <w:p>
                  <w:pPr>
                    <w:pStyle w:val="null3"/>
                    <w:jc w:val="center"/>
                  </w:pPr>
                  <w:r>
                    <w:rPr>
                      <w:rFonts w:ascii="仿宋_GB2312" w:hAnsi="仿宋_GB2312" w:cs="仿宋_GB2312" w:eastAsia="仿宋_GB2312"/>
                      <w:sz w:val="24"/>
                      <w:color w:val="000000"/>
                    </w:rPr>
                    <w:t>7:30-8:30</w:t>
                  </w:r>
                </w:p>
              </w:tc>
              <w:tc>
                <w:tcPr>
                  <w:tcW w:type="dxa" w:w="1856"/>
                  <w:tcBorders>
                    <w:top w:val="none" w:color="000000" w:sz="4"/>
                    <w:left w:val="none" w:color="000000" w:sz="4"/>
                    <w:bottom w:val="single" w:color="000000" w:sz="4"/>
                    <w:right w:val="single" w:color="000000" w:sz="4"/>
                  </w:tcBorders>
                  <w:tcMar>
                    <w:top w:type="dxa" w:w="15"/>
                    <w:left w:type="dxa" w:w="15"/>
                    <w:bottom w:type="dxa" w:w="75"/>
                    <w:right w:type="dxa" w:w="15"/>
                  </w:tcMar>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color w:val="000000"/>
                    </w:rPr>
                    <w:t>清扫病房、诊室垃圾、区域清洁、清扫水房、拖病房地面、冲洗卫生间、收集垃圾、溅脏随时处理.</w:t>
                  </w:r>
                </w:p>
              </w:tc>
            </w:tr>
            <w:tr>
              <w:tc>
                <w:tcPr>
                  <w:tcW w:type="dxa" w:w="696"/>
                  <w:tcBorders>
                    <w:top w:val="none" w:color="000000" w:sz="4"/>
                    <w:left w:val="single" w:color="000000" w:sz="4"/>
                    <w:bottom w:val="single" w:color="000000" w:sz="4"/>
                    <w:right w:val="single" w:color="000000" w:sz="4"/>
                  </w:tcBorders>
                  <w:tcMar>
                    <w:top w:type="dxa" w:w="15"/>
                    <w:left w:type="dxa" w:w="15"/>
                    <w:bottom w:type="dxa" w:w="75"/>
                    <w:right w:type="dxa" w:w="15"/>
                  </w:tcMar>
                </w:tcPr>
                <w:p>
                  <w:pPr>
                    <w:pStyle w:val="null3"/>
                    <w:jc w:val="center"/>
                  </w:pPr>
                  <w:r>
                    <w:rPr>
                      <w:rFonts w:ascii="仿宋_GB2312" w:hAnsi="仿宋_GB2312" w:cs="仿宋_GB2312" w:eastAsia="仿宋_GB2312"/>
                      <w:sz w:val="24"/>
                      <w:color w:val="000000"/>
                    </w:rPr>
                    <w:t>7:30-8:30</w:t>
                  </w:r>
                </w:p>
              </w:tc>
              <w:tc>
                <w:tcPr>
                  <w:tcW w:type="dxa" w:w="1856"/>
                  <w:tcBorders>
                    <w:top w:val="none" w:color="000000" w:sz="4"/>
                    <w:left w:val="none" w:color="000000" w:sz="4"/>
                    <w:bottom w:val="single" w:color="000000" w:sz="4"/>
                    <w:right w:val="single" w:color="000000" w:sz="4"/>
                  </w:tcBorders>
                  <w:tcMar>
                    <w:top w:type="dxa" w:w="15"/>
                    <w:left w:type="dxa" w:w="15"/>
                    <w:bottom w:type="dxa" w:w="75"/>
                    <w:right w:type="dxa" w:w="15"/>
                  </w:tcMar>
                </w:tcPr>
                <w:p>
                  <w:pPr>
                    <w:pStyle w:val="null3"/>
                    <w:jc w:val="left"/>
                  </w:pPr>
                  <w:r>
                    <w:rPr>
                      <w:rFonts w:ascii="仿宋_GB2312" w:hAnsi="仿宋_GB2312" w:cs="仿宋_GB2312" w:eastAsia="仿宋_GB2312"/>
                      <w:sz w:val="24"/>
                      <w:color w:val="000000"/>
                    </w:rPr>
                    <w:t>冲洗卫生间、床头柜、卫生间洁具、隔档门、清洗消毒.</w:t>
                  </w:r>
                </w:p>
              </w:tc>
            </w:tr>
            <w:tr>
              <w:tc>
                <w:tcPr>
                  <w:tcW w:type="dxa" w:w="696"/>
                  <w:tcBorders>
                    <w:top w:val="none" w:color="000000" w:sz="4"/>
                    <w:left w:val="single" w:color="000000" w:sz="4"/>
                    <w:bottom w:val="single" w:color="000000" w:sz="4"/>
                    <w:right w:val="single" w:color="000000" w:sz="4"/>
                  </w:tcBorders>
                  <w:tcMar>
                    <w:top w:type="dxa" w:w="15"/>
                    <w:left w:type="dxa" w:w="15"/>
                    <w:bottom w:type="dxa" w:w="75"/>
                    <w:right w:type="dxa" w:w="15"/>
                  </w:tcMar>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：30-10：30</w:t>
                  </w:r>
                </w:p>
              </w:tc>
              <w:tc>
                <w:tcPr>
                  <w:tcW w:type="dxa" w:w="1856"/>
                  <w:tcBorders>
                    <w:top w:val="none" w:color="000000" w:sz="4"/>
                    <w:left w:val="none" w:color="000000" w:sz="4"/>
                    <w:bottom w:val="single" w:color="000000" w:sz="4"/>
                    <w:right w:val="single" w:color="000000" w:sz="4"/>
                  </w:tcBorders>
                  <w:tcMar>
                    <w:top w:type="dxa" w:w="15"/>
                    <w:left w:type="dxa" w:w="15"/>
                    <w:bottom w:type="dxa" w:w="75"/>
                    <w:right w:type="dxa" w:w="15"/>
                  </w:tcMar>
                </w:tcPr>
                <w:p>
                  <w:pPr>
                    <w:pStyle w:val="null3"/>
                    <w:jc w:val="left"/>
                  </w:pPr>
                  <w:r>
                    <w:rPr>
                      <w:rFonts w:ascii="仿宋_GB2312" w:hAnsi="仿宋_GB2312" w:cs="仿宋_GB2312" w:eastAsia="仿宋_GB2312"/>
                      <w:sz w:val="24"/>
                      <w:color w:val="000000"/>
                    </w:rPr>
                    <w:t>掸区域灰尘、擦走廊扶手、桌椅、门窗、各种标识牌、开关盒、氧气管道、消防器材、宣传栏、巡回保洁、冲洗卫生间、座便器、小便器、拖卫生间地面，清扫卫生间垃圾、开水房、清理饭桶、各种死角、清洗垃圾桶.</w:t>
                  </w:r>
                </w:p>
              </w:tc>
            </w:tr>
            <w:tr>
              <w:tc>
                <w:tcPr>
                  <w:tcW w:type="dxa" w:w="696"/>
                  <w:tcBorders>
                    <w:top w:val="none" w:color="000000" w:sz="4"/>
                    <w:left w:val="single" w:color="000000" w:sz="4"/>
                    <w:bottom w:val="single" w:color="000000" w:sz="4"/>
                    <w:right w:val="single" w:color="000000" w:sz="4"/>
                  </w:tcBorders>
                  <w:tcMar>
                    <w:top w:type="dxa" w:w="15"/>
                    <w:left w:type="dxa" w:w="15"/>
                    <w:bottom w:type="dxa" w:w="75"/>
                    <w:right w:type="dxa" w:w="15"/>
                  </w:tcMar>
                </w:tcPr>
                <w:p>
                  <w:pPr>
                    <w:pStyle w:val="null3"/>
                    <w:jc w:val="center"/>
                  </w:pPr>
                  <w:r>
                    <w:rPr>
                      <w:rFonts w:ascii="仿宋_GB2312" w:hAnsi="仿宋_GB2312" w:cs="仿宋_GB2312" w:eastAsia="仿宋_GB2312"/>
                      <w:sz w:val="24"/>
                      <w:color w:val="000000"/>
                    </w:rPr>
                    <w:t>10:30-13:30</w:t>
                  </w:r>
                </w:p>
              </w:tc>
              <w:tc>
                <w:tcPr>
                  <w:tcW w:type="dxa" w:w="1856"/>
                  <w:tcBorders>
                    <w:top w:val="none" w:color="000000" w:sz="4"/>
                    <w:left w:val="none" w:color="000000" w:sz="4"/>
                    <w:bottom w:val="single" w:color="000000" w:sz="4"/>
                    <w:right w:val="single" w:color="000000" w:sz="4"/>
                  </w:tcBorders>
                  <w:tcMar>
                    <w:top w:type="dxa" w:w="15"/>
                    <w:left w:type="dxa" w:w="15"/>
                    <w:bottom w:type="dxa" w:w="75"/>
                    <w:right w:type="dxa" w:w="15"/>
                  </w:tcMar>
                </w:tcPr>
                <w:p>
                  <w:pPr>
                    <w:pStyle w:val="null3"/>
                    <w:jc w:val="left"/>
                  </w:pPr>
                  <w:r>
                    <w:rPr>
                      <w:rFonts w:ascii="仿宋_GB2312" w:hAnsi="仿宋_GB2312" w:cs="仿宋_GB2312" w:eastAsia="仿宋_GB2312"/>
                      <w:sz w:val="24"/>
                      <w:color w:val="000000"/>
                    </w:rPr>
                    <w:t>保洁员午饭休息</w:t>
                  </w:r>
                </w:p>
              </w:tc>
            </w:tr>
            <w:tr>
              <w:tc>
                <w:tcPr>
                  <w:tcW w:type="dxa" w:w="696"/>
                  <w:tcBorders>
                    <w:top w:val="none" w:color="000000" w:sz="4"/>
                    <w:left w:val="single" w:color="000000" w:sz="4"/>
                    <w:bottom w:val="single" w:color="000000" w:sz="4"/>
                    <w:right w:val="single" w:color="000000" w:sz="4"/>
                  </w:tcBorders>
                  <w:tcMar>
                    <w:top w:type="dxa" w:w="15"/>
                    <w:left w:type="dxa" w:w="15"/>
                    <w:bottom w:type="dxa" w:w="75"/>
                    <w:right w:type="dxa" w:w="15"/>
                  </w:tcMar>
                </w:tcPr>
                <w:p>
                  <w:pPr>
                    <w:pStyle w:val="null3"/>
                    <w:jc w:val="center"/>
                  </w:pPr>
                  <w:r>
                    <w:rPr>
                      <w:rFonts w:ascii="仿宋_GB2312" w:hAnsi="仿宋_GB2312" w:cs="仿宋_GB2312" w:eastAsia="仿宋_GB2312"/>
                      <w:sz w:val="24"/>
                      <w:color w:val="000000"/>
                    </w:rPr>
                    <w:t>13</w:t>
                  </w:r>
                  <w:r>
                    <w:rPr>
                      <w:rFonts w:ascii="仿宋_GB2312" w:hAnsi="仿宋_GB2312" w:cs="仿宋_GB2312" w:eastAsia="仿宋_GB2312"/>
                      <w:sz w:val="24"/>
                      <w:color w:val="000000"/>
                    </w:rPr>
                    <w:t>：30-15：30</w:t>
                  </w:r>
                </w:p>
              </w:tc>
              <w:tc>
                <w:tcPr>
                  <w:tcW w:type="dxa" w:w="1856"/>
                  <w:tcBorders>
                    <w:top w:val="none" w:color="000000" w:sz="4"/>
                    <w:left w:val="none" w:color="000000" w:sz="4"/>
                    <w:bottom w:val="single" w:color="000000" w:sz="4"/>
                    <w:right w:val="single" w:color="000000" w:sz="4"/>
                  </w:tcBorders>
                  <w:tcMar>
                    <w:top w:type="dxa" w:w="15"/>
                    <w:left w:type="dxa" w:w="15"/>
                    <w:bottom w:type="dxa" w:w="75"/>
                    <w:right w:type="dxa" w:w="15"/>
                  </w:tcMar>
                </w:tcPr>
                <w:p>
                  <w:pPr>
                    <w:pStyle w:val="null3"/>
                    <w:jc w:val="left"/>
                  </w:pPr>
                  <w:r>
                    <w:rPr>
                      <w:rFonts w:ascii="仿宋_GB2312" w:hAnsi="仿宋_GB2312" w:cs="仿宋_GB2312" w:eastAsia="仿宋_GB2312"/>
                      <w:sz w:val="24"/>
                      <w:color w:val="000000"/>
                    </w:rPr>
                    <w:t>保洁区域、开水房、溅脏随时处理，定时保洁冲洗卫生间、座便器、小便器、拖卫生间地面、清扫卫生间垃圾、开水房、清扫死角、清洗垃圾桶、溅脏随时处理.</w:t>
                  </w:r>
                </w:p>
              </w:tc>
            </w:tr>
            <w:tr>
              <w:tc>
                <w:tcPr>
                  <w:tcW w:type="dxa" w:w="696"/>
                  <w:tcBorders>
                    <w:top w:val="none" w:color="000000" w:sz="4"/>
                    <w:left w:val="single" w:color="000000" w:sz="4"/>
                    <w:bottom w:val="single" w:color="000000" w:sz="4"/>
                    <w:right w:val="single" w:color="000000" w:sz="4"/>
                  </w:tcBorders>
                  <w:tcMar>
                    <w:top w:type="dxa" w:w="15"/>
                    <w:left w:type="dxa" w:w="15"/>
                    <w:bottom w:type="dxa" w:w="75"/>
                    <w:right w:type="dxa" w:w="15"/>
                  </w:tcMar>
                </w:tcPr>
                <w:p>
                  <w:pPr>
                    <w:pStyle w:val="null3"/>
                    <w:jc w:val="center"/>
                  </w:pPr>
                  <w:r>
                    <w:rPr>
                      <w:rFonts w:ascii="仿宋_GB2312" w:hAnsi="仿宋_GB2312" w:cs="仿宋_GB2312" w:eastAsia="仿宋_GB2312"/>
                      <w:sz w:val="24"/>
                      <w:color w:val="000000"/>
                    </w:rPr>
                    <w:t>15:30-16:30</w:t>
                  </w:r>
                </w:p>
              </w:tc>
              <w:tc>
                <w:tcPr>
                  <w:tcW w:type="dxa" w:w="1856"/>
                  <w:tcBorders>
                    <w:top w:val="none" w:color="000000" w:sz="4"/>
                    <w:left w:val="none" w:color="000000" w:sz="4"/>
                    <w:bottom w:val="single" w:color="000000" w:sz="4"/>
                    <w:right w:val="single" w:color="000000" w:sz="4"/>
                  </w:tcBorders>
                  <w:tcMar>
                    <w:top w:type="dxa" w:w="15"/>
                    <w:left w:type="dxa" w:w="15"/>
                    <w:bottom w:type="dxa" w:w="75"/>
                    <w:right w:type="dxa" w:w="15"/>
                  </w:tcMar>
                </w:tcPr>
                <w:p>
                  <w:pPr>
                    <w:pStyle w:val="null3"/>
                    <w:jc w:val="left"/>
                  </w:pPr>
                  <w:r>
                    <w:rPr>
                      <w:rFonts w:ascii="仿宋_GB2312" w:hAnsi="仿宋_GB2312" w:cs="仿宋_GB2312" w:eastAsia="仿宋_GB2312"/>
                      <w:sz w:val="24"/>
                      <w:color w:val="000000"/>
                    </w:rPr>
                    <w:t>巡回保洁 冲洗卫生间、清扫卫生间垃圾、水房、擦洗热水器、理垃圾篓、清扫死角、清洗垃圾桶、随脏随处理、运送垃圾、保洁工具存放整齐、拖把分类、清洗消毒、清扫分类架.</w:t>
                  </w:r>
                </w:p>
              </w:tc>
            </w:tr>
            <w:tr>
              <w:tc>
                <w:tcPr>
                  <w:tcW w:type="dxa" w:w="2552"/>
                  <w:gridSpan w:val="2"/>
                  <w:tcBorders>
                    <w:top w:val="none" w:color="000000" w:sz="4"/>
                    <w:left w:val="single" w:color="000000" w:sz="4"/>
                    <w:bottom w:val="single" w:color="000000" w:sz="4"/>
                    <w:right w:val="single" w:color="000000" w:sz="4"/>
                  </w:tcBorders>
                  <w:tcMar>
                    <w:top w:type="dxa" w:w="15"/>
                    <w:left w:type="dxa" w:w="15"/>
                    <w:bottom w:type="dxa" w:w="75"/>
                    <w:right w:type="dxa" w:w="15"/>
                  </w:tcMar>
                </w:tcPr>
                <w:p>
                  <w:pPr>
                    <w:pStyle w:val="null3"/>
                    <w:jc w:val="both"/>
                  </w:pPr>
                  <w:r>
                    <w:rPr>
                      <w:rFonts w:ascii="仿宋_GB2312" w:hAnsi="仿宋_GB2312" w:cs="仿宋_GB2312" w:eastAsia="仿宋_GB2312"/>
                      <w:sz w:val="24"/>
                      <w:color w:val="000000"/>
                    </w:rPr>
                    <w:t>备注：及时清理各楼层的生活垃圾及转运，各病区输液瓶、安瓿瓶等的收集，禁止堆放。</w:t>
                  </w:r>
                </w:p>
              </w:tc>
            </w:tr>
          </w:tbl>
          <w:p>
            <w:pPr>
              <w:pStyle w:val="null3"/>
              <w:ind w:firstLine="643"/>
              <w:jc w:val="both"/>
            </w:pPr>
            <w:r>
              <w:rPr>
                <w:rFonts w:ascii="仿宋_GB2312" w:hAnsi="仿宋_GB2312" w:cs="仿宋_GB2312" w:eastAsia="仿宋_GB2312"/>
                <w:sz w:val="32"/>
                <w:b/>
              </w:rPr>
              <w:t>（四）、保洁员工作的内容主要包括</w:t>
            </w:r>
            <w:r>
              <w:br/>
            </w:r>
            <w:r>
              <w:rPr>
                <w:rFonts w:ascii="仿宋_GB2312" w:hAnsi="仿宋_GB2312" w:cs="仿宋_GB2312" w:eastAsia="仿宋_GB2312"/>
                <w:sz w:val="32"/>
              </w:rPr>
              <w:t xml:space="preserve"> 1</w:t>
            </w:r>
            <w:r>
              <w:rPr>
                <w:rFonts w:ascii="仿宋_GB2312" w:hAnsi="仿宋_GB2312" w:cs="仿宋_GB2312" w:eastAsia="仿宋_GB2312"/>
                <w:sz w:val="32"/>
              </w:rPr>
              <w:t>、保洁员根据公司及医院行政后勤科规定的工作时间进行日常保洁工作；</w:t>
            </w:r>
            <w:r>
              <w:br/>
            </w:r>
            <w:r>
              <w:rPr>
                <w:rFonts w:ascii="仿宋_GB2312" w:hAnsi="仿宋_GB2312" w:cs="仿宋_GB2312" w:eastAsia="仿宋_GB2312"/>
                <w:sz w:val="32"/>
              </w:rPr>
              <w:t xml:space="preserve"> 2、负责大厅、楼梯、病房、走廊等院内公共场所卫生的清扫及地面清洗，保持所有公共场所的卫生整洁，干净、无尘土、无卫生死角；</w:t>
            </w:r>
            <w:r>
              <w:br/>
            </w:r>
            <w:r>
              <w:rPr>
                <w:rFonts w:ascii="仿宋_GB2312" w:hAnsi="仿宋_GB2312" w:cs="仿宋_GB2312" w:eastAsia="仿宋_GB2312"/>
                <w:sz w:val="32"/>
              </w:rPr>
              <w:t xml:space="preserve"> 3、负责会议室会前、会后的清扫、整理工作；</w:t>
            </w:r>
            <w:r>
              <w:br/>
            </w:r>
            <w:r>
              <w:rPr>
                <w:rFonts w:ascii="仿宋_GB2312" w:hAnsi="仿宋_GB2312" w:cs="仿宋_GB2312" w:eastAsia="仿宋_GB2312"/>
                <w:sz w:val="32"/>
              </w:rPr>
              <w:t xml:space="preserve"> 4、负责打扫整理病房和公共走廊之垃圾，清洗痰盂；</w:t>
            </w:r>
            <w:r>
              <w:br/>
            </w:r>
            <w:r>
              <w:rPr>
                <w:rFonts w:ascii="仿宋_GB2312" w:hAnsi="仿宋_GB2312" w:cs="仿宋_GB2312" w:eastAsia="仿宋_GB2312"/>
                <w:sz w:val="32"/>
              </w:rPr>
              <w:t xml:space="preserve"> 5、保持公共场所楼梯扶手、窗台表面无灰尘，光洁明亮，保持环境美观；</w:t>
            </w:r>
            <w:r>
              <w:br/>
            </w:r>
            <w:r>
              <w:rPr>
                <w:rFonts w:ascii="仿宋_GB2312" w:hAnsi="仿宋_GB2312" w:cs="仿宋_GB2312" w:eastAsia="仿宋_GB2312"/>
                <w:sz w:val="32"/>
              </w:rPr>
              <w:t xml:space="preserve"> 6、保持所有病房及公共场所玻璃窗在视线内无灰尘、蜘蛛网、印痕，每季度一遍；</w:t>
            </w:r>
            <w:r>
              <w:br/>
            </w:r>
            <w:r>
              <w:rPr>
                <w:rFonts w:ascii="仿宋_GB2312" w:hAnsi="仿宋_GB2312" w:cs="仿宋_GB2312" w:eastAsia="仿宋_GB2312"/>
                <w:sz w:val="32"/>
              </w:rPr>
              <w:t xml:space="preserve"> 7、洗手池无皂迹、无污点无污垢；做到经常擦拭，保持表面光亮、整洁；卫生间地面、大小便池的清洁干净，做到无积水、无尿碱、无污物、无异味；</w:t>
            </w:r>
            <w:r>
              <w:br/>
            </w:r>
            <w:r>
              <w:rPr>
                <w:rFonts w:ascii="仿宋_GB2312" w:hAnsi="仿宋_GB2312" w:cs="仿宋_GB2312" w:eastAsia="仿宋_GB2312"/>
                <w:sz w:val="32"/>
              </w:rPr>
              <w:t xml:space="preserve"> 8、所有公共场所痰盂位置设置合理、数量充足、无外溢现象，表面干净无污迹，做到每天擦洗；</w:t>
            </w:r>
          </w:p>
          <w:p>
            <w:pPr>
              <w:pStyle w:val="null3"/>
              <w:jc w:val="both"/>
            </w:pPr>
            <w:r>
              <w:rPr>
                <w:rFonts w:ascii="仿宋_GB2312" w:hAnsi="仿宋_GB2312" w:cs="仿宋_GB2312" w:eastAsia="仿宋_GB2312"/>
                <w:sz w:val="32"/>
              </w:rPr>
              <w:t>9</w:t>
            </w:r>
            <w:r>
              <w:rPr>
                <w:rFonts w:ascii="仿宋_GB2312" w:hAnsi="仿宋_GB2312" w:cs="仿宋_GB2312" w:eastAsia="仿宋_GB2312"/>
                <w:sz w:val="32"/>
              </w:rPr>
              <w:t>、垃圾箱位置设置合理，无外溢现象，表面干净无污迹，每天清理；</w:t>
            </w:r>
            <w:r>
              <w:br/>
            </w:r>
            <w:r>
              <w:rPr>
                <w:rFonts w:ascii="仿宋_GB2312" w:hAnsi="仿宋_GB2312" w:cs="仿宋_GB2312" w:eastAsia="仿宋_GB2312"/>
                <w:sz w:val="32"/>
              </w:rPr>
              <w:t xml:space="preserve"> 10、负责清扫院内公共卫生间的卫生及墙面、地面卫生、每天上、下午各清扫一次以上。做到厕所清洁无异味，表面干净无污迹、积水、纸屑，保证墙面瓷砖光亮，无水印、无污迹，纸篓无满溢；</w:t>
            </w:r>
            <w:r>
              <w:br/>
            </w:r>
            <w:r>
              <w:rPr>
                <w:rFonts w:ascii="仿宋_GB2312" w:hAnsi="仿宋_GB2312" w:cs="仿宋_GB2312" w:eastAsia="仿宋_GB2312"/>
                <w:sz w:val="32"/>
              </w:rPr>
              <w:t xml:space="preserve"> 11、负责清理清扫工具、清运工具，按时清倒垃圾桶内的垃圾;及时回收输液瓶、安瓿瓶等可回收生活垃圾。</w:t>
            </w:r>
            <w:r>
              <w:br/>
            </w:r>
            <w:r>
              <w:rPr>
                <w:rFonts w:ascii="仿宋_GB2312" w:hAnsi="仿宋_GB2312" w:cs="仿宋_GB2312" w:eastAsia="仿宋_GB2312"/>
                <w:sz w:val="32"/>
              </w:rPr>
              <w:t xml:space="preserve"> 12、按时浇灌花园、楼内摆放的盆花，清除花园、花盆中烟头、纸屑垃圾等；</w:t>
            </w:r>
            <w:r>
              <w:br/>
            </w:r>
            <w:r>
              <w:rPr>
                <w:rFonts w:ascii="仿宋_GB2312" w:hAnsi="仿宋_GB2312" w:cs="仿宋_GB2312" w:eastAsia="仿宋_GB2312"/>
                <w:sz w:val="32"/>
              </w:rPr>
              <w:t xml:space="preserve"> 13、负责楼内卫生，保持室内过道楼梯无烟头、垃圾及杂物，保持楼内无烟蒂；</w:t>
            </w:r>
          </w:p>
          <w:p>
            <w:pPr>
              <w:pStyle w:val="null3"/>
              <w:jc w:val="both"/>
            </w:pPr>
            <w:r>
              <w:rPr>
                <w:rFonts w:ascii="仿宋_GB2312" w:hAnsi="仿宋_GB2312" w:cs="仿宋_GB2312" w:eastAsia="仿宋_GB2312"/>
                <w:sz w:val="32"/>
              </w:rPr>
              <w:t>14</w:t>
            </w:r>
            <w:r>
              <w:rPr>
                <w:rFonts w:ascii="仿宋_GB2312" w:hAnsi="仿宋_GB2312" w:cs="仿宋_GB2312" w:eastAsia="仿宋_GB2312"/>
                <w:sz w:val="32"/>
              </w:rPr>
              <w:t>、清洁员请假应事前向主管申请，获准后才予以离开，否则不洁责任由其承担；</w:t>
            </w:r>
          </w:p>
          <w:p>
            <w:pPr>
              <w:pStyle w:val="null3"/>
              <w:jc w:val="both"/>
            </w:pPr>
            <w:r>
              <w:rPr>
                <w:rFonts w:ascii="仿宋_GB2312" w:hAnsi="仿宋_GB2312" w:cs="仿宋_GB2312" w:eastAsia="仿宋_GB2312"/>
                <w:sz w:val="32"/>
              </w:rPr>
              <w:t>15</w:t>
            </w:r>
            <w:r>
              <w:rPr>
                <w:rFonts w:ascii="仿宋_GB2312" w:hAnsi="仿宋_GB2312" w:cs="仿宋_GB2312" w:eastAsia="仿宋_GB2312"/>
                <w:sz w:val="32"/>
              </w:rPr>
              <w:t>、注意节约用水、用电；</w:t>
            </w:r>
          </w:p>
          <w:p>
            <w:pPr>
              <w:pStyle w:val="null3"/>
              <w:jc w:val="both"/>
            </w:pPr>
            <w:r>
              <w:rPr>
                <w:rFonts w:ascii="仿宋_GB2312" w:hAnsi="仿宋_GB2312" w:cs="仿宋_GB2312" w:eastAsia="仿宋_GB2312"/>
                <w:sz w:val="32"/>
              </w:rPr>
              <w:t>16</w:t>
            </w:r>
            <w:r>
              <w:rPr>
                <w:rFonts w:ascii="仿宋_GB2312" w:hAnsi="仿宋_GB2312" w:cs="仿宋_GB2312" w:eastAsia="仿宋_GB2312"/>
                <w:sz w:val="32"/>
              </w:rPr>
              <w:t>、在门诊部及时清扫病人遗留的污物，住院部病人出院后及时进行清扫整理；</w:t>
            </w:r>
          </w:p>
          <w:p>
            <w:pPr>
              <w:pStyle w:val="null3"/>
              <w:jc w:val="both"/>
            </w:pPr>
            <w:r>
              <w:rPr>
                <w:rFonts w:ascii="仿宋_GB2312" w:hAnsi="仿宋_GB2312" w:cs="仿宋_GB2312" w:eastAsia="仿宋_GB2312"/>
                <w:sz w:val="32"/>
              </w:rPr>
              <w:t>17</w:t>
            </w:r>
            <w:r>
              <w:rPr>
                <w:rFonts w:ascii="仿宋_GB2312" w:hAnsi="仿宋_GB2312" w:cs="仿宋_GB2312" w:eastAsia="仿宋_GB2312"/>
                <w:sz w:val="32"/>
              </w:rPr>
              <w:t>、在清洁工作的同时，发现室内建筑、家具、设施有所损坏，影响使用或有碍观瞻，应及时报告修复；</w:t>
            </w:r>
          </w:p>
          <w:p>
            <w:pPr>
              <w:pStyle w:val="null3"/>
              <w:jc w:val="both"/>
            </w:pPr>
            <w:r>
              <w:rPr>
                <w:rFonts w:ascii="仿宋_GB2312" w:hAnsi="仿宋_GB2312" w:cs="仿宋_GB2312" w:eastAsia="仿宋_GB2312"/>
                <w:sz w:val="32"/>
              </w:rPr>
              <w:t>18</w:t>
            </w:r>
            <w:r>
              <w:rPr>
                <w:rFonts w:ascii="仿宋_GB2312" w:hAnsi="仿宋_GB2312" w:cs="仿宋_GB2312" w:eastAsia="仿宋_GB2312"/>
                <w:sz w:val="32"/>
              </w:rPr>
              <w:t>、雨雪天气及时在门口摆放吸水、防滑设施，并清扫污水、印迹。刮风下雨等恶劣天气要及时关闭各楼层门窗，发现院基础设施损坏时，要及时采取补救措施，或通知负责人或后勤科主管领导。</w:t>
            </w:r>
          </w:p>
          <w:p>
            <w:pPr>
              <w:pStyle w:val="null3"/>
              <w:ind w:firstLine="643"/>
              <w:jc w:val="both"/>
            </w:pPr>
            <w:r>
              <w:rPr>
                <w:rFonts w:ascii="仿宋_GB2312" w:hAnsi="仿宋_GB2312" w:cs="仿宋_GB2312" w:eastAsia="仿宋_GB2312"/>
                <w:sz w:val="32"/>
                <w:b/>
              </w:rPr>
              <w:t>二、质量、安全、技术规格、物理特性等要求</w:t>
            </w:r>
          </w:p>
          <w:p>
            <w:pPr>
              <w:pStyle w:val="null3"/>
              <w:ind w:firstLine="640"/>
              <w:jc w:val="both"/>
            </w:pPr>
            <w:r>
              <w:rPr>
                <w:rFonts w:ascii="仿宋_GB2312" w:hAnsi="仿宋_GB2312" w:cs="仿宋_GB2312" w:eastAsia="仿宋_GB2312"/>
                <w:sz w:val="32"/>
              </w:rPr>
              <w:t>质量：创建清洁卫生的就医环境，满足群众看病就医需求。</w:t>
            </w:r>
          </w:p>
          <w:p>
            <w:pPr>
              <w:pStyle w:val="null3"/>
              <w:ind w:firstLine="643"/>
              <w:jc w:val="both"/>
            </w:pPr>
            <w:r>
              <w:rPr>
                <w:rFonts w:ascii="仿宋_GB2312" w:hAnsi="仿宋_GB2312" w:cs="仿宋_GB2312" w:eastAsia="仿宋_GB2312"/>
                <w:sz w:val="32"/>
                <w:b/>
              </w:rPr>
              <w:t>三、服务标准、期限、效率等要求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、供应商需要提供合理的项目整体实施方案，能按照项目分解节点并可跟踪实施。</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、供应商需要根据时间节点，落实人员安排，确保按期服务。</w:t>
            </w:r>
          </w:p>
          <w:p>
            <w:pPr>
              <w:pStyle w:val="null3"/>
              <w:ind w:firstLine="643"/>
              <w:jc w:val="both"/>
            </w:pPr>
            <w:r>
              <w:rPr>
                <w:rFonts w:ascii="仿宋_GB2312" w:hAnsi="仿宋_GB2312" w:cs="仿宋_GB2312" w:eastAsia="仿宋_GB2312"/>
                <w:sz w:val="32"/>
                <w:b/>
              </w:rPr>
              <w:t>四、验收标准</w:t>
            </w:r>
          </w:p>
          <w:p>
            <w:pPr>
              <w:pStyle w:val="null3"/>
              <w:ind w:left="480"/>
              <w:jc w:val="both"/>
            </w:pPr>
            <w:r>
              <w:rPr>
                <w:rFonts w:ascii="仿宋_GB2312" w:hAnsi="仿宋_GB2312" w:cs="仿宋_GB2312" w:eastAsia="仿宋_GB2312"/>
                <w:sz w:val="32"/>
              </w:rPr>
              <w:t>1</w:t>
            </w:r>
            <w:r>
              <w:rPr>
                <w:rFonts w:ascii="仿宋_GB2312" w:hAnsi="仿宋_GB2312" w:cs="仿宋_GB2312" w:eastAsia="仿宋_GB2312"/>
                <w:sz w:val="32"/>
              </w:rPr>
              <w:t>、保洁员根据公司及医院行政后勤科规定的工作时间进行日常保洁工作；</w:t>
            </w:r>
            <w:r>
              <w:br/>
            </w:r>
            <w:r>
              <w:rPr>
                <w:rFonts w:ascii="仿宋_GB2312" w:hAnsi="仿宋_GB2312" w:cs="仿宋_GB2312" w:eastAsia="仿宋_GB2312"/>
                <w:sz w:val="32"/>
              </w:rPr>
              <w:t xml:space="preserve"> 2、负责大厅、楼梯、病房、走廊等院内公共场所卫生的清扫及地面清洗，保持</w:t>
            </w:r>
          </w:p>
          <w:p>
            <w:pPr>
              <w:pStyle w:val="null3"/>
              <w:jc w:val="both"/>
            </w:pPr>
            <w:r>
              <w:rPr>
                <w:rFonts w:ascii="仿宋_GB2312" w:hAnsi="仿宋_GB2312" w:cs="仿宋_GB2312" w:eastAsia="仿宋_GB2312"/>
                <w:sz w:val="32"/>
              </w:rPr>
              <w:t xml:space="preserve">所有公共场所的卫生整洁，干净、无尘土、无卫生死角；                             </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、创建清洁卫生的就医环境，满足群众看病就医需求。</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、评分表</w:t>
            </w:r>
          </w:p>
          <w:tbl>
            <w:tblPr>
              <w:tblBorders>
                <w:top w:val="none" w:color="000000" w:sz="4"/>
                <w:left w:val="none" w:color="000000" w:sz="4"/>
                <w:bottom w:val="none" w:color="000000" w:sz="4"/>
                <w:right w:val="none" w:color="000000" w:sz="4"/>
                <w:insideH w:val="none"/>
                <w:insideV w:val="none"/>
              </w:tblBorders>
            </w:tblPr>
            <w:tblGrid>
              <w:gridCol w:w="549"/>
              <w:gridCol w:w="957"/>
              <w:gridCol w:w="523"/>
              <w:gridCol w:w="523"/>
            </w:tblGrid>
            <w:tr>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科 室</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总分</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项目</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720"/>
                    <w:jc w:val="center"/>
                  </w:pPr>
                  <w:r>
                    <w:rPr>
                      <w:rFonts w:ascii="仿宋_GB2312" w:hAnsi="仿宋_GB2312" w:cs="仿宋_GB2312" w:eastAsia="仿宋_GB2312"/>
                      <w:sz w:val="24"/>
                    </w:rPr>
                    <w:t>标      准</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分值</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得分</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120"/>
                    <w:jc w:val="center"/>
                  </w:pPr>
                  <w:r>
                    <w:rPr>
                      <w:rFonts w:ascii="仿宋_GB2312" w:hAnsi="仿宋_GB2312" w:cs="仿宋_GB2312" w:eastAsia="仿宋_GB2312"/>
                      <w:sz w:val="24"/>
                    </w:rPr>
                    <w:t>公共区域20分</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前后院子、花园、垃圾桶保持干净、垃圾不准堆积外漏。果皮、纸屑、烟头随时清理，保持干净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病房25分</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物品摆放整齐、床头柜洁净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vMerge/>
                  <w:tcBorders>
                    <w:top w:val="none" w:color="000000" w:sz="4"/>
                    <w:left w:val="singl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地面无水迹、水果、饮料迹、果皮、纸屑等、墙面、屋顶尘土、蜘蛛网</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vMerge/>
                  <w:tcBorders>
                    <w:top w:val="none" w:color="000000" w:sz="4"/>
                    <w:left w:val="singl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墙面、屋顶尘土、蜘蛛网</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vMerge/>
                  <w:tcBorders>
                    <w:top w:val="none" w:color="000000" w:sz="4"/>
                    <w:left w:val="singl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门窗洁净、玻璃明亮</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vMerge/>
                  <w:tcBorders>
                    <w:top w:val="none" w:color="000000" w:sz="4"/>
                    <w:left w:val="singl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空调、电扇、灯具、氧气管道、病床洁净、无污垢</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vMerge/>
                  <w:tcBorders>
                    <w:top w:val="none" w:color="000000" w:sz="4"/>
                    <w:left w:val="singl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垃圾随满随倒</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楼道以及楼道设施10分</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花盆、宣传牌、灯具、消防设施定期清洁无污垢。</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vMerge/>
                  <w:tcBorders>
                    <w:top w:val="none" w:color="000000" w:sz="4"/>
                    <w:left w:val="singl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墙壁、扶手清洁。</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vMerge/>
                  <w:tcBorders>
                    <w:top w:val="none" w:color="000000" w:sz="4"/>
                    <w:left w:val="singl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楼道地面保持干净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卫生间15分</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保持内镜面、门、洗手盆洁及时清理并保持便池的洁净，无污垢。无积水，卫生桶垃圾袋装，不外漏</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15</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垃圾桶10分</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每天及时清洁清空垃圾桶，保持干净，垃圾不准堆积外漏。</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值班排班10分</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人员排班方案满足医院24小时动态保洁需求，无空岗、漏岗风险，排班合理，</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在岗在位及患者关系10分</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每天按时上下班，不得迟到早退，工作中注意文明用语，搞好医患者关系。</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说明：根据保洁工作考核制度验收要求，满分100分，经考核乙方达到80分以上为合格。</w:t>
                  </w:r>
                </w:p>
                <w:p>
                  <w:pPr>
                    <w:pStyle w:val="null3"/>
                    <w:jc w:val="both"/>
                  </w:pPr>
                  <w:r>
                    <w:rPr>
                      <w:rFonts w:ascii="仿宋_GB2312" w:hAnsi="仿宋_GB2312" w:cs="仿宋_GB2312" w:eastAsia="仿宋_GB2312"/>
                      <w:sz w:val="24"/>
                    </w:rPr>
                    <w:t>验收考核小组签名：</w:t>
                  </w:r>
                </w:p>
                <w:p>
                  <w:pPr>
                    <w:pStyle w:val="null3"/>
                    <w:jc w:val="both"/>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年    月    日</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保洁总面积约15000m2，包含门诊楼、住院楼、妇科楼、急诊楼、迎街楼、公共区域及绿化修剪，保洁经理1名、保洁员19名，共计20人。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1、需购耗材物资 （1）劳保物品 洗衣粉、毛巾、口罩、肥皂、绒手套、胶手套、工作服秋、长袖、工作服夏、短袖等： （2）洁具用品 油拖把、拖把、夹板拖、扫帚、簸箕、脸盆、塑料桶、塑料袋（大、中、小）、垃圾袋、坐便洁刷、灰刀、玻璃器、洗洁净、放香球、厕洁灵、空气清新剂、吸尘油、稀盐酸、钢丝球、梯子、水管等。 （3）其它 卫生香、铁锈球、84消毒液、百洁布、鞋套、草酸、等。 2、保洁大中小设备 （1）、洗地机 2台 （2）、吸尘机 1台 （3）、榨水车 21台 （4）、打草机 1台 （5）、打药管 1套 （6）、垃圾清运车 1台</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服务合规要求：严格遵守《医疗机构消毒技术规范》《医疗废物管理条例》《医院感染管理办法》等相关法律法规，确保物业服务符合医院院感防控、消防安全、环保管理等要求。 2. 应急预案要求：制定火灾、突发公共卫生事件、医疗废物泄漏、设施故障等突发事件的应急预案，定期开展演练，保障医院正常诊疗秩序。 3. 服务响应要求：建立24小时服务响应机制，一般报修响应时间不超过30分钟，紧急报修（如水电故障、消防隐患）响应时间不超过15分钟。 4. 保密与纪律要求：所有服务人员需遵守医院保密规定，不得泄露患者信息、医院内部管理信息；工作期间遵守医院各项规章制度，文明服务，不得与患者及家属发生冲突。 5. 培训与考核要求：定期开展院感防控、消防安全、服务礼仪、应急处置等培训，建立服务质量考核机制，接受采购人的日常监督与考核，根据考核结果及时整改优化服务。 6. 配合管理要求：需配合采购人完成上级部门检查、医院等级评审、传染病防控等专项工作，按要求提供相关资料与服务支持。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招一延一，一年一签。医院考核小组年度考核合格后续签下一年度合同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合阳县中医医院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根据考核表打分，80分以上为合格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进度款，验收合格，达到付款条件起30个工作日内，支付合同总金额的8.3%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进度款，验收合格，达到付款条件起30个工作日内，支付合同总金额的8.3%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进度款，验收合格，达到付款条件起30个工作日内，支付合同总金额的8.3%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进度款，验收合格，达到付款条件起30个工作日内，支付合同总金额的8.3%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进度款，验收合格，达到付款条件起30个工作日内，支付合同总金额的8.3%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进度款，验收合格，达到付款条件起30个工作日内，支付合同总金额的8.3%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进度款，验收合格，达到付款条件起30个工作日内，支付合同总金额的8.3%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进度款，验收合格，达到付款条件起30个工作日内，支付合同总金额的8.3%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进度款，验收合格，达到付款条件起30个工作日内，支付合同总金额的8.3%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进度款，验收合格，达到付款条件起30个工作日内，支付合同总金额的8.3%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进度款，验收合格，达到付款条件起30个工作日内，支付合同总金额的8.3%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进度款，验收合格，达到付款条件起30个工作日内，支付合同总金额的8.7%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根据合同约定或法律相关规定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供应商应具备良好的商业信誉，提供参加政府采购活动前3年内在经营活动中没有重大违法记录的书面声明；3.供应商提供已缴存的2025年度04月至今任意一个月的社会保障资金缴存单据或社保机构开具的社会保险参保缴费情况证明，单据或证明上应有社保机构或代收机构的公章；4.具备履行合同所必需的设备和专业技术能力的证明材料（书面声明）。供应商需在项目电子化交易系统按需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供应商提供2024或2025年的财务审计报告（至少包括资产负债表和利润表，成立时间至提交响应文件截止时间不足一年的可提供成立后任意时段的资产负债表），或其开标前六个月内银行开具的资信证明；</w:t>
            </w:r>
          </w:p>
        </w:tc>
        <w:tc>
          <w:tcPr>
            <w:tcW w:type="dxa" w:w="1661"/>
          </w:tcPr>
          <w:p>
            <w:pPr>
              <w:pStyle w:val="null3"/>
            </w:pPr>
            <w:r>
              <w:rPr>
                <w:rFonts w:ascii="仿宋_GB2312" w:hAnsi="仿宋_GB2312" w:cs="仿宋_GB2312" w:eastAsia="仿宋_GB2312"/>
              </w:rPr>
              <w:t>服务内容及服务邀请应答表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法定代表人直接参加投标的，须出具法人身份证明及身份证；法定代表人授权代表参加投标的，须出具法定代表人授权书及授权代表身份证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服务内容及服务邀请应答表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包专门面向中小企业，仅限符合《政府采购促进中小企业发展管理办法》（财库【2020】46号）条件的中小企业参加，供应商应填写中小企业声明函并对真实性负责（残疾人福利性组织及监狱企业视同为小型、微型企业），供应商需在项目电子化交易系统中按照要求上传相关证件文件并进行电子签章。</w:t>
            </w:r>
          </w:p>
        </w:tc>
        <w:tc>
          <w:tcPr>
            <w:tcW w:type="dxa" w:w="1661"/>
          </w:tcPr>
          <w:p>
            <w:pPr>
              <w:pStyle w:val="null3"/>
            </w:pPr>
            <w:r>
              <w:rPr>
                <w:rFonts w:ascii="仿宋_GB2312" w:hAnsi="仿宋_GB2312" w:cs="仿宋_GB2312" w:eastAsia="仿宋_GB2312"/>
              </w:rPr>
              <w:t>残疾人福利性单位声明函 中小企业声明函 供应商应提交的相关资格证明材料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异常低价情况说明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1.拟派项目负责人：具备3年及以上医院保洁项目管理经验，得4分；持有相关专业培训证书或中级及以上职称，加3分，最高得7分； 2.拟投入关键岗位人员（消毒员、院感专员、班组长等）持有有效上岗证或培训合格证书，每提供1人得0.5分，最高得3分。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人员与现场管理方案</w:t>
            </w:r>
          </w:p>
        </w:tc>
        <w:tc>
          <w:tcPr>
            <w:tcW w:type="dxa" w:w="2492"/>
          </w:tcPr>
          <w:p>
            <w:pPr>
              <w:pStyle w:val="null3"/>
            </w:pPr>
            <w:r>
              <w:rPr>
                <w:rFonts w:ascii="仿宋_GB2312" w:hAnsi="仿宋_GB2312" w:cs="仿宋_GB2312" w:eastAsia="仿宋_GB2312"/>
              </w:rPr>
              <w:t>1.人员排班方案满足医院24小时动态保洁需求，无空岗、漏岗风险，排班合理，得2分； 2.员工培训方案包含院感防控、消毒规范、职业防护、服务礼仪、医院服务注意事项等内容，培训计划详实可行，得2分； 3.日常巡检、质量考核、问题整改机制健全，投诉处理流程闭环高效，得2分； 4.安全管理制度完善，包含消防安全、职业安全、信息安全等内容，措施具体，得2分。 5.人员身体健康状况良好，无任何有碍从事保洁服务工作的疾病与生理缺陷，吃苦耐劳，体力充沛，完全能够胜任保洁岗位各项工作。得2分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企业资质与合规性</w:t>
            </w:r>
          </w:p>
        </w:tc>
        <w:tc>
          <w:tcPr>
            <w:tcW w:type="dxa" w:w="2492"/>
          </w:tcPr>
          <w:p>
            <w:pPr>
              <w:pStyle w:val="null3"/>
            </w:pPr>
            <w:r>
              <w:rPr>
                <w:rFonts w:ascii="仿宋_GB2312" w:hAnsi="仿宋_GB2312" w:cs="仿宋_GB2312" w:eastAsia="仿宋_GB2312"/>
              </w:rPr>
              <w:t>1.供应商具备有效的营业执照，经营范围包含保洁或物业管理服务相关内容，得5分； 2.供应商通过ISO9001质量管理体系认证、ISO14001健康安全管理体系认证，最高得3分；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1.提供2023年以来后勤服务、物业管理服务项目业绩，以合同签订日期为准，（合同原件备查）无合同原件不得分，每提供1份有效合同（含合同关键页、中标通知书）得2分，最高8分。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企业信誉与保障能力</w:t>
            </w:r>
          </w:p>
        </w:tc>
        <w:tc>
          <w:tcPr>
            <w:tcW w:type="dxa" w:w="2492"/>
          </w:tcPr>
          <w:p>
            <w:pPr>
              <w:pStyle w:val="null3"/>
            </w:pPr>
            <w:r>
              <w:rPr>
                <w:rFonts w:ascii="仿宋_GB2312" w:hAnsi="仿宋_GB2312" w:cs="仿宋_GB2312" w:eastAsia="仿宋_GB2312"/>
              </w:rPr>
              <w:t>1.承诺为项目全体服务人员缴纳工伤保险及意外伤害保险，并提供书面承诺函，得4分； 2. 获得行业主管部门或行业协会颁发的荣誉奖项，得5分，无则不得分。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供应商提供的服务方案完整覆盖医院所有保洁区域（含门诊、病房、手术室、行政办公区、公共区域等），内容包含保洁范围、频次、标准、流程，贴合医院运营场景，方案科学合理、可操作性强，得7-10分； 方案基本完整但内容简略，部分内容未结合本项目实际，得3-6分； 未提供方案或方案不符合项目实际需求，得0分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院感防控专项方案</w:t>
            </w:r>
          </w:p>
        </w:tc>
        <w:tc>
          <w:tcPr>
            <w:tcW w:type="dxa" w:w="2492"/>
          </w:tcPr>
          <w:p>
            <w:pPr>
              <w:pStyle w:val="null3"/>
            </w:pPr>
            <w:r>
              <w:rPr>
                <w:rFonts w:ascii="仿宋_GB2312" w:hAnsi="仿宋_GB2312" w:cs="仿宋_GB2312" w:eastAsia="仿宋_GB2312"/>
              </w:rPr>
              <w:t>1.医疗废物分类、收集、转运、暂存管理方案符合《医疗废物管理条例》及院感防控要求，流程规范、责任明确，得4分； 2.重点区域消毒方案（含高频接触物表消毒、终末消毒、诊疗区域清洁消毒）科学合理，符合医院感染控制标准，得4分； 3.突发公共卫生事件、传染病暴发等应急处置预案完善，响应机制健全，具备可操作性，得4分。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生活垃圾分类方案</w:t>
            </w:r>
          </w:p>
        </w:tc>
        <w:tc>
          <w:tcPr>
            <w:tcW w:type="dxa" w:w="2492"/>
          </w:tcPr>
          <w:p>
            <w:pPr>
              <w:pStyle w:val="null3"/>
            </w:pPr>
            <w:r>
              <w:rPr>
                <w:rFonts w:ascii="仿宋_GB2312" w:hAnsi="仿宋_GB2312" w:cs="仿宋_GB2312" w:eastAsia="仿宋_GB2312"/>
              </w:rPr>
              <w:t>1.保洁人员负责日常生活垃圾分类收集、清运、处置，医疗废物严格分开，不得混装。得2分 2.按照四色垃圾桶进行分类，日常清扫就地分类，不混倒、不混装。得2分 3.垃圾桶每日清洗消毒，保持干净无异味。得2分 4.卫生间每日清扫、消杀，地面、地台保持洁净无异味。得2分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设备与物料配置方案</w:t>
            </w:r>
          </w:p>
        </w:tc>
        <w:tc>
          <w:tcPr>
            <w:tcW w:type="dxa" w:w="2492"/>
          </w:tcPr>
          <w:p>
            <w:pPr>
              <w:pStyle w:val="null3"/>
            </w:pPr>
            <w:r>
              <w:rPr>
                <w:rFonts w:ascii="仿宋_GB2312" w:hAnsi="仿宋_GB2312" w:cs="仿宋_GB2312" w:eastAsia="仿宋_GB2312"/>
              </w:rPr>
              <w:t>1.拟投入的保洁设备（洗地机、尘推车、高压清洗机、吸尘器等）清单完整，数量满足项目需求，性能参数符合项目实际，得4分； 2.拟使用的清洁消毒耗材（消毒剂、抹布、垃圾袋等）符合国家相关标准及医院院感要求，环保合规，提供合格证明材料，得4分； 3.医疗废物专用收集容器、转运工具配置齐全，满足分类管理要求，得2分。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异常低价情况说明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经有效性和符合性审核合格后，各有效磋商报价的最低价为评审基准价，其他投标人的价格统一按照下列公式计算：投标报价得分=（评分基准价/投标报价）*价格权值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详见附件：异常低价情况说明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