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2"/>
        <w:gridCol w:w="1209"/>
        <w:gridCol w:w="6376"/>
      </w:tblGrid>
      <w:tr w14:paraId="5C8BC6C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2" w:type="dxa"/>
          </w:tcPr>
          <w:p w14:paraId="42E97747">
            <w:pPr>
              <w:pStyle w:val="5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 xml:space="preserve"> 序号</w:t>
            </w:r>
          </w:p>
        </w:tc>
        <w:tc>
          <w:tcPr>
            <w:tcW w:w="1209" w:type="dxa"/>
          </w:tcPr>
          <w:p w14:paraId="1191B6C3">
            <w:pPr>
              <w:pStyle w:val="5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 xml:space="preserve"> 参数性质</w:t>
            </w:r>
          </w:p>
        </w:tc>
        <w:tc>
          <w:tcPr>
            <w:tcW w:w="6376" w:type="dxa"/>
          </w:tcPr>
          <w:p w14:paraId="1E1D13C2">
            <w:pPr>
              <w:pStyle w:val="5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技术参数与性能指标</w:t>
            </w:r>
          </w:p>
        </w:tc>
      </w:tr>
      <w:tr w14:paraId="4F2662A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2" w:type="dxa"/>
          </w:tcPr>
          <w:p w14:paraId="795691B1">
            <w:pPr>
              <w:pStyle w:val="5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1</w:t>
            </w:r>
          </w:p>
        </w:tc>
        <w:tc>
          <w:tcPr>
            <w:tcW w:w="1209" w:type="dxa"/>
          </w:tcPr>
          <w:p w14:paraId="092030BC">
            <w:pPr>
              <w:rPr>
                <w:rFonts w:hint="eastAsia" w:ascii="仿宋" w:hAnsi="仿宋" w:eastAsia="仿宋" w:cs="仿宋"/>
              </w:rPr>
            </w:pPr>
          </w:p>
        </w:tc>
        <w:tc>
          <w:tcPr>
            <w:tcW w:w="6376" w:type="dxa"/>
          </w:tcPr>
          <w:p w14:paraId="32FA5279">
            <w:pPr>
              <w:spacing w:line="360" w:lineRule="auto"/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1、高温高压密度测量单元：</w:t>
            </w:r>
          </w:p>
          <w:p w14:paraId="483AABF2">
            <w:pPr>
              <w:spacing w:line="360" w:lineRule="auto"/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</w:rPr>
              <w:t>★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1.1 压力控制范围：至少覆盖环境压力</w:t>
            </w:r>
            <w:r>
              <w:rPr>
                <w:rFonts w:hint="eastAsia" w:ascii="微软雅黑" w:hAnsi="微软雅黑" w:eastAsia="微软雅黑" w:cs="微软雅黑"/>
                <w:kern w:val="0"/>
                <w:sz w:val="20"/>
                <w:szCs w:val="20"/>
              </w:rPr>
              <w:t>~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140MPa，压力控制精度：±0.5%FS.，温度控制范围：至少覆盖-10℃</w:t>
            </w:r>
            <w:r>
              <w:rPr>
                <w:rFonts w:hint="eastAsia" w:ascii="微软雅黑" w:hAnsi="微软雅黑" w:eastAsia="微软雅黑" w:cs="微软雅黑"/>
                <w:kern w:val="0"/>
                <w:sz w:val="20"/>
                <w:szCs w:val="20"/>
              </w:rPr>
              <w:t>~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200℃，温度精控制度：≤0.01℃；</w:t>
            </w:r>
          </w:p>
          <w:p w14:paraId="0DE34167">
            <w:pPr>
              <w:spacing w:line="360" w:lineRule="auto"/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</w:rPr>
              <w:t>⯅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1.2 密度测量范围：至少覆盖0</w:t>
            </w:r>
            <w:r>
              <w:rPr>
                <w:rFonts w:hint="eastAsia" w:ascii="微软雅黑" w:hAnsi="微软雅黑" w:eastAsia="微软雅黑" w:cs="微软雅黑"/>
                <w:kern w:val="0"/>
                <w:sz w:val="20"/>
                <w:szCs w:val="20"/>
              </w:rPr>
              <w:t>~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3g/cm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vertAlign w:val="superscript"/>
              </w:rPr>
              <w:t>3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，密度测量准确度：≤0.0001 g/cm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vertAlign w:val="superscript"/>
              </w:rPr>
              <w:t>3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，密度测量分辨率：≤0.00001 g/cm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vertAlign w:val="superscript"/>
              </w:rPr>
              <w:t>3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；</w:t>
            </w:r>
          </w:p>
          <w:p w14:paraId="6250C1C4">
            <w:pPr>
              <w:spacing w:line="360" w:lineRule="auto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1.3 满足测试的最小样品量不超过2.5mL</w:t>
            </w:r>
            <w:r>
              <w:rPr>
                <w:rStyle w:val="4"/>
                <w:rFonts w:hint="eastAsia" w:ascii="仿宋" w:hAnsi="仿宋" w:eastAsia="仿宋" w:cs="仿宋"/>
              </w:rPr>
              <w:t>，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测量池材质：金属材质，耐腐蚀高强度哈氏合金</w:t>
            </w:r>
            <w:r>
              <w:rPr>
                <w:rStyle w:val="4"/>
                <w:rFonts w:hint="eastAsia" w:ascii="仿宋" w:hAnsi="仿宋" w:eastAsia="仿宋" w:cs="仿宋"/>
              </w:rPr>
              <w:t>。</w:t>
            </w:r>
          </w:p>
        </w:tc>
      </w:tr>
      <w:tr w14:paraId="49D2592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2" w:type="dxa"/>
          </w:tcPr>
          <w:p w14:paraId="0EA29FF2">
            <w:pPr>
              <w:pStyle w:val="5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2</w:t>
            </w:r>
          </w:p>
        </w:tc>
        <w:tc>
          <w:tcPr>
            <w:tcW w:w="1209" w:type="dxa"/>
          </w:tcPr>
          <w:p w14:paraId="0FDEB825">
            <w:pPr>
              <w:rPr>
                <w:rFonts w:hint="eastAsia" w:ascii="仿宋" w:hAnsi="仿宋" w:eastAsia="仿宋" w:cs="仿宋"/>
              </w:rPr>
            </w:pPr>
          </w:p>
        </w:tc>
        <w:tc>
          <w:tcPr>
            <w:tcW w:w="6376" w:type="dxa"/>
          </w:tcPr>
          <w:p w14:paraId="6E4B23E1">
            <w:pPr>
              <w:spacing w:line="360" w:lineRule="auto"/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2、动力粘度测量单元：</w:t>
            </w:r>
          </w:p>
          <w:p w14:paraId="53AC50AB">
            <w:pPr>
              <w:spacing w:line="360" w:lineRule="auto"/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</w:rPr>
              <w:t>⯅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2.1 测量范围：至少覆盖 0.3</w:t>
            </w:r>
            <w:r>
              <w:rPr>
                <w:rFonts w:hint="eastAsia" w:ascii="微软雅黑" w:hAnsi="微软雅黑" w:eastAsia="微软雅黑" w:cs="微软雅黑"/>
                <w:kern w:val="0"/>
                <w:sz w:val="20"/>
                <w:szCs w:val="20"/>
              </w:rPr>
              <w:t>~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30000mPa.s，温控范围：至少覆盖 -60℃</w:t>
            </w:r>
            <w:r>
              <w:rPr>
                <w:rFonts w:hint="eastAsia" w:ascii="微软雅黑" w:hAnsi="微软雅黑" w:eastAsia="微软雅黑" w:cs="微软雅黑"/>
                <w:kern w:val="0"/>
                <w:sz w:val="20"/>
                <w:szCs w:val="20"/>
              </w:rPr>
              <w:t>~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100℃；</w:t>
            </w:r>
          </w:p>
          <w:p w14:paraId="149F998C">
            <w:pPr>
              <w:spacing w:line="360" w:lineRule="auto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</w:rPr>
              <w:t>⯅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2.2 满足测试最小样品量不超过2.0mL,单次测试即可获得运动粘度、动力粘度、浊点、冰点、密度等数据，运动粘度测量分辨率：≤0.0001 mm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vertAlign w:val="superscript"/>
              </w:rPr>
              <w:t>2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/s，动力粘度分辨率：≤0.0001mPa.s,密度测量分辨率：≤0.00001 g/cm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vertAlign w:val="superscript"/>
              </w:rPr>
              <w:t>3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，粘度重复性：≤±0.1%，密度重复性：≤±0.00005g/cm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vertAlign w:val="superscript"/>
              </w:rPr>
              <w:t>3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，冰点重复性：≤0.5℃，浊点重复性：≤0.5℃。</w:t>
            </w:r>
          </w:p>
        </w:tc>
      </w:tr>
      <w:tr w14:paraId="5FCFB40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2" w:type="dxa"/>
          </w:tcPr>
          <w:p w14:paraId="25B28648">
            <w:pPr>
              <w:pStyle w:val="5"/>
              <w:rPr>
                <w:rFonts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3</w:t>
            </w:r>
          </w:p>
        </w:tc>
        <w:tc>
          <w:tcPr>
            <w:tcW w:w="1209" w:type="dxa"/>
          </w:tcPr>
          <w:p w14:paraId="4CD64794">
            <w:pPr>
              <w:rPr>
                <w:rFonts w:hint="eastAsia" w:ascii="仿宋" w:hAnsi="仿宋" w:eastAsia="仿宋" w:cs="仿宋"/>
              </w:rPr>
            </w:pPr>
          </w:p>
        </w:tc>
        <w:tc>
          <w:tcPr>
            <w:tcW w:w="6376" w:type="dxa"/>
          </w:tcPr>
          <w:p w14:paraId="5384E749">
            <w:pPr>
              <w:spacing w:line="360" w:lineRule="auto"/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3、落球粘数测试单元：</w:t>
            </w:r>
          </w:p>
          <w:p w14:paraId="2CA9B24A">
            <w:pPr>
              <w:spacing w:line="360" w:lineRule="auto"/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</w:rPr>
              <w:t>⯅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3.1 剪切速率测定范围：至少覆盖0.5s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vertAlign w:val="superscript"/>
              </w:rPr>
              <w:t>-1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 xml:space="preserve"> </w:t>
            </w:r>
            <w:r>
              <w:rPr>
                <w:rFonts w:hint="eastAsia" w:ascii="微软雅黑" w:hAnsi="微软雅黑" w:eastAsia="微软雅黑" w:cs="微软雅黑"/>
                <w:kern w:val="0"/>
                <w:sz w:val="20"/>
                <w:szCs w:val="20"/>
              </w:rPr>
              <w:t>~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 xml:space="preserve"> 1000 s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vertAlign w:val="superscript"/>
              </w:rPr>
              <w:t>-1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，倾斜度调节范围：至少覆盖15°</w:t>
            </w:r>
            <w:r>
              <w:rPr>
                <w:rFonts w:hint="eastAsia" w:ascii="微软雅黑" w:hAnsi="微软雅黑" w:eastAsia="微软雅黑" w:cs="微软雅黑"/>
                <w:kern w:val="0"/>
                <w:sz w:val="20"/>
                <w:szCs w:val="20"/>
              </w:rPr>
              <w:t>~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 xml:space="preserve"> 80°，倾斜度准确度：≤0.1°，倾斜度重复性：≤0.02°，动力粘度测量范围：至少覆盖0.3mPa.s </w:t>
            </w:r>
            <w:r>
              <w:rPr>
                <w:rFonts w:hint="eastAsia" w:ascii="微软雅黑" w:hAnsi="微软雅黑" w:eastAsia="微软雅黑" w:cs="微软雅黑"/>
                <w:kern w:val="0"/>
                <w:sz w:val="20"/>
                <w:szCs w:val="20"/>
              </w:rPr>
              <w:t>~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 xml:space="preserve"> 10000mPa.s，动力粘度测量分辨率：≤0.00001 mPa.s, 动力粘度测试准确度：≤0.5%，动力粘度测试重复性：≤0.1%。</w:t>
            </w:r>
          </w:p>
          <w:p w14:paraId="05298166">
            <w:pPr>
              <w:spacing w:line="360" w:lineRule="auto"/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</w:rPr>
              <w:t>⯅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3.2 时间计数分辨率：≤0.001s，时间计数准确度：≤0.05%，控温方式采用环绕式高精度铂尔贴控温系统，温度控制范围：至少覆盖5</w:t>
            </w:r>
            <w:r>
              <w:rPr>
                <w:rFonts w:hint="eastAsia" w:ascii="微软雅黑" w:hAnsi="微软雅黑" w:eastAsia="微软雅黑" w:cs="微软雅黑"/>
                <w:kern w:val="0"/>
                <w:sz w:val="20"/>
                <w:szCs w:val="20"/>
              </w:rPr>
              <w:t>~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100℃，温度控制准确度：≤0.02℃，温度控制精度：≤0.001℃，温度控制重复性：≤0.005℃；</w:t>
            </w:r>
          </w:p>
          <w:p w14:paraId="2455E898">
            <w:pPr>
              <w:spacing w:line="360" w:lineRule="auto"/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</w:rPr>
              <w:t>⯅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3.3 满足测试最小样品量不超过1.0mL，配备测量覆盖高、中、低粘度的微量粘数测量系统，并提供1.5</w:t>
            </w:r>
            <w:r>
              <w:rPr>
                <w:rFonts w:hint="eastAsia" w:ascii="微软雅黑" w:hAnsi="微软雅黑" w:eastAsia="微软雅黑" w:cs="微软雅黑"/>
                <w:kern w:val="0"/>
                <w:sz w:val="20"/>
                <w:szCs w:val="20"/>
              </w:rPr>
              <w:t>~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1.6mm（覆盖粘度范围0.3</w:t>
            </w:r>
            <w:r>
              <w:rPr>
                <w:rFonts w:hint="eastAsia" w:ascii="微软雅黑" w:hAnsi="微软雅黑" w:eastAsia="微软雅黑" w:cs="微软雅黑"/>
                <w:kern w:val="0"/>
                <w:sz w:val="20"/>
                <w:szCs w:val="20"/>
              </w:rPr>
              <w:t>~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1000 mPa.s），1.7</w:t>
            </w:r>
            <w:r>
              <w:rPr>
                <w:rFonts w:hint="eastAsia" w:ascii="微软雅黑" w:hAnsi="微软雅黑" w:eastAsia="微软雅黑" w:cs="微软雅黑"/>
                <w:kern w:val="0"/>
                <w:sz w:val="20"/>
                <w:szCs w:val="20"/>
              </w:rPr>
              <w:t>~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1.8mm（覆盖粘度范围1000~5000 mPa.s）,2.4</w:t>
            </w:r>
            <w:r>
              <w:rPr>
                <w:rFonts w:hint="eastAsia" w:ascii="微软雅黑" w:hAnsi="微软雅黑" w:eastAsia="微软雅黑" w:cs="微软雅黑"/>
                <w:kern w:val="0"/>
                <w:sz w:val="20"/>
                <w:szCs w:val="20"/>
              </w:rPr>
              <w:t>~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2.5mm（覆盖粘度范围5000~10000 mPa.s）三种规格微径毛细管；</w:t>
            </w:r>
          </w:p>
          <w:p w14:paraId="0EC8CE16">
            <w:pPr>
              <w:spacing w:line="360" w:lineRule="auto"/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3.4 落球粘数测试单元内置聚合物软件包，用以计算和报告特性粘度、K值、平均摩尔质量等参数，具备聚合物评估功能和聚合物溶剂管理功能；</w:t>
            </w:r>
          </w:p>
          <w:p w14:paraId="4896E4AE">
            <w:pPr>
              <w:spacing w:line="360" w:lineRule="auto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3.5 落球粘数测试单元耐受酸碱和强极性有机溶剂，滚球采用耐腐蚀镀金材质。</w:t>
            </w:r>
          </w:p>
        </w:tc>
      </w:tr>
      <w:tr w14:paraId="53A0B78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2" w:type="dxa"/>
          </w:tcPr>
          <w:p w14:paraId="3E39B7E6">
            <w:pPr>
              <w:pStyle w:val="5"/>
              <w:rPr>
                <w:rFonts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4</w:t>
            </w:r>
          </w:p>
        </w:tc>
        <w:tc>
          <w:tcPr>
            <w:tcW w:w="1209" w:type="dxa"/>
          </w:tcPr>
          <w:p w14:paraId="4750C01B">
            <w:pPr>
              <w:rPr>
                <w:rFonts w:hint="eastAsia" w:ascii="仿宋" w:hAnsi="仿宋" w:eastAsia="仿宋" w:cs="仿宋"/>
              </w:rPr>
            </w:pPr>
          </w:p>
        </w:tc>
        <w:tc>
          <w:tcPr>
            <w:tcW w:w="6376" w:type="dxa"/>
          </w:tcPr>
          <w:p w14:paraId="7FE6A592">
            <w:pPr>
              <w:spacing w:line="360" w:lineRule="auto"/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4、自动馏分分离单元：</w:t>
            </w:r>
          </w:p>
          <w:p w14:paraId="4E6AC31B">
            <w:pPr>
              <w:spacing w:line="360" w:lineRule="auto"/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4.1 测试温度最高</w:t>
            </w:r>
            <w:r>
              <w:rPr>
                <w:rFonts w:hint="eastAsia" w:ascii="仿宋" w:hAnsi="仿宋" w:eastAsia="仿宋" w:cs="仿宋"/>
              </w:rPr>
              <w:t>≥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400℃，采用无冷却液半导体控温技术，温度分辨率≤0.1℃，可自定义固定点体积自动修正，配置自动灭火系统；</w:t>
            </w:r>
          </w:p>
          <w:p w14:paraId="70CBC064">
            <w:pPr>
              <w:spacing w:line="360" w:lineRule="auto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4.2 采用连续成像光学静态体积检测系统，体积检测分辨率：≤0.01ml，体积检测准确度≤0.1mL，可实现自校准。</w:t>
            </w:r>
          </w:p>
        </w:tc>
      </w:tr>
      <w:tr w14:paraId="0BEDA74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2" w:type="dxa"/>
          </w:tcPr>
          <w:p w14:paraId="57ACE7BE">
            <w:pPr>
              <w:pStyle w:val="5"/>
              <w:rPr>
                <w:rFonts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5</w:t>
            </w:r>
          </w:p>
        </w:tc>
        <w:tc>
          <w:tcPr>
            <w:tcW w:w="1209" w:type="dxa"/>
          </w:tcPr>
          <w:p w14:paraId="1F4344FC">
            <w:pPr>
              <w:rPr>
                <w:rFonts w:hint="eastAsia" w:ascii="仿宋" w:hAnsi="仿宋" w:eastAsia="仿宋" w:cs="仿宋"/>
              </w:rPr>
            </w:pPr>
          </w:p>
        </w:tc>
        <w:tc>
          <w:tcPr>
            <w:tcW w:w="6376" w:type="dxa"/>
          </w:tcPr>
          <w:p w14:paraId="72BA2CAB">
            <w:pPr>
              <w:spacing w:line="360" w:lineRule="auto"/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5、自动闪火测试单元：</w:t>
            </w:r>
          </w:p>
          <w:p w14:paraId="6B509401">
            <w:pPr>
              <w:spacing w:line="360" w:lineRule="auto"/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5.1 闪火温度最高</w:t>
            </w:r>
            <w:r>
              <w:rPr>
                <w:rFonts w:hint="eastAsia" w:ascii="仿宋" w:hAnsi="仿宋" w:eastAsia="仿宋" w:cs="仿宋"/>
              </w:rPr>
              <w:t>≥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400℃，温度传感器为金属材质，集成温度校准功能，带</w:t>
            </w:r>
            <w:r>
              <w:rPr>
                <w:rFonts w:hint="eastAsia" w:ascii="仿宋" w:hAnsi="仿宋" w:eastAsia="仿宋" w:cs="仿宋"/>
              </w:rPr>
              <w:t>≥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10个温度校准点；</w:t>
            </w:r>
          </w:p>
          <w:p w14:paraId="0D4ADC2F">
            <w:pPr>
              <w:pStyle w:val="5"/>
              <w:spacing w:line="360" w:lineRule="auto"/>
              <w:rPr>
                <w:rFonts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</w:rPr>
              <w:t>5.2</w:t>
            </w:r>
            <w:r>
              <w:rPr>
                <w:rFonts w:ascii="仿宋" w:hAnsi="仿宋" w:eastAsia="仿宋" w:cs="仿宋"/>
                <w:lang w:eastAsia="zh-CN"/>
              </w:rPr>
              <w:t xml:space="preserve"> </w:t>
            </w:r>
            <w:r>
              <w:rPr>
                <w:rFonts w:ascii="仿宋" w:hAnsi="仿宋" w:eastAsia="仿宋" w:cs="仿宋"/>
              </w:rPr>
              <w:t>可针对未知样品提供闪火点快速搜索功能，配置自动灭火系统</w:t>
            </w:r>
            <w:r>
              <w:rPr>
                <w:rFonts w:ascii="仿宋" w:hAnsi="仿宋" w:eastAsia="仿宋" w:cs="仿宋"/>
                <w:lang w:eastAsia="zh-CN"/>
              </w:rPr>
              <w:t>。</w:t>
            </w:r>
          </w:p>
        </w:tc>
      </w:tr>
      <w:tr w14:paraId="20DEF55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2" w:type="dxa"/>
          </w:tcPr>
          <w:p w14:paraId="37363A96">
            <w:pPr>
              <w:pStyle w:val="5"/>
              <w:rPr>
                <w:rFonts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6</w:t>
            </w:r>
          </w:p>
        </w:tc>
        <w:tc>
          <w:tcPr>
            <w:tcW w:w="1209" w:type="dxa"/>
          </w:tcPr>
          <w:p w14:paraId="36725B65">
            <w:pPr>
              <w:rPr>
                <w:rFonts w:hint="eastAsia" w:ascii="仿宋" w:hAnsi="仿宋" w:eastAsia="仿宋" w:cs="仿宋"/>
              </w:rPr>
            </w:pPr>
          </w:p>
        </w:tc>
        <w:tc>
          <w:tcPr>
            <w:tcW w:w="6376" w:type="dxa"/>
          </w:tcPr>
          <w:p w14:paraId="5C28EF6E">
            <w:pPr>
              <w:spacing w:line="360" w:lineRule="auto"/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</w:rPr>
              <w:t>6、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数据管理与处理平台：</w:t>
            </w:r>
          </w:p>
          <w:p w14:paraId="29764294">
            <w:pPr>
              <w:spacing w:line="360" w:lineRule="auto"/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</w:rPr>
              <w:t>★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6.1 需配备数据执行管理软件，支持在多数据接口运行，可连接高温高压测试单元、动力粘度测试单元、落球粘度测试单元、自动馏分分离单元、自动闪火测试单元，</w:t>
            </w:r>
            <w:r>
              <w:rPr>
                <w:rFonts w:hint="eastAsia" w:ascii="仿宋" w:hAnsi="仿宋" w:eastAsia="仿宋" w:cs="仿宋"/>
                <w:shd w:val="clear" w:color="auto" w:fill="FFFFFF"/>
              </w:rPr>
              <w:t>一次分析可采集上述测试单元所输出的所有参数指标，</w:t>
            </w:r>
            <w:r>
              <w:rPr>
                <w:rFonts w:hint="eastAsia" w:ascii="仿宋" w:hAnsi="仿宋" w:eastAsia="仿宋" w:cs="仿宋"/>
              </w:rPr>
              <w:t>实现多参数同步采集与分析，采集刷新频率≤1Hz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；</w:t>
            </w:r>
          </w:p>
          <w:p w14:paraId="38E4E5A8">
            <w:pPr>
              <w:spacing w:line="360" w:lineRule="auto"/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 xml:space="preserve">6.2 可根据测试需求设置任意温度点，自动测量并绘制密度-粘度-温度曲线；  </w:t>
            </w:r>
          </w:p>
          <w:p w14:paraId="404B3938">
            <w:pPr>
              <w:pStyle w:val="5"/>
              <w:spacing w:line="360" w:lineRule="auto"/>
              <w:rPr>
                <w:rFonts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</w:rPr>
              <w:t>⯅6.3</w:t>
            </w:r>
            <w:r>
              <w:rPr>
                <w:rFonts w:ascii="仿宋" w:hAnsi="仿宋" w:eastAsia="仿宋" w:cs="仿宋"/>
                <w:lang w:eastAsia="zh-CN"/>
              </w:rPr>
              <w:t xml:space="preserve"> </w:t>
            </w:r>
            <w:r>
              <w:rPr>
                <w:rFonts w:ascii="仿宋" w:hAnsi="仿宋" w:eastAsia="仿宋" w:cs="仿宋"/>
              </w:rPr>
              <w:t>可实现连续监测≥20000个数据点，可连续检测≥500小时，可选接多种传感器，同时实现对压力、温度、流量、密度、动力粘度、特性粘度、冰点、浊点、馏分、闪点等同步测量</w:t>
            </w:r>
            <w:r>
              <w:rPr>
                <w:rFonts w:ascii="仿宋" w:hAnsi="仿宋" w:eastAsia="仿宋" w:cs="仿宋"/>
                <w:lang w:eastAsia="zh-CN"/>
              </w:rPr>
              <w:t>。</w:t>
            </w:r>
          </w:p>
        </w:tc>
      </w:tr>
      <w:tr w14:paraId="18C6C2C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2" w:type="dxa"/>
          </w:tcPr>
          <w:p w14:paraId="24777FFF">
            <w:pPr>
              <w:pStyle w:val="5"/>
              <w:rPr>
                <w:rFonts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7</w:t>
            </w:r>
          </w:p>
        </w:tc>
        <w:tc>
          <w:tcPr>
            <w:tcW w:w="1209" w:type="dxa"/>
          </w:tcPr>
          <w:p w14:paraId="17762E9C">
            <w:pPr>
              <w:rPr>
                <w:rFonts w:hint="eastAsia" w:ascii="仿宋" w:hAnsi="仿宋" w:eastAsia="仿宋" w:cs="仿宋"/>
              </w:rPr>
            </w:pPr>
          </w:p>
        </w:tc>
        <w:tc>
          <w:tcPr>
            <w:tcW w:w="6376" w:type="dxa"/>
          </w:tcPr>
          <w:p w14:paraId="788C382E">
            <w:pPr>
              <w:spacing w:line="360" w:lineRule="auto"/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7、配置要求：</w:t>
            </w:r>
          </w:p>
          <w:p w14:paraId="365424DD">
            <w:pPr>
              <w:spacing w:line="360" w:lineRule="auto"/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7.1、多功能多参数高温高压流体性能分析系统 1套（包含：高温高压密度主机1套，增压装置1套，高压进样装置1套，数显多通道数据监控终端1套，动力粘度测试单元1套，落球粘度测试单元1套，自动馏分分离单元1套，自动闪火测试单元1套，自动联动灭火装置2套，，</w:t>
            </w:r>
          </w:p>
          <w:p w14:paraId="5516F858">
            <w:pPr>
              <w:spacing w:line="360" w:lineRule="auto"/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粘度测量系统(含1.5</w:t>
            </w:r>
            <w:r>
              <w:rPr>
                <w:rFonts w:hint="eastAsia" w:ascii="微软雅黑" w:hAnsi="微软雅黑" w:eastAsia="微软雅黑" w:cs="微软雅黑"/>
                <w:kern w:val="0"/>
                <w:sz w:val="20"/>
                <w:szCs w:val="20"/>
              </w:rPr>
              <w:t>~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1.6mm、1.7</w:t>
            </w:r>
            <w:r>
              <w:rPr>
                <w:rFonts w:hint="eastAsia" w:ascii="微软雅黑" w:hAnsi="微软雅黑" w:eastAsia="微软雅黑" w:cs="微软雅黑"/>
                <w:kern w:val="0"/>
                <w:sz w:val="20"/>
                <w:szCs w:val="20"/>
              </w:rPr>
              <w:t>~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1.8mm、2.4</w:t>
            </w:r>
            <w:r>
              <w:rPr>
                <w:rFonts w:hint="eastAsia" w:ascii="微软雅黑" w:hAnsi="微软雅黑" w:eastAsia="微软雅黑" w:cs="微软雅黑"/>
                <w:kern w:val="0"/>
                <w:sz w:val="20"/>
                <w:szCs w:val="20"/>
              </w:rPr>
              <w:t>~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2.5mm三种规格微径毛细管） 各1套，镀金滚球300个，循环浴装置2套）</w:t>
            </w:r>
          </w:p>
          <w:p w14:paraId="6D421B70">
            <w:pPr>
              <w:spacing w:line="360" w:lineRule="auto"/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</w:rPr>
              <w:t>7.2、数据管理与处理平台 1套</w:t>
            </w:r>
          </w:p>
          <w:p w14:paraId="1C237EDE">
            <w:pPr>
              <w:pStyle w:val="5"/>
              <w:spacing w:line="360" w:lineRule="auto"/>
              <w:rPr>
                <w:rFonts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</w:rPr>
              <w:t>7.3、</w:t>
            </w:r>
            <w:r>
              <w:rPr>
                <w:rFonts w:ascii="仿宋" w:hAnsi="仿宋" w:eastAsia="仿宋" w:cs="仿宋"/>
                <w:lang w:eastAsia="zh-CN"/>
              </w:rPr>
              <w:t>移动工作站</w:t>
            </w:r>
            <w:r>
              <w:rPr>
                <w:rFonts w:ascii="仿宋" w:hAnsi="仿宋" w:eastAsia="仿宋" w:cs="仿宋"/>
              </w:rPr>
              <w:t>（配置要求：</w:t>
            </w:r>
            <w:r>
              <w:rPr>
                <w:rFonts w:ascii="仿宋" w:hAnsi="仿宋" w:eastAsia="仿宋" w:cs="仿宋"/>
                <w:lang w:eastAsia="zh-CN"/>
              </w:rPr>
              <w:t>Intel U7 255H或以上、64G内存或以上</w:t>
            </w:r>
            <w:r>
              <w:rPr>
                <w:rFonts w:ascii="仿宋" w:hAnsi="仿宋" w:eastAsia="仿宋" w:cs="仿宋"/>
              </w:rPr>
              <w:t>）、</w:t>
            </w:r>
            <w:r>
              <w:rPr>
                <w:rFonts w:ascii="仿宋" w:hAnsi="仿宋" w:eastAsia="仿宋" w:cs="仿宋"/>
                <w:lang w:eastAsia="zh-CN"/>
              </w:rPr>
              <w:t>激光</w:t>
            </w:r>
            <w:r>
              <w:rPr>
                <w:rFonts w:ascii="仿宋" w:hAnsi="仿宋" w:eastAsia="仿宋" w:cs="仿宋"/>
              </w:rPr>
              <w:t>打印机各1套</w:t>
            </w:r>
          </w:p>
        </w:tc>
      </w:tr>
      <w:tr w14:paraId="178F12C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2" w:type="dxa"/>
          </w:tcPr>
          <w:p w14:paraId="30A180E7">
            <w:pPr>
              <w:pStyle w:val="5"/>
              <w:rPr>
                <w:rFonts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8</w:t>
            </w:r>
          </w:p>
        </w:tc>
        <w:tc>
          <w:tcPr>
            <w:tcW w:w="1209" w:type="dxa"/>
          </w:tcPr>
          <w:p w14:paraId="379FB2DB">
            <w:pPr>
              <w:rPr>
                <w:rFonts w:hint="eastAsia" w:ascii="仿宋" w:hAnsi="仿宋" w:eastAsia="仿宋" w:cs="仿宋"/>
              </w:rPr>
            </w:pPr>
          </w:p>
        </w:tc>
        <w:tc>
          <w:tcPr>
            <w:tcW w:w="6376" w:type="dxa"/>
          </w:tcPr>
          <w:p w14:paraId="726446E2">
            <w:pPr>
              <w:pStyle w:val="5"/>
              <w:spacing w:line="360" w:lineRule="auto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  <w:lang w:eastAsia="zh-CN"/>
              </w:rPr>
              <w:t>8、</w:t>
            </w:r>
            <w:r>
              <w:rPr>
                <w:rFonts w:ascii="仿宋" w:hAnsi="仿宋" w:eastAsia="仿宋" w:cs="仿宋"/>
              </w:rPr>
              <w:t>安装技术要求</w:t>
            </w:r>
          </w:p>
          <w:p w14:paraId="429226A3">
            <w:pPr>
              <w:pStyle w:val="5"/>
              <w:spacing w:line="360" w:lineRule="auto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  <w:lang w:eastAsia="zh-CN"/>
              </w:rPr>
              <w:t>8.1</w:t>
            </w:r>
            <w:r>
              <w:rPr>
                <w:rFonts w:ascii="仿宋" w:hAnsi="仿宋" w:eastAsia="仿宋" w:cs="仿宋"/>
              </w:rPr>
              <w:t>场地基础承载要求:供货方需根据本次重型仪器整机自重、设备重心分布、配套附属构件总荷载，提供完整设备基础施工图纸、地面荷载验算报告及地面加固技术方案;设备放置区域地面均布承载力不得低于仪器满载总重量1.5倍，局部集中承重点位需满足设备支脚单点承重需求，地面平整度误差≤2mm/m，地面无沉降、空鼓、开裂缺陷;若现场原有地面承载力不满足安装条件，中标单位须免费提供地面加固、承重基座制作全套施工方案并完成施工，所有施工材料、人工、检测费用全部包含在投标总价内。</w:t>
            </w:r>
          </w:p>
          <w:p w14:paraId="643B7BF5">
            <w:pPr>
              <w:pStyle w:val="5"/>
              <w:spacing w:line="360" w:lineRule="auto"/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  <w:lang w:eastAsia="zh-CN"/>
              </w:rPr>
              <w:t>8.</w:t>
            </w:r>
            <w:r>
              <w:rPr>
                <w:rFonts w:ascii="仿宋" w:hAnsi="仿宋" w:eastAsia="仿宋" w:cs="仿宋"/>
              </w:rPr>
              <w:t>2整机就位、调平与减震安装要求:设备进场就位后，中标单位配备专业高精度水平仪、重型减震调平底座，完成整机多点位调平作业，设备水平度误差控制在0.02mm/m以内;针对重型仪器运行震动、外界地面传导震动问题，配套定制阻尼减震基座、防震垫，隔绝设备运行振动对检测精度的干扰，同时避免设备自重振动破坏建筑地面结构;所有调平、减震组件为原厂标配，不使用简易垫块替代。</w:t>
            </w:r>
          </w:p>
        </w:tc>
      </w:tr>
    </w:tbl>
    <w:p w14:paraId="1BD4A447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E505EF"/>
    <w:rsid w:val="40E50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annotation reference"/>
    <w:basedOn w:val="3"/>
    <w:qFormat/>
    <w:uiPriority w:val="0"/>
    <w:rPr>
      <w:sz w:val="21"/>
      <w:szCs w:val="21"/>
    </w:r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2026-07-13T11:17:00Z</dcterms:created>
  <dc:creator>白日梦</dc:creator>
  <cp:lastModifiedBy>白日梦</cp:lastModifiedBy>
  <dcterms:modified xsi:type="dcterms:W3CDTF">2026-07-13T11:17:39Z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360026D3DC9B4AC8B799995B173A4B4E_11</vt:lpwstr>
  </property>
  <property fmtid="{D5CDD505-2E9C-101B-9397-08002B2CF9AE}" pid="4" name="KSOTemplateDocerSaveRecord">
    <vt:lpwstr>eyJoZGlkIjoiOTQyNjJhYWQ1Y2ZkMWY1OTgyN2E4ZDZkNGNkNDQwMjYiLCJ1c2VySWQiOiIzMTI3MDEwNzEifQ==</vt:lpwstr>
  </property>
</Properties>
</file>