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版本号：YMD-2026088F.1B120260825001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数据库与期刊服务年费(二次)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YMD-2026088F.1B1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数据库与期刊服务年费(二次)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YMD-2026088F.1B1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数据库与期刊服务年费(二次)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数据库与期刊”它收录文献类型丰富、学科范围广泛、时间跨度完备，是学院开展教学、科研活动的有力保障。为了保障师生科研需求、保证图书馆服务的延续和服务质量获得进一步提高，需进行购买数据库与期刊出版物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1、出版物经营许可证：供应商须具有国家行政主管部门核发有效的《出版物经营许可证》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18629397748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进行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据库与期刊”它收录文献类型丰富、学科范围广泛、时间跨度完备，是学院开展教学、科研活动的有力保障。为了保障师生科研需求、保证图书馆服务的延续和服务质量获得进一步提高，需进行购买数据库与期刊出版物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w:t>
      </w:r>
    </w:p>
    <w:p>
      <w:pPr>
        <w:pStyle w:val="null3"/>
      </w:pPr>
      <w:r>
        <w:rPr>
          <w:rFonts w:ascii="仿宋_GB2312" w:hAnsi="仿宋_GB2312" w:cs="仿宋_GB2312" w:eastAsia="仿宋_GB2312"/>
        </w:rPr>
        <w:t>采购包最高限价（元）: 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数据库与期刊服务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标的名称：数据库与期刊服务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服务内容</w:t>
            </w:r>
          </w:p>
          <w:p>
            <w:pPr>
              <w:pStyle w:val="null3"/>
            </w:pPr>
            <w:r>
              <w:rPr>
                <w:rFonts w:ascii="仿宋_GB2312" w:hAnsi="仿宋_GB2312" w:cs="仿宋_GB2312" w:eastAsia="仿宋_GB2312"/>
              </w:rPr>
              <w:t>数据库与期刊出版物服务，包括《中国学术期刊(光盘版)》电子杂志社有限公司编辑出版的各类数据库、期刊网络版;支撑数据库产品的计算机应用软件、为保证本合同约定数据库正常使用而提供的持续出版的数据库内容的安装、数据库系统的维护及技术支持等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(1)所有的全文数据库能够在统一的平台上进行检索，并相互之间实现知识链接，并可以和学院以往年度订购的中文学术资源全文数据库内容统一使用。</w:t>
            </w:r>
          </w:p>
          <w:p>
            <w:pPr>
              <w:pStyle w:val="null3"/>
            </w:pPr>
            <w:r>
              <w:rPr>
                <w:rFonts w:ascii="仿宋_GB2312" w:hAnsi="仿宋_GB2312" w:cs="仿宋_GB2312" w:eastAsia="仿宋_GB2312"/>
              </w:rPr>
              <w:t>(2)使用模式:要求厂商可提供中心网站远程服务，并在校方硬件具备的情况下，可镜像安装已订购数据资源。</w:t>
            </w:r>
          </w:p>
          <w:p>
            <w:pPr>
              <w:pStyle w:val="null3"/>
            </w:pPr>
            <w:r>
              <w:rPr>
                <w:rFonts w:ascii="仿宋_GB2312" w:hAnsi="仿宋_GB2312" w:cs="仿宋_GB2312" w:eastAsia="仿宋_GB2312"/>
              </w:rPr>
              <w:t>(3)</w:t>
            </w:r>
            <w:r>
              <w:rPr>
                <w:rFonts w:ascii="仿宋_GB2312" w:hAnsi="仿宋_GB2312" w:cs="仿宋_GB2312" w:eastAsia="仿宋_GB2312"/>
              </w:rPr>
              <w:t>更新</w:t>
            </w:r>
            <w:r>
              <w:rPr>
                <w:rFonts w:ascii="仿宋_GB2312" w:hAnsi="仿宋_GB2312" w:cs="仿宋_GB2312" w:eastAsia="仿宋_GB2312"/>
              </w:rPr>
              <w:t>:网上日更新。网络出版时滞不超过纸质出版2个月。</w:t>
            </w:r>
          </w:p>
          <w:p>
            <w:pPr>
              <w:pStyle w:val="null3"/>
            </w:pPr>
            <w:r>
              <w:rPr>
                <w:rFonts w:ascii="仿宋_GB2312" w:hAnsi="仿宋_GB2312" w:cs="仿宋_GB2312" w:eastAsia="仿宋_GB2312"/>
              </w:rPr>
              <w:t>(4)</w:t>
            </w:r>
            <w:r>
              <w:rPr>
                <w:rFonts w:ascii="仿宋_GB2312" w:hAnsi="仿宋_GB2312" w:cs="仿宋_GB2312" w:eastAsia="仿宋_GB2312"/>
              </w:rPr>
              <w:t>数据库能提供完善的用户访问统计和控制功能</w:t>
            </w:r>
            <w:r>
              <w:rPr>
                <w:rFonts w:ascii="仿宋_GB2312" w:hAnsi="仿宋_GB2312" w:cs="仿宋_GB2312" w:eastAsia="仿宋_GB2312"/>
              </w:rPr>
              <w:t>,配合图书馆完成数据库相关信息的采集与填报，并协助整理使用统计等相关信息。</w:t>
            </w:r>
          </w:p>
          <w:p>
            <w:pPr>
              <w:pStyle w:val="null3"/>
            </w:pPr>
            <w:r>
              <w:rPr>
                <w:rFonts w:ascii="仿宋_GB2312" w:hAnsi="仿宋_GB2312" w:cs="仿宋_GB2312" w:eastAsia="仿宋_GB2312"/>
              </w:rPr>
              <w:t>(5)要求厂商能够提供校外漫游服务，</w:t>
            </w:r>
            <w:r>
              <w:rPr>
                <w:rFonts w:ascii="仿宋_GB2312" w:hAnsi="仿宋_GB2312" w:cs="仿宋_GB2312" w:eastAsia="仿宋_GB2312"/>
              </w:rPr>
              <w:t>并提供漫游账号</w:t>
            </w:r>
            <w:r>
              <w:rPr>
                <w:rFonts w:ascii="仿宋_GB2312" w:hAnsi="仿宋_GB2312" w:cs="仿宋_GB2312" w:eastAsia="仿宋_GB2312"/>
              </w:rPr>
              <w:t>。</w:t>
            </w:r>
          </w:p>
          <w:p>
            <w:pPr>
              <w:pStyle w:val="null3"/>
            </w:pPr>
            <w:r>
              <w:rPr>
                <w:rFonts w:ascii="仿宋_GB2312" w:hAnsi="仿宋_GB2312" w:cs="仿宋_GB2312" w:eastAsia="仿宋_GB2312"/>
              </w:rPr>
              <w:t>(6)系统能提供完备的检索功能，能够支持初级检索、高级检索、专业检索、二次检索、作者发文检索、基金检索等，且对检索结果可以按照需要进行排序。期刊按照学科、按照核心刊物、按照主办单位、按照发行系统等方式分别进行整刊的导航。学位论文可以按照学位授予单位、地区等进行导航。</w:t>
            </w:r>
          </w:p>
          <w:p>
            <w:pPr>
              <w:pStyle w:val="null3"/>
            </w:pPr>
            <w:r>
              <w:rPr>
                <w:rFonts w:ascii="仿宋_GB2312" w:hAnsi="仿宋_GB2312" w:cs="仿宋_GB2312" w:eastAsia="仿宋_GB2312"/>
              </w:rPr>
              <w:t>(7)能够综合运用多种文献内容关联方法建立文献间关联体系，提供单篇文献详细信息和扩展信息，包括:文献详细信息、参考文献链接、引证文献链接、共引文献链接、二级参考文献链接、二级引证文献链接、相似文献链接、读者推荐文献链接、相关文献作者链接、相关文献机构链接等。</w:t>
            </w:r>
          </w:p>
          <w:p>
            <w:pPr>
              <w:pStyle w:val="null3"/>
            </w:pPr>
            <w:r>
              <w:rPr>
                <w:rFonts w:ascii="仿宋_GB2312" w:hAnsi="仿宋_GB2312" w:cs="仿宋_GB2312" w:eastAsia="仿宋_GB2312"/>
              </w:rPr>
              <w:t>(8)</w:t>
            </w:r>
            <w:r>
              <w:rPr>
                <w:rFonts w:ascii="仿宋_GB2312" w:hAnsi="仿宋_GB2312" w:cs="仿宋_GB2312" w:eastAsia="仿宋_GB2312"/>
              </w:rPr>
              <w:t>全文信息完全的数字化。</w:t>
            </w:r>
          </w:p>
          <w:p>
            <w:pPr>
              <w:pStyle w:val="null3"/>
            </w:pPr>
            <w:r>
              <w:rPr>
                <w:rFonts w:ascii="仿宋_GB2312" w:hAnsi="仿宋_GB2312" w:cs="仿宋_GB2312" w:eastAsia="仿宋_GB2312"/>
              </w:rPr>
              <w:t>(9)读者在检索结果中直接获得原文，可以进行文字摘录，图像复制，添加批注，给文字进行下划线处理，可以进行帮助教师进行文献和教学过程中提供帮助。</w:t>
            </w:r>
          </w:p>
          <w:p>
            <w:pPr>
              <w:pStyle w:val="null3"/>
            </w:pPr>
            <w:r>
              <w:rPr>
                <w:rFonts w:ascii="仿宋_GB2312" w:hAnsi="仿宋_GB2312" w:cs="仿宋_GB2312" w:eastAsia="仿宋_GB2312"/>
              </w:rPr>
              <w:t>(10)数据格式:文字支持PDF格式，对于图像格式能实现0CR识别转文本。</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(1)供应商提供本地化服务，服务期限内提供的售后服务内容，包含但不限于数据安装、应用培训等售后服务。</w:t>
            </w:r>
          </w:p>
          <w:p>
            <w:pPr>
              <w:pStyle w:val="null3"/>
            </w:pPr>
            <w:r>
              <w:rPr>
                <w:rFonts w:ascii="仿宋_GB2312" w:hAnsi="仿宋_GB2312" w:cs="仿宋_GB2312" w:eastAsia="仿宋_GB2312"/>
              </w:rPr>
              <w:t>(2)对于学院原因造成的产品使用故障，能够提供通过电话支持、网络服务等方式，协助用户排查解决，特殊情况下可派技术人员上门协助解决。对于产品本身原因造成的使用故障由公司负责排除。(3)使用出现故障时，工作时间内，网络服务、电话服务的响应时间小于2小时，需要上门解决时，能够在24小时内到达现场进行协调解决。</w:t>
            </w:r>
          </w:p>
          <w:p>
            <w:pPr>
              <w:pStyle w:val="null3"/>
            </w:pPr>
            <w:r>
              <w:rPr>
                <w:rFonts w:ascii="仿宋_GB2312" w:hAnsi="仿宋_GB2312" w:cs="仿宋_GB2312" w:eastAsia="仿宋_GB2312"/>
              </w:rPr>
              <w:t>(4)供应商能够提供产品的紧急备份访问服务，保证用户可持续使用产品。</w:t>
            </w:r>
          </w:p>
          <w:p>
            <w:pPr>
              <w:pStyle w:val="null3"/>
            </w:pPr>
            <w:r>
              <w:rPr>
                <w:rFonts w:ascii="仿宋_GB2312" w:hAnsi="仿宋_GB2312" w:cs="仿宋_GB2312" w:eastAsia="仿宋_GB2312"/>
              </w:rPr>
              <w:t>(5)镜像数据丢失后，供应商提供数据丢失后的恢复服务。</w:t>
            </w:r>
          </w:p>
          <w:p>
            <w:pPr>
              <w:pStyle w:val="null3"/>
            </w:pPr>
            <w:r>
              <w:rPr>
                <w:rFonts w:ascii="仿宋_GB2312" w:hAnsi="仿宋_GB2312" w:cs="仿宋_GB2312" w:eastAsia="仿宋_GB2312"/>
              </w:rPr>
              <w:t>(6)协助图书馆开展培训活动，每年提供2次培训活动，配合学校资源使用宣传，提高资源使用效率。</w:t>
            </w:r>
          </w:p>
          <w:p>
            <w:pPr>
              <w:pStyle w:val="null3"/>
            </w:pPr>
            <w:r>
              <w:rPr>
                <w:rFonts w:ascii="仿宋_GB2312" w:hAnsi="仿宋_GB2312" w:cs="仿宋_GB2312" w:eastAsia="仿宋_GB2312"/>
              </w:rPr>
              <w:t>(7)提供大规模的读者线下培训活动，以“读书月”或“读书周”的方式进行，提供宣传单页和易拉宝等宣传物料。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.其他</w:t>
            </w:r>
          </w:p>
          <w:p>
            <w:pPr>
              <w:pStyle w:val="null3"/>
            </w:pPr>
            <w:r>
              <w:rPr>
                <w:rFonts w:ascii="仿宋_GB2312" w:hAnsi="仿宋_GB2312" w:cs="仿宋_GB2312" w:eastAsia="仿宋_GB2312"/>
              </w:rPr>
              <w:t>1.供应商提供的所有资源必须为正版且彻底解决版权，数据来源合理合法，所有内容均为自有产品或者有销售该产品的合法授权。所提供数据不得是通过破解，盗窃他人数据等非法手段而来。保证院方今后电子资源的使用不受侵权问题的干扰。</w:t>
            </w:r>
          </w:p>
          <w:p>
            <w:pPr>
              <w:pStyle w:val="null3"/>
            </w:pPr>
            <w:r>
              <w:rPr>
                <w:rFonts w:ascii="仿宋_GB2312" w:hAnsi="仿宋_GB2312" w:cs="仿宋_GB2312" w:eastAsia="仿宋_GB2312"/>
              </w:rPr>
              <w:t>2.供应商提供的期刊资源须具备正式出版物标准刊号。</w:t>
            </w:r>
          </w:p>
          <w:p>
            <w:pPr>
              <w:pStyle w:val="null3"/>
            </w:pPr>
            <w:r>
              <w:rPr>
                <w:rFonts w:ascii="仿宋_GB2312" w:hAnsi="仿宋_GB2312" w:cs="仿宋_GB2312" w:eastAsia="仿宋_GB2312"/>
              </w:rPr>
              <w:t>3.供应商能够保证学院对所购买的所有内容拥有永久的使用权，可以进行下载、打印、复制等操作。保障资金的良好记录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（1）违约责任：延迟服务的，每延迟一天，扣除合同总价款的1%作为违约金，延迟超过30日，我方有权单方面解除协议，并且应向我方支付合同总价款的5%作为违约金。 （2）成交供应商在领取成交通知书时提供纸质版响应文件一正两副。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残疾人福利性单位声明函 中小企业声明函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评审得分相同的，按照最后报价由低到高的顺序推荐。评审得分且最后报价相同的，按照技术要求响应优劣顺序推荐。评审得分且最后报价且技术要求响应得分均相同的，成交候选供应商并列。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技术要求响应1</w:t>
            </w:r>
          </w:p>
        </w:tc>
        <w:tc>
          <w:tcPr>
            <w:tcW w:type="dxa" w:w="2492"/>
          </w:tcPr>
          <w:p>
            <w:pPr>
              <w:pStyle w:val="null3"/>
            </w:pPr>
            <w:r>
              <w:rPr>
                <w:rFonts w:ascii="仿宋_GB2312" w:hAnsi="仿宋_GB2312" w:cs="仿宋_GB2312" w:eastAsia="仿宋_GB2312"/>
              </w:rPr>
              <w:t>针对“3.2.2中第2条 技术要求”中的10项内容进行响应，完全满足得10分，任一项有负偏离或内容缺失，每项扣1分。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服务要求响应2</w:t>
            </w:r>
          </w:p>
        </w:tc>
        <w:tc>
          <w:tcPr>
            <w:tcW w:type="dxa" w:w="2492"/>
          </w:tcPr>
          <w:p>
            <w:pPr>
              <w:pStyle w:val="null3"/>
            </w:pPr>
            <w:r>
              <w:rPr>
                <w:rFonts w:ascii="仿宋_GB2312" w:hAnsi="仿宋_GB2312" w:cs="仿宋_GB2312" w:eastAsia="仿宋_GB2312"/>
              </w:rPr>
              <w:t>针对“3.2.2中第3条 服务要求”中的7项内容进行响应，完全满足得7分，任一项有负偏离或内容缺失，每项扣1分。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供应商针对本项目制定的服务方案，包括但不限于以下内容：①总体服务方案②服务目标③服务流程； 二、赋分标准 1.方案内容完整详细，结构清晰，能充分结合采购人需求现状，对采购需求所要求的全部内容有明确呼应得5分； 2.方案内容较完整，结构较清晰，部分内容结合采购人需求现状，对采购需求所要求的部分内容有呼应得4分； 3.方案内容不完整，结构不清晰，未能充分结合采购人需求现状，对采购需求所要求的内容未见有呼应得3分； 注：未提供本项内容计0分。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供应商结合本项目要求，配备专业技术服务团队，磋商小组分别从以下内容进行评审： 1.人员数量：提供5人得基础分3分，每增加一人加1分，满分5分。 2.从业年限：团队人员从事与本项目内容相关的行业5年及以上，每具备一人得1分，满分5分。 3.学历：团队人员中本科及以上学历，每具备一人得1分，满分5分。 4.证书/职称：团队人员中具备技术证书或技术职称，每具备一人得1分，满分5分。 注：（1）需提供上述人员在本单位的社保或或相关合作证明材料。 （2）未提供本项内容计0分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 供应商针对本项目提供应急处置和解决方案。 二、赋分标准 1.内容完整详细，能充分结合采购人需求现状，切实可行，完全满足本项目要求得5分； 2.内容较完整，部分内容结合采购人需求现状，部分可行，基本满足本项目要求得4分； 3.内容不完整，未能充分结合采购人需求现状，无法实施，无法满足本项目要求得3分； 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培训1</w:t>
            </w:r>
          </w:p>
        </w:tc>
        <w:tc>
          <w:tcPr>
            <w:tcW w:type="dxa" w:w="2492"/>
          </w:tcPr>
          <w:p>
            <w:pPr>
              <w:pStyle w:val="null3"/>
            </w:pPr>
            <w:r>
              <w:rPr>
                <w:rFonts w:ascii="仿宋_GB2312" w:hAnsi="仿宋_GB2312" w:cs="仿宋_GB2312" w:eastAsia="仿宋_GB2312"/>
              </w:rPr>
              <w:t>一、评审内容 供应商针对本项目提供项目培训方案，包括但不限于以下内容：①培训组织架构②培训内容③培训方式④培训流程及日程安排。 二、赋分标准 1.内容完整详细，能充分结合采购人需求现状，切实可行，完全满足本项目要求得5分； 2.内容较完整，部分内容结合采购人需求现状，部分可行，基本满足本项目要求得4分； 3.内容不完整，未能充分结合采购人需求现状，无法实施，无法满足本项目要求得3分； 注：未提供本项内容计0分。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培训2</w:t>
            </w:r>
          </w:p>
        </w:tc>
        <w:tc>
          <w:tcPr>
            <w:tcW w:type="dxa" w:w="2492"/>
          </w:tcPr>
          <w:p>
            <w:pPr>
              <w:pStyle w:val="null3"/>
            </w:pPr>
            <w:r>
              <w:rPr>
                <w:rFonts w:ascii="仿宋_GB2312" w:hAnsi="仿宋_GB2312" w:cs="仿宋_GB2312" w:eastAsia="仿宋_GB2312"/>
              </w:rPr>
              <w:t>供应商在服务期内，提供线下培训服务，每次不少于2小时，提供2次得基础分1分，每增加一次得1分，满分3分。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供应商针对本项目提供项目售后服务方案，包括但不限于以下内容：①系统维护及升级②技术人员线上、线下及时响应③上门协助解决。 二、赋分标准 1.内容完整详细，能充分结合采购人需求现状，切实可行，完全满足本项目要求得5分； 2.内容较完整，部分内容结合采购人需求现状，部分可行，基本满足本项目要求得4分； 3.内容不完整，未能充分结合采购人需求现状，无法实施，无法满足本项目要求得3分； 注：未提供本项内容计0分。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供应商提供2023年1月1日起至今，同类项目服务业绩(业绩以合同或中标（成交）通知书扫描件为依据，以签订或落款时间为准)，每提供一份有效业绩得1分，满分10分。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 （基准价/投标报价）×30%×100。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详见附件：【服务】西安职业技术学院服务合同20260720.docx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