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版本号：HLZB2026－11920260603001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大荔县2026年第一批产业基础设施配套及乡村建设帮扶资金项目监理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HLZB2026－119</w:t>
      </w:r>
      <w:r>
        <w:br/>
      </w:r>
      <w:r>
        <w:br/>
      </w:r>
      <w:r>
        <w:br/>
      </w:r>
    </w:p>
    <w:p>
      <w:pPr>
        <w:pStyle w:val="null3"/>
        <w:jc w:val="center"/>
        <w:outlineLvl w:val="2"/>
      </w:pPr>
      <w:r>
        <w:rPr>
          <w:rFonts w:ascii="仿宋_GB2312" w:hAnsi="仿宋_GB2312" w:cs="仿宋_GB2312" w:eastAsia="仿宋_GB2312"/>
          <w:sz w:val="28"/>
          <w:b/>
        </w:rPr>
        <w:t>大荔县农业农村局</w:t>
      </w:r>
    </w:p>
    <w:p>
      <w:pPr>
        <w:pStyle w:val="null3"/>
        <w:jc w:val="center"/>
        <w:outlineLvl w:val="2"/>
      </w:pPr>
      <w:r>
        <w:rPr>
          <w:rFonts w:ascii="仿宋_GB2312" w:hAnsi="仿宋_GB2312" w:cs="仿宋_GB2312" w:eastAsia="仿宋_GB2312"/>
          <w:sz w:val="28"/>
          <w:b/>
        </w:rPr>
        <w:t>陕西翰林招标有限公司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陕西翰林招标有限公司</w:t>
      </w:r>
      <w:r>
        <w:rPr>
          <w:rFonts w:ascii="仿宋_GB2312" w:hAnsi="仿宋_GB2312" w:cs="仿宋_GB2312" w:eastAsia="仿宋_GB2312"/>
        </w:rPr>
        <w:t>（以下简称“代理机构”）受</w:t>
      </w:r>
      <w:r>
        <w:rPr>
          <w:rFonts w:ascii="仿宋_GB2312" w:hAnsi="仿宋_GB2312" w:cs="仿宋_GB2312" w:eastAsia="仿宋_GB2312"/>
        </w:rPr>
        <w:t>大荔县农业农村局</w:t>
      </w:r>
      <w:r>
        <w:rPr>
          <w:rFonts w:ascii="仿宋_GB2312" w:hAnsi="仿宋_GB2312" w:cs="仿宋_GB2312" w:eastAsia="仿宋_GB2312"/>
        </w:rPr>
        <w:t>委托，拟对</w:t>
      </w:r>
      <w:r>
        <w:rPr>
          <w:rFonts w:ascii="仿宋_GB2312" w:hAnsi="仿宋_GB2312" w:cs="仿宋_GB2312" w:eastAsia="仿宋_GB2312"/>
        </w:rPr>
        <w:t>大荔县2026年第一批产业基础设施配套及乡村建设帮扶资金项目监理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HLZB2026－119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大荔县2026年第一批产业基础设施配套及乡村建设帮扶资金项目监理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大荔县2026年第一批产业基础设施配套及乡村建设帮扶资金项目监理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采购包1（大荔县2026年第一批产业基础设施配套及乡村建设帮扶资金项目监理）：属于专门面向中小企业采购。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3、税收缴纳证明：提供2026年1月1日至今任意一个月已缴纳的纳税证明或完税证明（包含增值税、企业所得税、营业税至少一种）；（依法免税的供应商应提供相关文件证明）</w:t>
      </w:r>
    </w:p>
    <w:p>
      <w:pPr>
        <w:pStyle w:val="null3"/>
      </w:pPr>
      <w:r>
        <w:rPr>
          <w:rFonts w:ascii="仿宋_GB2312" w:hAnsi="仿宋_GB2312" w:cs="仿宋_GB2312" w:eastAsia="仿宋_GB2312"/>
        </w:rPr>
        <w:t>4、社会保障资金缴纳证明：提供2026年1月1日至今任意一个月的社保缴费凭据或社保机构开具的社会保险参保缴费情况证明；（依法不需要缴纳社会保障资金的供应商应提供相关证明）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5、履约能力说明：提供具有履行本合同所必需的设备和专业技术能力的说明及承诺（提供书面说明及承诺，加盖供应商公章）</w:t>
      </w:r>
    </w:p>
    <w:p>
      <w:pPr>
        <w:pStyle w:val="null3"/>
      </w:pPr>
      <w:r>
        <w:rPr>
          <w:rFonts w:ascii="仿宋_GB2312" w:hAnsi="仿宋_GB2312" w:cs="仿宋_GB2312" w:eastAsia="仿宋_GB2312"/>
        </w:rPr>
        <w:t>6、政府采购无重大违法记录声明：提供参加政府采购活动前三年内在经营活动中没有重大违法记录的书面声明；（格式自拟，加盖供应商公章）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8、法定代表人或负责人授权委托书：被授权人参与磋商时需提供法定代表人或负责人授权委托书（附法定代表人或负责人及被授权人身份证复印件，被授权人需为本公司人员，提供相关证明材料或承诺书）；</w:t>
      </w:r>
    </w:p>
    <w:p>
      <w:pPr>
        <w:pStyle w:val="null3"/>
      </w:pPr>
      <w:r>
        <w:rPr>
          <w:rFonts w:ascii="仿宋_GB2312" w:hAnsi="仿宋_GB2312" w:cs="仿宋_GB2312" w:eastAsia="仿宋_GB2312"/>
        </w:rPr>
        <w:t>9、企业资质：供应商具备有效的工程监理综合资质或市政公用工程监理乙级及以上资质；</w:t>
      </w:r>
    </w:p>
    <w:p>
      <w:pPr>
        <w:pStyle w:val="null3"/>
      </w:pPr>
      <w:r>
        <w:rPr>
          <w:rFonts w:ascii="仿宋_GB2312" w:hAnsi="仿宋_GB2312" w:cs="仿宋_GB2312" w:eastAsia="仿宋_GB2312"/>
        </w:rPr>
        <w:t>10、拟派项目总监理工程师：拟派项目总监理工程师具备有效的市政公用工程专业国家注册监理工程师，在本单位注册且无在监项目（提供无在监承诺书）；</w:t>
      </w:r>
    </w:p>
    <w:p>
      <w:pPr>
        <w:pStyle w:val="null3"/>
      </w:pPr>
      <w:r>
        <w:rPr>
          <w:rFonts w:ascii="仿宋_GB2312" w:hAnsi="仿宋_GB2312" w:cs="仿宋_GB2312" w:eastAsia="仿宋_GB2312"/>
        </w:rPr>
        <w:t>11、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rFonts w:ascii="仿宋_GB2312" w:hAnsi="仿宋_GB2312" w:cs="仿宋_GB2312" w:eastAsia="仿宋_GB2312"/>
        </w:rPr>
        <w:t>12、控股管理关系承诺：单位负责人为同一人或者存在直接控股、管理关系的不同供应商，不得参加同一合同项下的政府采购活动；（提供书面承诺函，格式自拟加盖供应商公章）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13、非联合体承诺：本项目不接受联合体磋商。（提供书面承诺函，格式自拟加盖供应商公章）</w:t>
      </w:r>
    </w:p>
    <w:p>
      <w:pPr>
        <w:pStyle w:val="null3"/>
      </w:pPr>
      <w:r>
        <w:rPr>
          <w:rFonts w:ascii="仿宋_GB2312" w:hAnsi="仿宋_GB2312" w:cs="仿宋_GB2312" w:eastAsia="仿宋_GB2312"/>
        </w:rPr>
        <w:t>14、本项目专门面向中小企业采购：本项目专门面向中小企业采购；须符合《政府采购促进中小企业发展管理办法》（财库〔2020〕46号）规定的中小企业参加；(提供《中小企业声明函》，式样见竞争性磋商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大荔县北环路78号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0913-3261358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陕西翰林招标有限公司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029-89640570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本采购项目中标价为基数，中标单位在领取中标通知书时，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理暂行办法&gt;的通知》（财库〔2018〕2号）规定向陕西翰林招标有限公司交纳招标服务费。 2、招标代理服务费应采用转账形式交纳。 3、服务费交纳账户： 开户名称：陕西翰林招标有限公司 开户银行：中国民生银行股份有限公司西安雁塔路支行 银行账号：154810956。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大荔县农业农村局</w:t>
      </w:r>
      <w:r>
        <w:rPr>
          <w:rFonts w:ascii="仿宋_GB2312" w:hAnsi="仿宋_GB2312" w:cs="仿宋_GB2312" w:eastAsia="仿宋_GB2312"/>
        </w:rPr>
        <w:t>和</w:t>
      </w:r>
      <w:r>
        <w:rPr>
          <w:rFonts w:ascii="仿宋_GB2312" w:hAnsi="仿宋_GB2312" w:cs="仿宋_GB2312" w:eastAsia="仿宋_GB2312"/>
        </w:rPr>
        <w:t>陕西翰林招标有限公司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陕西翰林招标有限公司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陕西翰林招标有限公司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详见监理合同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陕西翰林招标有限公司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陕西翰林招标有限公司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陕西翰林招标有限公司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联系电话：029-89640570</w:t>
      </w:r>
    </w:p>
    <w:p>
      <w:pPr>
        <w:pStyle w:val="null3"/>
      </w:pPr>
      <w:r>
        <w:rPr>
          <w:rFonts w:ascii="仿宋_GB2312" w:hAnsi="仿宋_GB2312" w:cs="仿宋_GB2312" w:eastAsia="仿宋_GB2312"/>
        </w:rPr>
        <w:t>地址：西安市雁塔区西部国际广场B座28层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大荔县2026年第一批产业基础设施配套及乡村建设帮扶资金项目监理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大荔县2026年第一批产业基础设施配套及乡村建设帮扶资金项目监理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标的名称：大荔县2026年第一批产业基础设施配套及乡村建设帮扶资金项目监理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（一）项目概况：针对大荔县</w:t>
            </w:r>
            <w:r>
              <w:rPr>
                <w:rFonts w:ascii="仿宋_GB2312" w:hAnsi="仿宋_GB2312" w:cs="仿宋_GB2312" w:eastAsia="仿宋_GB2312"/>
                <w:sz w:val="24"/>
              </w:rPr>
              <w:t>2026年第一批产业基础设施配套及乡村建设帮扶资金项目进行施工监理</w:t>
            </w:r>
          </w:p>
          <w:p>
            <w:pPr>
              <w:pStyle w:val="null3"/>
              <w:ind w:firstLine="480"/>
              <w:jc w:val="both"/>
            </w:pPr>
            <w:r>
              <w:rPr>
                <w:rFonts w:ascii="仿宋_GB2312" w:hAnsi="仿宋_GB2312" w:cs="仿宋_GB2312" w:eastAsia="仿宋_GB2312"/>
                <w:sz w:val="24"/>
              </w:rPr>
              <w:t>（二）监理服务要求</w:t>
            </w:r>
          </w:p>
          <w:p>
            <w:pPr>
              <w:pStyle w:val="null3"/>
              <w:ind w:firstLine="480"/>
              <w:jc w:val="both"/>
            </w:pPr>
            <w:r>
              <w:rPr>
                <w:rFonts w:ascii="仿宋_GB2312" w:hAnsi="仿宋_GB2312" w:cs="仿宋_GB2312" w:eastAsia="仿宋_GB2312"/>
                <w:sz w:val="24"/>
              </w:rPr>
              <w:t>工程投资控制在合同价格以内，工程质量控制达到合格标准，工程进度控制在合同工期之内。</w:t>
            </w:r>
          </w:p>
          <w:p>
            <w:pPr>
              <w:pStyle w:val="null3"/>
              <w:ind w:firstLine="480"/>
              <w:jc w:val="both"/>
            </w:pPr>
            <w:r>
              <w:rPr>
                <w:rFonts w:ascii="仿宋_GB2312" w:hAnsi="仿宋_GB2312" w:cs="仿宋_GB2312" w:eastAsia="仿宋_GB2312"/>
                <w:sz w:val="24"/>
              </w:rPr>
              <w:t>（三）本项目监理涉及的相关规范和依据（不限于以下内容）</w:t>
            </w:r>
          </w:p>
          <w:p>
            <w:pPr>
              <w:pStyle w:val="null3"/>
              <w:ind w:firstLine="480"/>
              <w:jc w:val="both"/>
            </w:pPr>
            <w:r>
              <w:rPr>
                <w:rFonts w:ascii="仿宋_GB2312" w:hAnsi="仿宋_GB2312" w:cs="仿宋_GB2312" w:eastAsia="仿宋_GB2312"/>
                <w:sz w:val="24"/>
              </w:rPr>
              <w:t>1、国家有关法律法规；</w:t>
            </w:r>
          </w:p>
          <w:p>
            <w:pPr>
              <w:pStyle w:val="null3"/>
              <w:ind w:firstLine="480"/>
              <w:jc w:val="both"/>
            </w:pPr>
            <w:r>
              <w:rPr>
                <w:rFonts w:ascii="仿宋_GB2312" w:hAnsi="仿宋_GB2312" w:cs="仿宋_GB2312" w:eastAsia="仿宋_GB2312"/>
                <w:sz w:val="24"/>
              </w:rPr>
              <w:t>2、行业标准、规范；</w:t>
            </w:r>
          </w:p>
          <w:p>
            <w:pPr>
              <w:pStyle w:val="null3"/>
              <w:ind w:firstLine="480"/>
              <w:jc w:val="both"/>
            </w:pPr>
            <w:r>
              <w:rPr>
                <w:rFonts w:ascii="仿宋_GB2312" w:hAnsi="仿宋_GB2312" w:cs="仿宋_GB2312" w:eastAsia="仿宋_GB2312"/>
                <w:sz w:val="24"/>
              </w:rPr>
              <w:t>3、质量监督部门下达的有关文件要求；</w:t>
            </w:r>
          </w:p>
          <w:p>
            <w:pPr>
              <w:pStyle w:val="null3"/>
              <w:ind w:firstLine="480"/>
              <w:jc w:val="both"/>
            </w:pPr>
            <w:r>
              <w:rPr>
                <w:rFonts w:ascii="仿宋_GB2312" w:hAnsi="仿宋_GB2312" w:cs="仿宋_GB2312" w:eastAsia="仿宋_GB2312"/>
                <w:sz w:val="24"/>
              </w:rPr>
              <w:t>4、经有关部门批准的工程项目文件和设计图纸、设计以及设计变更；</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采购人</w:t>
            </w:r>
            <w:r>
              <w:rPr>
                <w:rFonts w:ascii="仿宋_GB2312" w:hAnsi="仿宋_GB2312" w:cs="仿宋_GB2312" w:eastAsia="仿宋_GB2312"/>
                <w:sz w:val="24"/>
              </w:rPr>
              <w:t>与监理单位签订的监理合同；</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采购人</w:t>
            </w:r>
            <w:r>
              <w:rPr>
                <w:rFonts w:ascii="仿宋_GB2312" w:hAnsi="仿宋_GB2312" w:cs="仿宋_GB2312" w:eastAsia="仿宋_GB2312"/>
                <w:sz w:val="24"/>
              </w:rPr>
              <w:t>与施工承包单位签订的施工合同；</w:t>
            </w:r>
          </w:p>
          <w:p>
            <w:pPr>
              <w:pStyle w:val="null3"/>
              <w:ind w:firstLine="480"/>
              <w:jc w:val="both"/>
            </w:pPr>
            <w:r>
              <w:rPr>
                <w:rFonts w:ascii="仿宋_GB2312" w:hAnsi="仿宋_GB2312" w:cs="仿宋_GB2312" w:eastAsia="仿宋_GB2312"/>
                <w:sz w:val="24"/>
              </w:rPr>
              <w:t>7、监理单位编制的监理规划。</w:t>
            </w:r>
          </w:p>
          <w:p>
            <w:pPr>
              <w:pStyle w:val="null3"/>
              <w:ind w:firstLine="480"/>
              <w:jc w:val="both"/>
            </w:pPr>
            <w:r>
              <w:rPr>
                <w:rFonts w:ascii="仿宋_GB2312" w:hAnsi="仿宋_GB2312" w:cs="仿宋_GB2312" w:eastAsia="仿宋_GB2312"/>
                <w:sz w:val="24"/>
              </w:rPr>
              <w:t>备注：凡涉及的相关规范，国家有最新标准的以最新标准为准。</w:t>
            </w:r>
          </w:p>
          <w:p>
            <w:pPr>
              <w:pStyle w:val="null3"/>
              <w:ind w:firstLine="480"/>
              <w:jc w:val="both"/>
            </w:pPr>
            <w:r>
              <w:rPr>
                <w:rFonts w:ascii="仿宋_GB2312" w:hAnsi="仿宋_GB2312" w:cs="仿宋_GB2312" w:eastAsia="仿宋_GB2312"/>
                <w:sz w:val="24"/>
              </w:rPr>
              <w:t>（四）组织机构和人员</w:t>
            </w:r>
          </w:p>
          <w:p>
            <w:pPr>
              <w:pStyle w:val="null3"/>
              <w:ind w:firstLine="480"/>
              <w:jc w:val="both"/>
            </w:pPr>
            <w:r>
              <w:rPr>
                <w:rFonts w:ascii="仿宋_GB2312" w:hAnsi="仿宋_GB2312" w:cs="仿宋_GB2312" w:eastAsia="仿宋_GB2312"/>
                <w:sz w:val="24"/>
              </w:rPr>
              <w:t>1、监理单位有健全的组织机构，有资格齐全、专业齐备的监理人员。</w:t>
            </w:r>
          </w:p>
          <w:p>
            <w:pPr>
              <w:pStyle w:val="null3"/>
              <w:ind w:firstLine="480"/>
              <w:jc w:val="both"/>
            </w:pPr>
            <w:r>
              <w:rPr>
                <w:rFonts w:ascii="仿宋_GB2312" w:hAnsi="仿宋_GB2312" w:cs="仿宋_GB2312" w:eastAsia="仿宋_GB2312"/>
                <w:sz w:val="24"/>
              </w:rPr>
              <w:t>2、有合格的、经验丰富的现场监理工程师。派驻现场的监理人员要熟悉所从事的业务，具备胜任监理业务的能力，具有良好的沟通、协调能力。总监理工程师具有现场处理复杂问题能力和水平。</w:t>
            </w:r>
          </w:p>
          <w:p>
            <w:pPr>
              <w:pStyle w:val="null3"/>
              <w:ind w:firstLine="480"/>
              <w:jc w:val="both"/>
            </w:pPr>
            <w:r>
              <w:rPr>
                <w:rFonts w:ascii="仿宋_GB2312" w:hAnsi="仿宋_GB2312" w:cs="仿宋_GB2312" w:eastAsia="仿宋_GB2312"/>
                <w:sz w:val="24"/>
              </w:rPr>
              <w:t>（五）监理人提供的设备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监理人员的生活用品、交通工具、通讯、办公用品、监理用具、保险由监理人自行解决，在磋商报价时应考虑此费用。</w:t>
            </w:r>
          </w:p>
          <w:p>
            <w:pPr>
              <w:pStyle w:val="null3"/>
            </w:pPr>
            <w:r>
              <w:rPr>
                <w:rFonts w:ascii="仿宋_GB2312" w:hAnsi="仿宋_GB2312" w:cs="仿宋_GB2312" w:eastAsia="仿宋_GB2312"/>
                <w:sz w:val="24"/>
              </w:rPr>
              <w:t xml:space="preserve">    2、供应商</w:t>
            </w:r>
            <w:r>
              <w:rPr>
                <w:rFonts w:ascii="仿宋_GB2312" w:hAnsi="仿宋_GB2312" w:cs="仿宋_GB2312" w:eastAsia="仿宋_GB2312"/>
                <w:sz w:val="24"/>
              </w:rPr>
              <w:t>应根据本工程的特点提供必要的监理仪器。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合同签订之日起至项目全部验收通过并完成监理资料移交之日止。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大荔县农业农村局指定地点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1.验收小组：在成交人履约结束后，由采购人组织验收，验收工作小组由3人以上单数组成，按照职责分工对照政府采购合同中验收有关事项和标准核对每项验收事项，并按照验收方案及时组织验收。 2.成交人所供服务符合竞争性磋商文件、磋商承诺及采购合同约定的要求。 3.若未能在服务期内完成合同规定的义务，由此对采购人造成的延误和一切损失，由成交人承担和赔偿。 4.服务质量达到国家相关法律法规要求、磋商文件、磋商响应文件及采购人要求。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详见监理合同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1.成交供应商拟投入的项目总监理工程师必须驻场。 2.成交供应商在中标结果公告发布后3个工作日内提供肆套纸质投标文件（经编标工具生成的文件直接打印并加盖公章）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残疾人福利性单位声明函.docx 监狱、戒毒企业声明函.docx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提供2026年1月1日至今任意一个月已缴纳的纳税证明或完税证明（包含增值税、企业所得税、营业税至少一种）；（依法免税的供应商应提供相关文件证明）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政府采购无重大违法记录声明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被授权人参与磋商时需提供法定代表人或负责人授权委托书（附法定代表人或负责人及被授权人身份证复印件，被授权人需为本公司人员，提供相关证明材料或承诺书）；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供应商具备有效的工程监理综合资质或市政公用工程监理乙级及以上资质；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拟派项目总监理工程师具备有效的市政公用工程专业国家注册监理工程师，在本单位注册且无在监项目（提供无在监承诺书）；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本项目不接受联合体磋商。（提供书面承诺函，格式自拟加盖供应商公章）</w:t>
            </w:r>
          </w:p>
        </w:tc>
        <w:tc>
          <w:tcPr>
            <w:tcW w:type="dxa" w:w="1661"/>
          </w:tcPr>
          <w:p>
            <w:pPr>
              <w:pStyle w:val="null3"/>
            </w:pPr>
            <w:r>
              <w:rPr>
                <w:rFonts w:ascii="仿宋_GB2312" w:hAnsi="仿宋_GB2312" w:cs="仿宋_GB2312" w:eastAsia="仿宋_GB2312"/>
              </w:rPr>
              <w:t>中小企业声明函.docx 残疾人福利性单位声明函.docx 监狱、戒毒企业声明函.docx 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本项目专门面向中小企业采购；须符合《政府采购促进中小企业发展管理办法》（财库〔2020〕46号）规定的中小企业参加；(提供《中小企业声明函》，式样见竞争性磋商文件格式)</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1.根据《关于推动解决政府采购异常低价问题的通知》(财库(2026)2号)规定，出现下列情形之一的，磋商小组应当启动异常低价响应审查程序: 1）响应报价低于全部通过符合性审查供应商响应报价平均值50%的，即响应报价〈全部通过符合性审查供应商响应报价平均值×50%; 2）响应报价低于通过符合性审查的次低报价供应商响应报价50%的，即响应报价〈通过符合性审查的次低报价供应商响应报价×50%;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供应商在评审现场合理的时间内对响应价格作出解释，提供项目具体成本测算等与报价合理性相关的书面说明及必要的证明材料，包括但不限于原材料成本、人工成本、制造费用等;其中，属于3项情形，供应商已随响应文件一并提交相关书面说明及必要的证明材料的，在评审现场可不再重复提交。响应供应商不能提供书面说明、证明材料，或者提供的书面说明、证明材料不能证明其报价合理性的，磋商小组应当将其作为无效响应处理。相关法律法规对供应商报价有规定的，从其规定。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商务条款响应偏离表.docx 竞争性磋商响应文件封面.docx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响应文件有效期满足竞争性磋商文件的要求</w:t>
            </w:r>
          </w:p>
        </w:tc>
        <w:tc>
          <w:tcPr>
            <w:tcW w:type="dxa" w:w="1661"/>
          </w:tcPr>
          <w:p>
            <w:pPr>
              <w:pStyle w:val="null3"/>
            </w:pPr>
            <w:r>
              <w:rPr>
                <w:rFonts w:ascii="仿宋_GB2312" w:hAnsi="仿宋_GB2312" w:cs="仿宋_GB2312" w:eastAsia="仿宋_GB2312"/>
              </w:rPr>
              <w:t>分项报价表.docx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供应商磋商报价未出现选择性报价，未超出采购预算或最高限价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满足或优于竞争性磋商文件要求</w:t>
            </w:r>
          </w:p>
        </w:tc>
        <w:tc>
          <w:tcPr>
            <w:tcW w:type="dxa" w:w="1661"/>
          </w:tcPr>
          <w:p>
            <w:pPr>
              <w:pStyle w:val="null3"/>
            </w:pPr>
            <w:r>
              <w:rPr>
                <w:rFonts w:ascii="仿宋_GB2312" w:hAnsi="仿宋_GB2312" w:cs="仿宋_GB2312" w:eastAsia="仿宋_GB2312"/>
              </w:rPr>
              <w:t>分项报价表.docx 标的清单 报价表 商务条款响应偏离表.docx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一、评审内容：针对本项目的理解，内容包含：①项目背景；②工作内容、要求和工作范围； 二、评审标准：提供详细、合理、科学可行的方案，方案符合本项目采购需求有针对性， 以上 2 项， 以序号① 、② 为项数，内容无缺项、无漏项且无缺陷的得6分，其中每有一项内容存在缺项或漏项的扣3分，每项内容中每有一处存在缺陷的扣1分，该项分值扣完为止，未提供不得分。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一、评审内容：针对本项目提供具体可行的监理大纲，内容包括： ①监理范围和服务内容； ②监理工作目标及监理依据； ③监理工作程序、方法和制度； ④质量、安全环保措施； ⑤合同管理及信息管理； ⑥监理组织协调内容及措施； ⑦监理工作重点、难点分析及应对措施； ⑧验收方案。 二、评审标准：提供详细、合理、科学可行的方案，方案符合本项目采购需求有针对性， 以上 8 项， 以序号① 、②、③、④、⑤、⑥、⑦、⑧ 为项数，内容无缺项、无漏项且无缺陷的得32分，其中每有一项内容存在缺项或漏项的扣4分，每项内容中每有一处存在缺陷的扣1分，该项分值扣完为止，未提供不得分。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内部工作制度</w:t>
            </w:r>
          </w:p>
        </w:tc>
        <w:tc>
          <w:tcPr>
            <w:tcW w:type="dxa" w:w="2492"/>
          </w:tcPr>
          <w:p>
            <w:pPr>
              <w:pStyle w:val="null3"/>
            </w:pPr>
            <w:r>
              <w:rPr>
                <w:rFonts w:ascii="仿宋_GB2312" w:hAnsi="仿宋_GB2312" w:cs="仿宋_GB2312" w:eastAsia="仿宋_GB2312"/>
              </w:rPr>
              <w:t>一、评审内容：针对本项目提供具体可行的工作制度，内容包括： ①实施与验收阶段监理组织内部的工作制度； ②监理汇报制度； ③文件管理制度； ④监理现场工作制度。 二、评审标准：提供详细、合理、科学可行的方案，方案符合本项目采购需求有针对性， 以上 4 项， 以序号① 、②、③、④为项数，内容无缺项、无漏项且无缺陷的得16分，其中每有一项内容存在缺项或漏项的扣4分，每项内容中每有一处存在缺陷的扣1分，该项分值扣完为止，未提供不得分。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内部工作制度.docx</w:t>
            </w:r>
          </w:p>
        </w:tc>
      </w:tr>
      <w:tr>
        <w:tc>
          <w:tcPr>
            <w:tcW w:type="dxa" w:w="831"/>
            <w:vMerge/>
          </w:tcPr>
          <w:p/>
        </w:tc>
        <w:tc>
          <w:tcPr>
            <w:tcW w:type="dxa" w:w="1661"/>
          </w:tcPr>
          <w:p>
            <w:pPr>
              <w:pStyle w:val="null3"/>
            </w:pPr>
            <w:r>
              <w:rPr>
                <w:rFonts w:ascii="仿宋_GB2312" w:hAnsi="仿宋_GB2312" w:cs="仿宋_GB2312" w:eastAsia="仿宋_GB2312"/>
              </w:rPr>
              <w:t>拟投入检测仪器设备</w:t>
            </w:r>
          </w:p>
        </w:tc>
        <w:tc>
          <w:tcPr>
            <w:tcW w:type="dxa" w:w="2492"/>
          </w:tcPr>
          <w:p>
            <w:pPr>
              <w:pStyle w:val="null3"/>
            </w:pPr>
            <w:r>
              <w:rPr>
                <w:rFonts w:ascii="仿宋_GB2312" w:hAnsi="仿宋_GB2312" w:cs="仿宋_GB2312" w:eastAsia="仿宋_GB2312"/>
              </w:rPr>
              <w:t>一、评审内容：针对本项目提供监理检测设备配置情况。 二、评审标准 ：提供完整、全面，有针对性的设备得3分，本项内容未提供不得分。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拟投入检测仪器设备.docx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一、评审内容：提供针对本项目的服务承诺，承诺内容包含： ①应急预案； ②增值服务； ③合理化建议。 二、评审标准 ：提供详细、合理、科学可行的承诺，承诺符合本项目采购需求有针对性， 以上 3 项， 以序号① 、②、③、为项数，内容无缺项、无漏项且无缺陷的得12分，其中每有一项内容存在缺项或漏项的扣4分，每项内容中每有一处存在缺陷的扣1分，该项分值扣完为止，未提供不得分。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拟投入团队人员</w:t>
            </w:r>
          </w:p>
        </w:tc>
        <w:tc>
          <w:tcPr>
            <w:tcW w:type="dxa" w:w="2492"/>
          </w:tcPr>
          <w:p>
            <w:pPr>
              <w:pStyle w:val="null3"/>
            </w:pPr>
            <w:r>
              <w:rPr>
                <w:rFonts w:ascii="仿宋_GB2312" w:hAnsi="仿宋_GB2312" w:cs="仿宋_GB2312" w:eastAsia="仿宋_GB2312"/>
              </w:rPr>
              <w:t>针对本项目提供具体可行的人员配置方案，包括但不限于： ①项目机构设置；②组成人员名单；③实施人员岗位职责及经验； 二、评审标准：提供详细、合理、科学可行的方案，方案符合本项目采购需求有针对性， 以上 3 项， 以序号① 、②、③、为项数，内容无缺项、无漏项且无缺陷的得12分，其中每有一项内容存在缺项或漏项的扣4分，每项内容中每有一处存在缺陷的扣1分，该项分值扣完为止，未提供不得分。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拟投入团队人员.docx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以合同复印件形式提供供应商2023年1月1日至今类似业绩，每份计2分，计满4分为止。 注：供应商需提供合同复印件，否则业绩不予认可。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详见附件：竞争性磋商响应文件封面.docx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详见附件：监理大纲.docx</w:t>
      </w:r>
    </w:p>
    <w:p>
      <w:pPr>
        <w:pStyle w:val="null3"/>
        <w:ind w:firstLine="960"/>
      </w:pPr>
      <w:r>
        <w:rPr>
          <w:rFonts w:ascii="仿宋_GB2312" w:hAnsi="仿宋_GB2312" w:cs="仿宋_GB2312" w:eastAsia="仿宋_GB2312"/>
        </w:rPr>
        <w:t>详见附件：内部工作制度.docx</w:t>
      </w:r>
    </w:p>
    <w:p>
      <w:pPr>
        <w:pStyle w:val="null3"/>
        <w:ind w:firstLine="960"/>
      </w:pPr>
      <w:r>
        <w:rPr>
          <w:rFonts w:ascii="仿宋_GB2312" w:hAnsi="仿宋_GB2312" w:cs="仿宋_GB2312" w:eastAsia="仿宋_GB2312"/>
        </w:rPr>
        <w:t>详见附件：拟投入检测仪器设备.docx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详见附件：拟投入团队人员.docx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详见附件：监狱、戒毒企业声明函.docx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详见附件：大荔县2026年第一批产业基础设施配套及乡村建设帮扶资金项目监理合同范本.docx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