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版本号：政采-省本级-2026-0335120260520001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陕西省南水北调中线水源区（丹江流域）水土流失与面源污染多级生态调控体系研究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政采-省本级-2026-03351</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陕西省南水北调中线水源区（丹江流域）水土流失与面源污染多级生态调控体系研究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政采-省本级-2026-03351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陕西省南水北调中线水源区（丹江流域）水土流失与面源污染多级生态调控体系研究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对流域水土流失特征与典型污染物来源解析，分析径流过程变化对流域污染物迁移的作用机理，测算水源区污染物的生态风险与水环境容量，形成水土流失与面源污染多级生态控制关键技术。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5、无重大违法记录：参加政府采购活动前三年内，在经营活动中没 有重大违法记录书面声明并加盖公章。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陕西省西安市碑林区兴庆路36号鸿祥大厦6楼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029-87396339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联系人：龙女士</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地址：西安市碑林区兴庆路36号鸿祥大厦6楼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水北调中线工程是一项跨越长江、淮河、黄河、海河四大流域的特大性流域调水工程。中线工程输水线路总长1432km，自南向北穿越河南、河北、北京及天津四个省市，供水范围内总面积15.1万km²，累计调水超570亿m³，直接受益人口超8500万。工作任务主要基于流域水土流失特征与典型污染物来源解析、径流过程变化对流域污染物迁移的作用机理、水源区污染物的生态风险与水环境容量等调研内容，综合制定陕西省南水北调中线水源区（丹江流域）水土流失与面源污染多级生态调控体系。在保障为南水北调中线水源区持续稳定发挥最大价值前提下，力争形成在类似区域（环境）下可复制、可推广的多级生态调控模式，为水土流失与面源污染治理工作决策提供参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陕西省南水北调中线水源区（丹江流域）水土流失与面源污染多级生态调控体系研究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标的名称：陕西省南水北调中线水源区（丹江流域）水土流失与面源污染多级生态调控体系研究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shd w:fill="FFFFFF" w:val="clear"/>
              </w:rPr>
              <w:t>一、</w:t>
            </w:r>
            <w:r>
              <w:rPr>
                <w:rFonts w:ascii="仿宋_GB2312" w:hAnsi="仿宋_GB2312" w:cs="仿宋_GB2312" w:eastAsia="仿宋_GB2312"/>
                <w:sz w:val="21"/>
              </w:rPr>
              <w:t>主要工作内容</w:t>
            </w:r>
            <w:r>
              <w:rPr>
                <w:rFonts w:ascii="仿宋_GB2312" w:hAnsi="仿宋_GB2312" w:cs="仿宋_GB2312" w:eastAsia="仿宋_GB2312"/>
                <w:sz w:val="21"/>
                <w:shd w:fill="FFFFFF" w:val="clear"/>
              </w:rPr>
              <w:t xml:space="preserve"> </w:t>
            </w:r>
          </w:p>
          <w:p>
            <w:pPr>
              <w:pStyle w:val="null3"/>
              <w:ind w:firstLine="420"/>
              <w:jc w:val="both"/>
            </w:pPr>
            <w:r>
              <w:rPr>
                <w:rFonts w:ascii="仿宋_GB2312" w:hAnsi="仿宋_GB2312" w:cs="仿宋_GB2312" w:eastAsia="仿宋_GB2312"/>
                <w:sz w:val="21"/>
                <w:shd w:fill="FFFFFF" w:val="clear"/>
              </w:rPr>
              <w:t>本研究工作任务主要基于流域水土流失特征与典型污染物来源解析、径流过程变化对流域污染物迁移的作用机理、水源区污染物的生态风险与水环境容量等调研内容，综合制定陕西省南水北调中线水源区（丹江流域）水土流失与面源污染多级生态调控体系。在保障为南水北调中线水源区持续稳定发挥最大价值前提下，力争形成在类似区域（环境）下可复制、可推广的多级生态调控模式，为水土流失与面源污染治理工作决策提供参考</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（一）</w:t>
            </w:r>
            <w:r>
              <w:rPr>
                <w:rFonts w:ascii="仿宋_GB2312" w:hAnsi="仿宋_GB2312" w:cs="仿宋_GB2312" w:eastAsia="仿宋_GB2312"/>
                <w:sz w:val="21"/>
                <w:shd w:fill="FFFFFF" w:val="clear"/>
              </w:rPr>
              <w:t>主要技术难点和问题</w:t>
            </w:r>
          </w:p>
          <w:p>
            <w:pPr>
              <w:pStyle w:val="null3"/>
              <w:ind w:firstLine="420"/>
              <w:jc w:val="both"/>
            </w:pPr>
            <w:r>
              <w:rPr>
                <w:rFonts w:ascii="仿宋_GB2312" w:hAnsi="仿宋_GB2312" w:cs="仿宋_GB2312" w:eastAsia="仿宋_GB2312"/>
                <w:sz w:val="21"/>
                <w:shd w:fill="FFFFFF" w:val="clear"/>
              </w:rPr>
              <w:t>水源区面积大、地形复杂，水土流失类型多样、立地条件复杂，针对面源污染治理现状与存在问题，研究的关键与难点在于：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）水源区水土流失与面源污染迁移耦合机制；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）生态措施对土壤及面源污染的调控机理；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）面源污染多级生态调控体系建立。</w:t>
            </w:r>
          </w:p>
          <w:p>
            <w:pPr>
              <w:pStyle w:val="null3"/>
              <w:ind w:firstLine="420"/>
              <w:jc w:val="both"/>
            </w:pPr>
            <w:r>
              <w:rPr>
                <w:rFonts w:ascii="仿宋_GB2312" w:hAnsi="仿宋_GB2312" w:cs="仿宋_GB2312" w:eastAsia="仿宋_GB2312"/>
                <w:sz w:val="21"/>
                <w:shd w:fill="FFFFFF" w:val="clear"/>
              </w:rPr>
              <w:t>（二）</w:t>
            </w:r>
            <w:r>
              <w:rPr>
                <w:rFonts w:ascii="仿宋_GB2312" w:hAnsi="仿宋_GB2312" w:cs="仿宋_GB2312" w:eastAsia="仿宋_GB2312"/>
                <w:sz w:val="21"/>
              </w:rPr>
              <w:t>研究与</w:t>
            </w:r>
            <w:r>
              <w:rPr>
                <w:rFonts w:ascii="仿宋_GB2312" w:hAnsi="仿宋_GB2312" w:cs="仿宋_GB2312" w:eastAsia="仿宋_GB2312"/>
                <w:sz w:val="21"/>
              </w:rPr>
              <w:t>工作</w:t>
            </w:r>
            <w:r>
              <w:rPr>
                <w:rFonts w:ascii="仿宋_GB2312" w:hAnsi="仿宋_GB2312" w:cs="仿宋_GB2312" w:eastAsia="仿宋_GB2312"/>
                <w:sz w:val="21"/>
              </w:rPr>
              <w:t>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）流域水土流失特征与典型污染物来源解析</w:t>
            </w:r>
          </w:p>
          <w:p>
            <w:pPr>
              <w:pStyle w:val="null3"/>
              <w:ind w:firstLine="420"/>
              <w:jc w:val="both"/>
            </w:pPr>
            <w:r>
              <w:rPr>
                <w:rFonts w:ascii="仿宋_GB2312" w:hAnsi="仿宋_GB2312" w:cs="仿宋_GB2312" w:eastAsia="仿宋_GB2312"/>
                <w:sz w:val="21"/>
              </w:rPr>
              <w:t>研究陕西省南水北调中线水源区（丹江流域）水土流失和重点流域典型断面非点源污染负荷量的时空特征，分析污染物在不同季节及空间位置的分布规律，明确不同土地利用、植被覆盖区域产流的水质特征及其变化成因，阐明流域径流组分的污染物迁移过程，重点辨识径流污染物流失的关键源区，揭示非点源污染物的时空分布规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）径流过程变化对流域污染物迁移的作用机理</w:t>
            </w:r>
          </w:p>
          <w:p>
            <w:pPr>
              <w:pStyle w:val="null3"/>
              <w:ind w:firstLine="420"/>
              <w:jc w:val="both"/>
            </w:pPr>
            <w:r>
              <w:rPr>
                <w:rFonts w:ascii="仿宋_GB2312" w:hAnsi="仿宋_GB2312" w:cs="仿宋_GB2312" w:eastAsia="仿宋_GB2312"/>
                <w:sz w:val="21"/>
              </w:rPr>
              <w:t>研究地表径流污染物流失过程与径流流速、流量及径流能量参数的关系，分析径流能量变化对污染物浓度的影响，建立不同径流能量参数与径流污染物迁移负荷的关系模型，定量分析流域污染物负荷对下垫面变化的响应，揭示径流过程能量变化对流域污染物迁移的作用规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）水土流失与面源污染多级生态控制关键技术</w:t>
            </w:r>
          </w:p>
          <w:p>
            <w:pPr>
              <w:pStyle w:val="null3"/>
              <w:ind w:firstLine="420"/>
              <w:jc w:val="both"/>
            </w:pPr>
            <w:r>
              <w:rPr>
                <w:rFonts w:ascii="仿宋_GB2312" w:hAnsi="仿宋_GB2312" w:cs="仿宋_GB2312" w:eastAsia="仿宋_GB2312"/>
                <w:sz w:val="21"/>
              </w:rPr>
              <w:t>构建多示踪元素组合解析径流水源，揭示研究区水土流失机理及径流组分演变规律，设定水土保持措施、生态措施，阐明不同水土保持措施及生态措施对径流组分及其污染物特征的影响；明晰不同措施对面源污染负荷的消减机理，研究提出基于不同生态网络结构的水土流失与面源污染多级生态控制体系。</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标准规范</w:t>
            </w:r>
          </w:p>
          <w:p>
            <w:pPr>
              <w:pStyle w:val="null3"/>
              <w:jc w:val="left"/>
            </w:pPr>
            <w:r>
              <w:rPr>
                <w:rFonts w:ascii="仿宋_GB2312" w:hAnsi="仿宋_GB2312" w:cs="仿宋_GB2312" w:eastAsia="仿宋_GB2312"/>
                <w:sz w:val="21"/>
              </w:rPr>
              <w:t>1、法律法规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）《中华人民共和国水法》（</w:t>
            </w:r>
            <w:r>
              <w:rPr>
                <w:rFonts w:ascii="仿宋_GB2312" w:hAnsi="仿宋_GB2312" w:cs="仿宋_GB2312" w:eastAsia="仿宋_GB2312"/>
                <w:sz w:val="21"/>
              </w:rPr>
              <w:t>2016</w:t>
            </w:r>
            <w:r>
              <w:rPr>
                <w:rFonts w:ascii="仿宋_GB2312" w:hAnsi="仿宋_GB2312" w:cs="仿宋_GB2312" w:eastAsia="仿宋_GB2312"/>
                <w:sz w:val="21"/>
              </w:rPr>
              <w:t>年</w:t>
            </w:r>
            <w:r>
              <w:rPr>
                <w:rFonts w:ascii="仿宋_GB2312" w:hAnsi="仿宋_GB2312" w:cs="仿宋_GB2312" w:eastAsia="仿宋_GB2312"/>
                <w:sz w:val="21"/>
              </w:rPr>
              <w:t>7</w:t>
            </w:r>
            <w:r>
              <w:rPr>
                <w:rFonts w:ascii="仿宋_GB2312" w:hAnsi="仿宋_GB2312" w:cs="仿宋_GB2312" w:eastAsia="仿宋_GB2312"/>
                <w:sz w:val="21"/>
              </w:rPr>
              <w:t>月</w:t>
            </w:r>
            <w:r>
              <w:rPr>
                <w:rFonts w:ascii="仿宋_GB2312" w:hAnsi="仿宋_GB2312" w:cs="仿宋_GB2312" w:eastAsia="仿宋_GB2312"/>
                <w:sz w:val="21"/>
              </w:rPr>
              <w:t>2</w:t>
            </w:r>
            <w:r>
              <w:rPr>
                <w:rFonts w:ascii="仿宋_GB2312" w:hAnsi="仿宋_GB2312" w:cs="仿宋_GB2312" w:eastAsia="仿宋_GB2312"/>
                <w:sz w:val="21"/>
              </w:rPr>
              <w:t>日修订）；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）《中华人民共和国水污染防治法》（</w:t>
            </w:r>
            <w:r>
              <w:rPr>
                <w:rFonts w:ascii="仿宋_GB2312" w:hAnsi="仿宋_GB2312" w:cs="仿宋_GB2312" w:eastAsia="仿宋_GB2312"/>
                <w:sz w:val="21"/>
              </w:rPr>
              <w:t>2017</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27</w:t>
            </w:r>
            <w:r>
              <w:rPr>
                <w:rFonts w:ascii="仿宋_GB2312" w:hAnsi="仿宋_GB2312" w:cs="仿宋_GB2312" w:eastAsia="仿宋_GB2312"/>
                <w:sz w:val="21"/>
              </w:rPr>
              <w:t>日修订）；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）《中华人民共和国水土保持法》（</w:t>
            </w:r>
            <w:r>
              <w:rPr>
                <w:rFonts w:ascii="仿宋_GB2312" w:hAnsi="仿宋_GB2312" w:cs="仿宋_GB2312" w:eastAsia="仿宋_GB2312"/>
                <w:sz w:val="21"/>
              </w:rPr>
              <w:t>2011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r>
              <w:rPr>
                <w:rFonts w:ascii="仿宋_GB2312" w:hAnsi="仿宋_GB2312" w:cs="仿宋_GB2312" w:eastAsia="仿宋_GB2312"/>
                <w:sz w:val="21"/>
              </w:rPr>
              <w:t>1</w:t>
            </w:r>
            <w:r>
              <w:rPr>
                <w:rFonts w:ascii="仿宋_GB2312" w:hAnsi="仿宋_GB2312" w:cs="仿宋_GB2312" w:eastAsia="仿宋_GB2312"/>
                <w:sz w:val="21"/>
              </w:rPr>
              <w:t>日施行）；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）《中华人民共和国环境保护法》（</w:t>
            </w:r>
            <w:r>
              <w:rPr>
                <w:rFonts w:ascii="仿宋_GB2312" w:hAnsi="仿宋_GB2312" w:cs="仿宋_GB2312" w:eastAsia="仿宋_GB2312"/>
                <w:sz w:val="21"/>
              </w:rPr>
              <w:t>2015</w:t>
            </w:r>
            <w:r>
              <w:rPr>
                <w:rFonts w:ascii="仿宋_GB2312" w:hAnsi="仿宋_GB2312" w:cs="仿宋_GB2312" w:eastAsia="仿宋_GB2312"/>
                <w:sz w:val="21"/>
              </w:rPr>
              <w:t>年</w:t>
            </w:r>
            <w:r>
              <w:rPr>
                <w:rFonts w:ascii="仿宋_GB2312" w:hAnsi="仿宋_GB2312" w:cs="仿宋_GB2312" w:eastAsia="仿宋_GB2312"/>
                <w:sz w:val="21"/>
              </w:rPr>
              <w:t>1</w:t>
            </w:r>
            <w:r>
              <w:rPr>
                <w:rFonts w:ascii="仿宋_GB2312" w:hAnsi="仿宋_GB2312" w:cs="仿宋_GB2312" w:eastAsia="仿宋_GB2312"/>
                <w:sz w:val="21"/>
              </w:rPr>
              <w:t>月</w:t>
            </w:r>
            <w:r>
              <w:rPr>
                <w:rFonts w:ascii="仿宋_GB2312" w:hAnsi="仿宋_GB2312" w:cs="仿宋_GB2312" w:eastAsia="仿宋_GB2312"/>
                <w:sz w:val="21"/>
              </w:rPr>
              <w:t>1</w:t>
            </w:r>
            <w:r>
              <w:rPr>
                <w:rFonts w:ascii="仿宋_GB2312" w:hAnsi="仿宋_GB2312" w:cs="仿宋_GB2312" w:eastAsia="仿宋_GB2312"/>
                <w:sz w:val="21"/>
              </w:rPr>
              <w:t>日施行）；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）《中华人民共和国长江保护法》（</w:t>
            </w:r>
            <w:r>
              <w:rPr>
                <w:rFonts w:ascii="仿宋_GB2312" w:hAnsi="仿宋_GB2312" w:cs="仿宋_GB2312" w:eastAsia="仿宋_GB2312"/>
                <w:sz w:val="21"/>
              </w:rPr>
              <w:t>2021</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月</w:t>
            </w:r>
            <w:r>
              <w:rPr>
                <w:rFonts w:ascii="仿宋_GB2312" w:hAnsi="仿宋_GB2312" w:cs="仿宋_GB2312" w:eastAsia="仿宋_GB2312"/>
                <w:sz w:val="21"/>
              </w:rPr>
              <w:t>1</w:t>
            </w:r>
            <w:r>
              <w:rPr>
                <w:rFonts w:ascii="仿宋_GB2312" w:hAnsi="仿宋_GB2312" w:cs="仿宋_GB2312" w:eastAsia="仿宋_GB2312"/>
                <w:sz w:val="21"/>
              </w:rPr>
              <w:t>日施行</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）《中华人民共和国河道管理条例》（</w:t>
            </w:r>
            <w:r>
              <w:rPr>
                <w:rFonts w:ascii="仿宋_GB2312" w:hAnsi="仿宋_GB2312" w:cs="仿宋_GB2312" w:eastAsia="仿宋_GB2312"/>
                <w:sz w:val="21"/>
              </w:rPr>
              <w:t>2017</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r>
              <w:rPr>
                <w:rFonts w:ascii="仿宋_GB2312" w:hAnsi="仿宋_GB2312" w:cs="仿宋_GB2312" w:eastAsia="仿宋_GB2312"/>
                <w:sz w:val="21"/>
              </w:rPr>
              <w:t>7</w:t>
            </w:r>
            <w:r>
              <w:rPr>
                <w:rFonts w:ascii="仿宋_GB2312" w:hAnsi="仿宋_GB2312" w:cs="仿宋_GB2312" w:eastAsia="仿宋_GB2312"/>
                <w:sz w:val="21"/>
              </w:rPr>
              <w:t>日修订）；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）《饮用水水源保护区污染防治管理规定》（</w:t>
            </w:r>
            <w:r>
              <w:rPr>
                <w:rFonts w:ascii="仿宋_GB2312" w:hAnsi="仿宋_GB2312" w:cs="仿宋_GB2312" w:eastAsia="仿宋_GB2312"/>
                <w:sz w:val="21"/>
              </w:rPr>
              <w:t>(2024</w:t>
            </w:r>
            <w:r>
              <w:rPr>
                <w:rFonts w:ascii="仿宋_GB2312" w:hAnsi="仿宋_GB2312" w:cs="仿宋_GB2312" w:eastAsia="仿宋_GB2312"/>
                <w:sz w:val="21"/>
              </w:rPr>
              <w:t>修订）；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）《南水北调工程供用水管理条例》（国务院令第</w:t>
            </w:r>
            <w:r>
              <w:rPr>
                <w:rFonts w:ascii="仿宋_GB2312" w:hAnsi="仿宋_GB2312" w:cs="仿宋_GB2312" w:eastAsia="仿宋_GB2312"/>
                <w:sz w:val="21"/>
              </w:rPr>
              <w:t>647</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）《陕西省汉江丹江流域水污染防治条例》（</w:t>
            </w:r>
            <w:r>
              <w:rPr>
                <w:rFonts w:ascii="仿宋_GB2312" w:hAnsi="仿宋_GB2312" w:cs="仿宋_GB2312" w:eastAsia="仿宋_GB2312"/>
                <w:sz w:val="21"/>
              </w:rPr>
              <w:t>2005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w:t>
            </w:r>
            <w:r>
              <w:rPr>
                <w:rFonts w:ascii="仿宋_GB2312" w:hAnsi="仿宋_GB2312" w:cs="仿宋_GB2312" w:eastAsia="仿宋_GB2312"/>
                <w:sz w:val="21"/>
              </w:rPr>
              <w:t>日陕西省第十届人民代表大会常务委员会第二十二次会议通过）。</w:t>
            </w:r>
          </w:p>
          <w:p>
            <w:pPr>
              <w:pStyle w:val="null3"/>
              <w:jc w:val="left"/>
            </w:pPr>
            <w:r>
              <w:rPr>
                <w:rFonts w:ascii="仿宋_GB2312" w:hAnsi="仿宋_GB2312" w:cs="仿宋_GB2312" w:eastAsia="仿宋_GB2312"/>
                <w:sz w:val="21"/>
              </w:rPr>
              <w:t>2、技术标准规程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）《地表水环境质量标准》（</w:t>
            </w:r>
            <w:r>
              <w:rPr>
                <w:rFonts w:ascii="仿宋_GB2312" w:hAnsi="仿宋_GB2312" w:cs="仿宋_GB2312" w:eastAsia="仿宋_GB2312"/>
                <w:sz w:val="21"/>
              </w:rPr>
              <w:t>GB3838-2002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）《生活饮用水卫生标准》（</w:t>
            </w:r>
            <w:r>
              <w:rPr>
                <w:rFonts w:ascii="仿宋_GB2312" w:hAnsi="仿宋_GB2312" w:cs="仿宋_GB2312" w:eastAsia="仿宋_GB2312"/>
                <w:sz w:val="21"/>
              </w:rPr>
              <w:t>GB5749-2022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）《集中式饮用水水源地规范化建设环境保护技术要求》（</w:t>
            </w:r>
            <w:r>
              <w:rPr>
                <w:rFonts w:ascii="仿宋_GB2312" w:hAnsi="仿宋_GB2312" w:cs="仿宋_GB2312" w:eastAsia="仿宋_GB2312"/>
                <w:sz w:val="21"/>
              </w:rPr>
              <w:t>HJ773-2015</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）《土壤侵蚀分类分级标准》（</w:t>
            </w:r>
            <w:r>
              <w:rPr>
                <w:rFonts w:ascii="仿宋_GB2312" w:hAnsi="仿宋_GB2312" w:cs="仿宋_GB2312" w:eastAsia="仿宋_GB2312"/>
                <w:sz w:val="21"/>
              </w:rPr>
              <w:t>SL190-2007</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）《土地利用现状分类》（</w:t>
            </w:r>
            <w:r>
              <w:rPr>
                <w:rFonts w:ascii="仿宋_GB2312" w:hAnsi="仿宋_GB2312" w:cs="仿宋_GB2312" w:eastAsia="仿宋_GB2312"/>
                <w:sz w:val="21"/>
              </w:rPr>
              <w:t>GB/T21010-2017)</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3、相关规划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）《全国水资源保护规划（</w:t>
            </w:r>
            <w:r>
              <w:rPr>
                <w:rFonts w:ascii="仿宋_GB2312" w:hAnsi="仿宋_GB2312" w:cs="仿宋_GB2312" w:eastAsia="仿宋_GB2312"/>
                <w:sz w:val="21"/>
              </w:rPr>
              <w:t>2016-2030</w:t>
            </w:r>
            <w:r>
              <w:rPr>
                <w:rFonts w:ascii="仿宋_GB2312" w:hAnsi="仿宋_GB2312" w:cs="仿宋_GB2312" w:eastAsia="仿宋_GB2312"/>
                <w:sz w:val="21"/>
              </w:rPr>
              <w:t>年）》（水资源</w:t>
            </w:r>
            <w:r>
              <w:rPr>
                <w:rFonts w:ascii="仿宋_GB2312" w:hAnsi="仿宋_GB2312" w:cs="仿宋_GB2312" w:eastAsia="仿宋_GB2312"/>
                <w:sz w:val="21"/>
              </w:rPr>
              <w:t>[2017]191</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）《长江流域综合规划（</w:t>
            </w:r>
            <w:r>
              <w:rPr>
                <w:rFonts w:ascii="仿宋_GB2312" w:hAnsi="仿宋_GB2312" w:cs="仿宋_GB2312" w:eastAsia="仿宋_GB2312"/>
                <w:sz w:val="21"/>
              </w:rPr>
              <w:t>2012-2030</w:t>
            </w:r>
            <w:r>
              <w:rPr>
                <w:rFonts w:ascii="仿宋_GB2312" w:hAnsi="仿宋_GB2312" w:cs="仿宋_GB2312" w:eastAsia="仿宋_GB2312"/>
                <w:sz w:val="21"/>
              </w:rPr>
              <w:t>年）》（国函</w:t>
            </w:r>
            <w:r>
              <w:rPr>
                <w:rFonts w:ascii="仿宋_GB2312" w:hAnsi="仿宋_GB2312" w:cs="仿宋_GB2312" w:eastAsia="仿宋_GB2312"/>
                <w:sz w:val="21"/>
              </w:rPr>
              <w:t>[2012]220</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）《陕西省“十四五”生态环境保护规划》；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）《陕西省水功能区划》（陕政办发</w:t>
            </w:r>
            <w:r>
              <w:rPr>
                <w:rFonts w:ascii="仿宋_GB2312" w:hAnsi="仿宋_GB2312" w:cs="仿宋_GB2312" w:eastAsia="仿宋_GB2312"/>
                <w:sz w:val="21"/>
              </w:rPr>
              <w:t>[2004]100</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）《陕西省水土保持规划》</w:t>
            </w:r>
            <w:r>
              <w:rPr>
                <w:rFonts w:ascii="仿宋_GB2312" w:hAnsi="仿宋_GB2312" w:cs="仿宋_GB2312" w:eastAsia="仿宋_GB2312"/>
                <w:sz w:val="21"/>
              </w:rPr>
              <w:t>(2016-2030</w:t>
            </w:r>
            <w:r>
              <w:rPr>
                <w:rFonts w:ascii="仿宋_GB2312" w:hAnsi="仿宋_GB2312" w:cs="仿宋_GB2312" w:eastAsia="仿宋_GB2312"/>
                <w:sz w:val="21"/>
              </w:rPr>
              <w:t>年</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）《南水北调工程总体规划》及中线工程相关专项规划；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）《丹江口库区及上游水污染防治和水土保持规划》。</w:t>
            </w:r>
          </w:p>
          <w:p>
            <w:pPr>
              <w:pStyle w:val="null3"/>
              <w:jc w:val="left"/>
            </w:pPr>
            <w:r>
              <w:rPr>
                <w:rFonts w:ascii="仿宋_GB2312" w:hAnsi="仿宋_GB2312" w:cs="仿宋_GB2312" w:eastAsia="仿宋_GB2312"/>
                <w:sz w:val="21"/>
              </w:rPr>
              <w:t>4、部门规章及规范性文件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）《国务院关于印发水污染防治行动计划的通知》（国发</w:t>
            </w:r>
            <w:r>
              <w:rPr>
                <w:rFonts w:ascii="仿宋_GB2312" w:hAnsi="仿宋_GB2312" w:cs="仿宋_GB2312" w:eastAsia="仿宋_GB2312"/>
                <w:sz w:val="21"/>
              </w:rPr>
              <w:t>[2015]17</w:t>
            </w:r>
            <w:r>
              <w:rPr>
                <w:rFonts w:ascii="仿宋_GB2312" w:hAnsi="仿宋_GB2312" w:cs="仿宋_GB2312" w:eastAsia="仿宋_GB2312"/>
                <w:sz w:val="21"/>
              </w:rPr>
              <w:t>号）；</w:t>
            </w:r>
          </w:p>
          <w:p>
            <w:pPr>
              <w:pStyle w:val="null3"/>
              <w:ind w:left="8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）《中共中央国务院关于全面加强生态环境保护 坚决打好污染防治攻坚战的意见》（</w:t>
            </w:r>
            <w:r>
              <w:rPr>
                <w:rFonts w:ascii="仿宋_GB2312" w:hAnsi="仿宋_GB2312" w:cs="仿宋_GB2312" w:eastAsia="仿宋_GB2312"/>
                <w:sz w:val="21"/>
              </w:rPr>
              <w:t>2018</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16</w:t>
            </w:r>
            <w:r>
              <w:rPr>
                <w:rFonts w:ascii="仿宋_GB2312" w:hAnsi="仿宋_GB2312" w:cs="仿宋_GB2312" w:eastAsia="仿宋_GB2312"/>
                <w:sz w:val="21"/>
              </w:rPr>
              <w:t>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）《陕西省水污染防治工作方案》（陕政发</w:t>
            </w:r>
            <w:r>
              <w:rPr>
                <w:rFonts w:ascii="仿宋_GB2312" w:hAnsi="仿宋_GB2312" w:cs="仿宋_GB2312" w:eastAsia="仿宋_GB2312"/>
                <w:sz w:val="21"/>
              </w:rPr>
              <w:t>[2015]60</w:t>
            </w:r>
            <w:r>
              <w:rPr>
                <w:rFonts w:ascii="仿宋_GB2312" w:hAnsi="仿宋_GB2312" w:cs="仿宋_GB2312" w:eastAsia="仿宋_GB2312"/>
                <w:sz w:val="21"/>
              </w:rPr>
              <w:t>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）《水利规划编制工作费用计算办法（试行）》（水规计〔</w:t>
            </w:r>
            <w:r>
              <w:rPr>
                <w:rFonts w:ascii="仿宋_GB2312" w:hAnsi="仿宋_GB2312" w:cs="仿宋_GB2312" w:eastAsia="仿宋_GB2312"/>
                <w:sz w:val="21"/>
              </w:rPr>
              <w:t>2002</w:t>
            </w:r>
            <w:r>
              <w:rPr>
                <w:rFonts w:ascii="仿宋_GB2312" w:hAnsi="仿宋_GB2312" w:cs="仿宋_GB2312" w:eastAsia="仿宋_GB2312"/>
                <w:sz w:val="21"/>
              </w:rPr>
              <w:t>〕</w:t>
            </w:r>
            <w:r>
              <w:rPr>
                <w:rFonts w:ascii="仿宋_GB2312" w:hAnsi="仿宋_GB2312" w:cs="仿宋_GB2312" w:eastAsia="仿宋_GB2312"/>
                <w:sz w:val="21"/>
              </w:rPr>
              <w:t>371</w:t>
            </w:r>
            <w:r>
              <w:rPr>
                <w:rFonts w:ascii="仿宋_GB2312" w:hAnsi="仿宋_GB2312" w:cs="仿宋_GB2312" w:eastAsia="仿宋_GB2312"/>
                <w:sz w:val="21"/>
              </w:rPr>
              <w:t>号）；</w:t>
            </w:r>
          </w:p>
          <w:p>
            <w:pPr>
              <w:pStyle w:val="null3"/>
              <w:ind w:left="84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）陕西省财政厅关于印发《省级机关差旅费管理办法》的通知（有效）（陕财办行〔</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66</w:t>
            </w:r>
            <w:r>
              <w:rPr>
                <w:rFonts w:ascii="仿宋_GB2312" w:hAnsi="仿宋_GB2312" w:cs="仿宋_GB2312" w:eastAsia="仿宋_GB2312"/>
                <w:sz w:val="21"/>
              </w:rPr>
              <w:t>号）；</w:t>
            </w:r>
          </w:p>
          <w:p>
            <w:pPr>
              <w:pStyle w:val="null3"/>
              <w:ind w:left="105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）陕西省财政厅《关于修订部分省级通用项目支出标准的通知》（陕财办预函〔</w:t>
            </w:r>
            <w:r>
              <w:rPr>
                <w:rFonts w:ascii="仿宋_GB2312" w:hAnsi="仿宋_GB2312" w:cs="仿宋_GB2312" w:eastAsia="仿宋_GB2312"/>
                <w:sz w:val="21"/>
              </w:rPr>
              <w:t>2023</w:t>
            </w: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号）；</w:t>
            </w:r>
          </w:p>
          <w:p>
            <w:pPr>
              <w:pStyle w:val="null3"/>
              <w:ind w:left="105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）中共陕西省委办公厅陕西省人民政府办公厅关于印发《省级机关会议经费管理办法》的通知（陕发办〔</w:t>
            </w:r>
            <w:r>
              <w:rPr>
                <w:rFonts w:ascii="仿宋_GB2312" w:hAnsi="仿宋_GB2312" w:cs="仿宋_GB2312" w:eastAsia="仿宋_GB2312"/>
                <w:sz w:val="21"/>
              </w:rPr>
              <w:t>2014</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号）。</w:t>
            </w:r>
          </w:p>
          <w:p>
            <w:pPr>
              <w:pStyle w:val="null3"/>
              <w:jc w:val="left"/>
            </w:pPr>
            <w:r>
              <w:rPr>
                <w:rFonts w:ascii="仿宋_GB2312" w:hAnsi="仿宋_GB2312" w:cs="仿宋_GB2312" w:eastAsia="仿宋_GB2312"/>
                <w:sz w:val="21"/>
              </w:rPr>
              <w:t>三、主要成果递交</w:t>
            </w:r>
          </w:p>
          <w:p>
            <w:pPr>
              <w:pStyle w:val="null3"/>
              <w:ind w:firstLine="420"/>
              <w:jc w:val="left"/>
            </w:pPr>
            <w:r>
              <w:rPr>
                <w:rFonts w:ascii="仿宋_GB2312" w:hAnsi="仿宋_GB2312" w:cs="仿宋_GB2312" w:eastAsia="仿宋_GB2312"/>
                <w:sz w:val="21"/>
                <w:shd w:fill="FFFFFF" w:val="clear"/>
              </w:rPr>
              <w:t>1、建立适宜陕西省南水北调中线水源区（丹江流域）水土流失与面源污染多级生态调控措施体系，力争形成在类似区域（环境）下可复制、可推广的多级生态调控模式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提交</w:t>
            </w:r>
            <w:r>
              <w:rPr>
                <w:rFonts w:ascii="仿宋_GB2312" w:hAnsi="仿宋_GB2312" w:cs="仿宋_GB2312" w:eastAsia="仿宋_GB2312"/>
                <w:sz w:val="21"/>
              </w:rPr>
              <w:t>陕西省南水北调中线水源区</w:t>
            </w:r>
            <w:r>
              <w:rPr>
                <w:rFonts w:ascii="仿宋_GB2312" w:hAnsi="仿宋_GB2312" w:cs="仿宋_GB2312" w:eastAsia="仿宋_GB2312"/>
                <w:sz w:val="21"/>
              </w:rPr>
              <w:t>（</w:t>
            </w:r>
            <w:r>
              <w:rPr>
                <w:rFonts w:ascii="仿宋_GB2312" w:hAnsi="仿宋_GB2312" w:cs="仿宋_GB2312" w:eastAsia="仿宋_GB2312"/>
                <w:sz w:val="21"/>
              </w:rPr>
              <w:t>丹江流域</w:t>
            </w:r>
            <w:r>
              <w:rPr>
                <w:rFonts w:ascii="仿宋_GB2312" w:hAnsi="仿宋_GB2312" w:cs="仿宋_GB2312" w:eastAsia="仿宋_GB2312"/>
                <w:sz w:val="21"/>
              </w:rPr>
              <w:t>）</w:t>
            </w:r>
            <w:r>
              <w:rPr>
                <w:rFonts w:ascii="仿宋_GB2312" w:hAnsi="仿宋_GB2312" w:cs="仿宋_GB2312" w:eastAsia="仿宋_GB2312"/>
                <w:sz w:val="21"/>
              </w:rPr>
              <w:t>水土流失与面源污染多级生态调控体系研究报告</w:t>
            </w:r>
            <w:r>
              <w:rPr>
                <w:rFonts w:ascii="仿宋_GB2312" w:hAnsi="仿宋_GB2312" w:cs="仿宋_GB2312" w:eastAsia="仿宋_GB2312"/>
                <w:sz w:val="21"/>
              </w:rPr>
              <w:t>如下：</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流域水土流失特征与典型污染物来源解析报告</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径流过程变化对流域污染物迁移的作用机理报告</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水土流失与面源污染多级生态控制关键技术报告</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提交初步成果通过初验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全部工作完成并通过验收后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能满足技术要求，且在规定时间内未达到合同约定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陕西省南水北调中线水源区（丹江流域）水土流失与面源污染多级生态调控体系研究服务期限以合同为准。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开标前三个月内基本开户银行出具的资信证明，或信用担保机构出具的投标担保函（以上三种形式的资料提供任何一种即可) 。2025年1月至今新成立公司须提供银行资信证明或新成立以来的财务报表，至少包括资产负债表、利润表、现金流量表。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 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人员配备.docx 中小企业声明函 授权委托书.docx 报价表 商务应答表.docx 响应文件封面 供应商认为有必要说明的事宜（如有）.docx 供应商应提交的相关资格证明材料.docx 承揽的类似项目情况表.docx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符合“第七章 响应⽂件格式”的要求</w:t>
            </w:r>
          </w:p>
        </w:tc>
        <w:tc>
          <w:tcPr>
            <w:tcW w:type="dxa" w:w="1661"/>
          </w:tcPr>
          <w:p>
            <w:pPr>
              <w:pStyle w:val="null3"/>
            </w:pPr>
            <w:r>
              <w:rPr>
                <w:rFonts w:ascii="仿宋_GB2312" w:hAnsi="仿宋_GB2312" w:cs="仿宋_GB2312" w:eastAsia="仿宋_GB2312"/>
              </w:rPr>
              <w:t>人员配备.docx 授权委托书.docx 中小企业声明函 报价表 商务应答表.docx 响应文件封面 供应商应提交的相关资格证明材料.docx 承揽的类似项目情况表.docx 残疾人福利性单位声明函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满⾜磋商⽂件中的要求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 2、根据供应商对于本项目的人员配备情况进行打分：人员安排合理，职责分工明确。 每项完全满足评审标准得4分，有缺陷或者不满足扣2分，缺项不得分； 3、项目组成员每具有高级（含高级）及以上职称得0.5分，最多得1分； 4、项目负责人具有高级（含高级）及以上职称得1分。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注：应附合同协议书或中标（成交）通知书或立项文件或成果文件（如论文、课题、专利等）复印件。类似项目业绩指自2022年5月1日至投标截止日前承揽过类似项目。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给予相关供应商的合理时间一般不少于30分钟并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 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详见附件：供应商认为有必要说明的事宜（如有）.docx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