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4998" w:type="pct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"/>
        <w:gridCol w:w="4068"/>
        <w:gridCol w:w="3461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1" w:type="pct"/>
          </w:tcPr>
          <w:p>
            <w:pPr>
              <w:pStyle w:val="4"/>
              <w:rPr>
                <w:rFonts w:hint="default"/>
              </w:rPr>
            </w:pPr>
            <w:r>
              <w:rPr>
                <w:rFonts w:ascii="仿宋_GB2312" w:hAnsi="仿宋_GB2312" w:eastAsia="仿宋_GB2312" w:cs="仿宋_GB2312"/>
              </w:rPr>
              <w:t xml:space="preserve"> 序号</w:t>
            </w:r>
          </w:p>
        </w:tc>
        <w:tc>
          <w:tcPr>
            <w:tcW w:w="2387" w:type="pct"/>
          </w:tcPr>
          <w:p>
            <w:pPr>
              <w:pStyle w:val="4"/>
              <w:rPr>
                <w:rFonts w:hint="default"/>
              </w:rPr>
            </w:pPr>
            <w:r>
              <w:rPr>
                <w:rFonts w:ascii="仿宋_GB2312" w:hAnsi="仿宋_GB2312" w:eastAsia="仿宋_GB2312" w:cs="仿宋_GB2312"/>
              </w:rPr>
              <w:t xml:space="preserve"> 符合审查要求概况</w:t>
            </w:r>
          </w:p>
        </w:tc>
        <w:tc>
          <w:tcPr>
            <w:tcW w:w="2031" w:type="pct"/>
          </w:tcPr>
          <w:p>
            <w:pPr>
              <w:pStyle w:val="4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符合性审查响应情况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1" w:type="pct"/>
          </w:tcPr>
          <w:p>
            <w:pPr>
              <w:pStyle w:val="4"/>
              <w:rPr>
                <w:rFonts w:hint="default"/>
              </w:rPr>
            </w:pPr>
            <w:r>
              <w:rPr>
                <w:rFonts w:ascii="仿宋_GB2312" w:hAnsi="仿宋_GB2312" w:eastAsia="仿宋_GB2312" w:cs="仿宋_GB2312"/>
              </w:rPr>
              <w:t>1</w:t>
            </w:r>
          </w:p>
        </w:tc>
        <w:tc>
          <w:tcPr>
            <w:tcW w:w="2387" w:type="pct"/>
          </w:tcPr>
          <w:p>
            <w:pPr>
              <w:pStyle w:val="4"/>
              <w:rPr>
                <w:rFonts w:hint="default"/>
              </w:rPr>
            </w:pPr>
            <w:r>
              <w:rPr>
                <w:rFonts w:ascii="仿宋_GB2312" w:hAnsi="仿宋_GB2312" w:eastAsia="仿宋_GB2312" w:cs="仿宋_GB2312"/>
              </w:rPr>
              <w:t>不正当竞争预防措施（实质性要求）</w:t>
            </w:r>
          </w:p>
        </w:tc>
        <w:tc>
          <w:tcPr>
            <w:tcW w:w="2031" w:type="pct"/>
          </w:tcPr>
          <w:p>
            <w:pPr>
              <w:pStyle w:val="4"/>
              <w:rPr>
                <w:rFonts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1" w:type="pct"/>
          </w:tcPr>
          <w:p>
            <w:pPr>
              <w:pStyle w:val="4"/>
              <w:rPr>
                <w:rFonts w:hint="default"/>
              </w:rPr>
            </w:pPr>
            <w:r>
              <w:rPr>
                <w:rFonts w:ascii="仿宋_GB2312" w:hAnsi="仿宋_GB2312" w:eastAsia="仿宋_GB2312" w:cs="仿宋_GB2312"/>
              </w:rPr>
              <w:t>2</w:t>
            </w:r>
          </w:p>
        </w:tc>
        <w:tc>
          <w:tcPr>
            <w:tcW w:w="2387" w:type="pct"/>
          </w:tcPr>
          <w:p>
            <w:pPr>
              <w:pStyle w:val="4"/>
              <w:rPr>
                <w:rFonts w:ascii="仿宋" w:hAnsi="仿宋" w:eastAsia="仿宋" w:cs="仿宋"/>
              </w:rPr>
            </w:pPr>
            <w:r>
              <w:rPr>
                <w:rFonts w:ascii="仿宋" w:hAnsi="仿宋" w:eastAsia="仿宋" w:cs="仿宋"/>
              </w:rPr>
              <w:t>交货期</w:t>
            </w:r>
          </w:p>
        </w:tc>
        <w:tc>
          <w:tcPr>
            <w:tcW w:w="2031" w:type="pct"/>
          </w:tcPr>
          <w:p>
            <w:pPr>
              <w:pStyle w:val="4"/>
              <w:rPr>
                <w:rFonts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1" w:type="pct"/>
          </w:tcPr>
          <w:p>
            <w:pPr>
              <w:pStyle w:val="4"/>
              <w:rPr>
                <w:rFonts w:hint="default"/>
              </w:rPr>
            </w:pPr>
            <w:r>
              <w:rPr>
                <w:rFonts w:ascii="仿宋_GB2312" w:hAnsi="仿宋_GB2312" w:eastAsia="仿宋_GB2312" w:cs="仿宋_GB2312"/>
              </w:rPr>
              <w:t>3</w:t>
            </w:r>
          </w:p>
        </w:tc>
        <w:tc>
          <w:tcPr>
            <w:tcW w:w="2387" w:type="pct"/>
          </w:tcPr>
          <w:p>
            <w:pPr>
              <w:pStyle w:val="4"/>
              <w:rPr>
                <w:rFonts w:ascii="仿宋" w:hAnsi="仿宋" w:eastAsia="仿宋" w:cs="仿宋"/>
              </w:rPr>
            </w:pPr>
            <w:r>
              <w:rPr>
                <w:rFonts w:ascii="仿宋" w:hAnsi="仿宋" w:eastAsia="仿宋" w:cs="仿宋"/>
              </w:rPr>
              <w:t>质保期</w:t>
            </w:r>
          </w:p>
        </w:tc>
        <w:tc>
          <w:tcPr>
            <w:tcW w:w="2031" w:type="pct"/>
          </w:tcPr>
          <w:p>
            <w:pPr>
              <w:pStyle w:val="4"/>
              <w:rPr>
                <w:rFonts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1" w:type="pct"/>
          </w:tcPr>
          <w:p>
            <w:pPr>
              <w:pStyle w:val="4"/>
              <w:rPr>
                <w:rFonts w:hint="default"/>
              </w:rPr>
            </w:pPr>
            <w:r>
              <w:rPr>
                <w:rFonts w:ascii="仿宋_GB2312" w:hAnsi="仿宋_GB2312" w:eastAsia="仿宋_GB2312" w:cs="仿宋_GB2312"/>
              </w:rPr>
              <w:t>4</w:t>
            </w:r>
          </w:p>
        </w:tc>
        <w:tc>
          <w:tcPr>
            <w:tcW w:w="2387" w:type="pct"/>
          </w:tcPr>
          <w:p>
            <w:pPr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付款方式</w:t>
            </w:r>
          </w:p>
        </w:tc>
        <w:tc>
          <w:tcPr>
            <w:tcW w:w="2031" w:type="pct"/>
          </w:tcPr>
          <w:p>
            <w:pPr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1" w:type="pct"/>
          </w:tcPr>
          <w:p>
            <w:pPr>
              <w:pStyle w:val="4"/>
              <w:rPr>
                <w:rFonts w:hint="default"/>
              </w:rPr>
            </w:pPr>
            <w:r>
              <w:rPr>
                <w:rFonts w:ascii="仿宋_GB2312" w:hAnsi="仿宋_GB2312" w:eastAsia="仿宋_GB2312" w:cs="仿宋_GB2312"/>
              </w:rPr>
              <w:t>5</w:t>
            </w:r>
          </w:p>
        </w:tc>
        <w:tc>
          <w:tcPr>
            <w:tcW w:w="2387" w:type="pct"/>
          </w:tcPr>
          <w:p>
            <w:pPr>
              <w:pStyle w:val="4"/>
              <w:rPr>
                <w:rFonts w:ascii="仿宋" w:hAnsi="仿宋" w:eastAsia="仿宋" w:cs="仿宋"/>
              </w:rPr>
            </w:pPr>
            <w:r>
              <w:rPr>
                <w:rFonts w:ascii="仿宋" w:hAnsi="仿宋" w:eastAsia="仿宋" w:cs="仿宋"/>
              </w:rPr>
              <w:t>投标有效期</w:t>
            </w:r>
          </w:p>
        </w:tc>
        <w:tc>
          <w:tcPr>
            <w:tcW w:w="2031" w:type="pct"/>
          </w:tcPr>
          <w:p>
            <w:pPr>
              <w:pStyle w:val="4"/>
              <w:rPr>
                <w:rFonts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1" w:type="pct"/>
          </w:tcPr>
          <w:p>
            <w:pPr>
              <w:pStyle w:val="4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ascii="仿宋_GB2312" w:hAnsi="仿宋_GB2312" w:eastAsia="仿宋_GB2312" w:cs="仿宋_GB2312"/>
                <w:lang w:eastAsia="zh-CN"/>
              </w:rPr>
              <w:t>6</w:t>
            </w:r>
          </w:p>
        </w:tc>
        <w:tc>
          <w:tcPr>
            <w:tcW w:w="2387" w:type="pct"/>
          </w:tcPr>
          <w:p>
            <w:pPr>
              <w:pStyle w:val="4"/>
              <w:rPr>
                <w:rFonts w:ascii="仿宋" w:hAnsi="仿宋" w:eastAsia="仿宋" w:cs="仿宋"/>
              </w:rPr>
            </w:pPr>
            <w:r>
              <w:rPr>
                <w:rFonts w:ascii="仿宋" w:hAnsi="仿宋" w:eastAsia="仿宋" w:cs="仿宋"/>
              </w:rPr>
              <w:t>供应商有法律、规章、规范性文件和招标文件规定的其他无效情形，按无效响应处理。</w:t>
            </w:r>
          </w:p>
          <w:p>
            <w:pPr>
              <w:pStyle w:val="4"/>
              <w:rPr>
                <w:rFonts w:ascii="仿宋" w:hAnsi="仿宋" w:eastAsia="仿宋" w:cs="仿宋"/>
              </w:rPr>
            </w:pPr>
            <w:bookmarkStart w:id="0" w:name="OLE_LINK5"/>
            <w:r>
              <w:rPr>
                <w:rFonts w:ascii="仿宋" w:hAnsi="仿宋" w:eastAsia="仿宋" w:cs="仿宋"/>
                <w:lang w:eastAsia="zh-CN"/>
              </w:rPr>
              <w:t>“</w:t>
            </w:r>
            <w:r>
              <w:rPr>
                <w:rFonts w:ascii="仿宋" w:hAnsi="仿宋" w:eastAsia="仿宋" w:cs="仿宋"/>
              </w:rPr>
              <w:t>★</w:t>
            </w:r>
            <w:r>
              <w:rPr>
                <w:rFonts w:ascii="仿宋" w:hAnsi="仿宋" w:eastAsia="仿宋" w:cs="仿宋"/>
                <w:lang w:eastAsia="zh-CN"/>
              </w:rPr>
              <w:t>”项为实质性响应条款，须提供相应佐证材料</w:t>
            </w:r>
            <w:r>
              <w:rPr>
                <w:rFonts w:ascii="仿宋" w:hAnsi="仿宋" w:eastAsia="仿宋" w:cs="仿宋"/>
              </w:rPr>
              <w:t>（</w:t>
            </w:r>
            <w:bookmarkStart w:id="1" w:name="OLE_LINK6"/>
            <w:r>
              <w:rPr>
                <w:rFonts w:ascii="仿宋" w:hAnsi="仿宋" w:eastAsia="仿宋" w:cs="仿宋"/>
              </w:rPr>
              <w:t>产品彩页、检测报告、功能截图</w:t>
            </w:r>
            <w:bookmarkEnd w:id="1"/>
            <w:r>
              <w:rPr>
                <w:rFonts w:ascii="仿宋" w:hAnsi="仿宋" w:eastAsia="仿宋" w:cs="仿宋"/>
              </w:rPr>
              <w:t>、实物照片）</w:t>
            </w:r>
            <w:bookmarkEnd w:id="0"/>
            <w:r>
              <w:rPr>
                <w:rFonts w:ascii="仿宋" w:hAnsi="仿宋" w:eastAsia="仿宋" w:cs="仿宋"/>
                <w:lang w:eastAsia="zh-CN"/>
              </w:rPr>
              <w:t>，未提供或虽提供但不符合的按无效文件处理。</w:t>
            </w:r>
          </w:p>
        </w:tc>
        <w:tc>
          <w:tcPr>
            <w:tcW w:w="2031" w:type="pct"/>
          </w:tcPr>
          <w:p>
            <w:pPr>
              <w:pStyle w:val="4"/>
              <w:rPr>
                <w:rFonts w:ascii="仿宋" w:hAnsi="仿宋" w:eastAsia="仿宋" w:cs="仿宋"/>
              </w:rPr>
            </w:pPr>
            <w:bookmarkStart w:id="2" w:name="_GoBack"/>
            <w:bookmarkEnd w:id="2"/>
          </w:p>
        </w:tc>
      </w:tr>
    </w:tbl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rFonts w:hint="eastAsia" w:ascii="仿宋" w:hAnsi="仿宋" w:eastAsia="仿宋" w:cs="仿宋"/>
          <w:lang w:eastAsia="zh-CN"/>
        </w:rPr>
      </w:pPr>
      <w:r>
        <w:rPr>
          <w:rFonts w:ascii="仿宋" w:hAnsi="仿宋" w:eastAsia="仿宋" w:cs="仿宋"/>
          <w:lang w:eastAsia="zh-CN"/>
        </w:rPr>
        <w:t>“</w:t>
      </w:r>
      <w:r>
        <w:rPr>
          <w:rFonts w:ascii="仿宋" w:hAnsi="仿宋" w:eastAsia="仿宋" w:cs="仿宋"/>
        </w:rPr>
        <w:t>★</w:t>
      </w:r>
      <w:r>
        <w:rPr>
          <w:rFonts w:ascii="仿宋" w:hAnsi="仿宋" w:eastAsia="仿宋" w:cs="仿宋"/>
          <w:lang w:eastAsia="zh-CN"/>
        </w:rPr>
        <w:t>”项为实质性响应条款佐证材料</w:t>
      </w:r>
      <w:r>
        <w:rPr>
          <w:rFonts w:ascii="仿宋" w:hAnsi="仿宋" w:eastAsia="仿宋" w:cs="仿宋"/>
        </w:rPr>
        <w:t>（产品彩页、检测报告、功能截图、实物照片）</w:t>
      </w:r>
      <w:r>
        <w:rPr>
          <w:rFonts w:hint="eastAsia" w:ascii="仿宋" w:hAnsi="仿宋" w:eastAsia="仿宋" w:cs="仿宋"/>
          <w:lang w:eastAsia="zh-CN"/>
        </w:rPr>
        <w:t>：</w:t>
      </w:r>
    </w:p>
    <w:p>
      <w:pPr>
        <w:rPr>
          <w:rFonts w:hint="default" w:ascii="仿宋" w:hAnsi="仿宋" w:eastAsia="仿宋" w:cs="仿宋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lMDkyYjBmMTIyNTJkMjFjYTAyZWZlNDJjNWEzYWEifQ=="/>
  </w:docVars>
  <w:rsids>
    <w:rsidRoot w:val="00000000"/>
    <w:rsid w:val="139264B1"/>
    <w:rsid w:val="23EE53EE"/>
    <w:rsid w:val="508C1866"/>
    <w:rsid w:val="5B64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2026-03-17T00:46:00Z</dcterms:created>
  <dc:creator>Administrator</dc:creator>
  <cp:lastModifiedBy>洋芋</cp:lastModifiedBy>
  <dcterms:modified xsi:type="dcterms:W3CDTF">2026-06-23T09:23:16Z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19410B9863784EAB8738D2B7AF3E99AC_12</vt:lpwstr>
  </property>
</Properties>
</file>