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版本号：中盺CG招字SL(2026)00820260731005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商洛市镇安县重金属环境安全隐患排查整治工程设计项目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中盺CG招字SL(2026)008</w:t>
      </w:r>
      <w:r>
        <w:br/>
      </w:r>
      <w:r>
        <w:br/>
      </w:r>
      <w:r>
        <w:br/>
      </w:r>
    </w:p>
    <w:p>
      <w:pPr>
        <w:pStyle w:val="null3"/>
        <w:jc w:val="center"/>
        <w:outlineLvl w:val="2"/>
      </w:pPr>
      <w:r>
        <w:rPr>
          <w:rFonts w:ascii="仿宋_GB2312" w:hAnsi="仿宋_GB2312" w:cs="仿宋_GB2312" w:eastAsia="仿宋_GB2312"/>
          <w:sz w:val="28"/>
          <w:b/>
        </w:rPr>
        <w:t>商洛市生态环境局镇安县分局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商洛市生态环境局镇安县分局</w:t>
      </w:r>
      <w:r>
        <w:rPr>
          <w:rFonts w:ascii="仿宋_GB2312" w:hAnsi="仿宋_GB2312" w:cs="仿宋_GB2312" w:eastAsia="仿宋_GB2312"/>
        </w:rPr>
        <w:t>委托，拟对</w:t>
      </w:r>
      <w:r>
        <w:rPr>
          <w:rFonts w:ascii="仿宋_GB2312" w:hAnsi="仿宋_GB2312" w:cs="仿宋_GB2312" w:eastAsia="仿宋_GB2312"/>
        </w:rPr>
        <w:t>商洛市镇安县重金属环境安全隐患排查整治工程设计项目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中盺CG招字SL(2026)008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商洛市镇安县重金属环境安全隐患排查整治工程设计项目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镇安县重金属环境安全隐患排查整治工程设计项目，主要是结合青铜关镇、米粮镇4个历史遗留矿山重金属污染源矿硐、废渣的实际情况，完成整治工程初步设计、概算、施工图纸等，取得相关批复、审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1、供应商资质：供应商须同时具备工程设计专项资质环境工程（污染修复工程）乙级及以上、工程设计市政行业（排水工程）专业乙级及以上资质。</w:t>
      </w:r>
    </w:p>
    <w:p>
      <w:pPr>
        <w:pStyle w:val="null3"/>
      </w:pPr>
      <w:r>
        <w:rPr>
          <w:rFonts w:ascii="仿宋_GB2312" w:hAnsi="仿宋_GB2312" w:cs="仿宋_GB2312" w:eastAsia="仿宋_GB2312"/>
        </w:rPr>
        <w:t>2、项目负责人要求：拟派项目负责人须具备注册环保工程师执业资格或注册公用设备（给水排水）工程师执业资格（相关注册证书注册在投标单位）</w:t>
      </w:r>
    </w:p>
    <w:p>
      <w:pPr>
        <w:pStyle w:val="null3"/>
      </w:pPr>
      <w:r>
        <w:rPr>
          <w:rFonts w:ascii="仿宋_GB2312" w:hAnsi="仿宋_GB2312" w:cs="仿宋_GB2312" w:eastAsia="仿宋_GB2312"/>
        </w:rPr>
        <w:t>3、财务状况证明：以下三种资料提供任意一种即可:提供2023年度及以后任意一年经审计的财务审计报告(成立时间至开标时间不足一年的可提供成立后任意时段的资产负债表)或投标截止时间前六个月内其基本账户银行出具的资信证明或者信用担保机构出具的投标担保函;</w:t>
      </w:r>
    </w:p>
    <w:p>
      <w:pPr>
        <w:pStyle w:val="null3"/>
      </w:pPr>
      <w:r>
        <w:rPr>
          <w:rFonts w:ascii="仿宋_GB2312" w:hAnsi="仿宋_GB2312" w:cs="仿宋_GB2312" w:eastAsia="仿宋_GB2312"/>
        </w:rPr>
        <w:t>4、依法缴纳税收：提供递交响应文件截止之日前一年内任意一个月的依法缴纳税收的相关凭据（时间以税款所属日期为准）复印件。依法免税或无须缴纳税收的供应商，应提供相应证明文件复印件。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5、社会保障资金缴存：提供递交响应文件截止之日前一年内任意一个月的社会保障资金缴存单据或社保机构开具的社会保险参保缴费情况证明复印件。依法不需要缴存社会保障资金的单位应提供相关证明材料。</w:t>
      </w:r>
    </w:p>
    <w:p>
      <w:pPr>
        <w:pStyle w:val="null3"/>
      </w:pPr>
      <w:r>
        <w:rPr>
          <w:rFonts w:ascii="仿宋_GB2312" w:hAnsi="仿宋_GB2312" w:cs="仿宋_GB2312" w:eastAsia="仿宋_GB2312"/>
        </w:rPr>
        <w:t>6、信用记录：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商洛市生态环境局镇安县分局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镇安县迎宾路东段火车站桥头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商洛市生态环境局镇安县分局经办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09145322381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王梦雨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18829841798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采购包1：493,800.00元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开户银行：平安银行西安经济技术开发区支行</w:t>
            </w:r>
          </w:p>
          <w:p>
            <w:pPr>
              <w:pStyle w:val="null3"/>
            </w:pPr>
            <w:r>
              <w:rPr>
                <w:rFonts w:ascii="仿宋_GB2312" w:hAnsi="仿宋_GB2312" w:cs="仿宋_GB2312" w:eastAsia="仿宋_GB2312"/>
              </w:rPr>
              <w:t>银行账号：30201687008583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业务收费管理暂⾏办法》的通知计价格[2002]1980号和国家发改委办公厅颁发的《关于招标代理服务收费有关问题的通知》(发改办价格[2003]857号)⽂件规定标准收取，及发改价格[2011]534号⽂件规定计算，按成交价的1.5%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商洛市生态环境局镇安县分局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商洛市生态环境局镇安县分局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商洛市生态环境局镇安县分局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成果符合国家、地方现行法律法规、强制性条文及相关技术规范标准的要求。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联系人：叶子然</w:t>
      </w:r>
    </w:p>
    <w:p>
      <w:pPr>
        <w:pStyle w:val="null3"/>
      </w:pPr>
      <w:r>
        <w:rPr>
          <w:rFonts w:ascii="仿宋_GB2312" w:hAnsi="仿宋_GB2312" w:cs="仿宋_GB2312" w:eastAsia="仿宋_GB2312"/>
        </w:rPr>
        <w:t>联系电话：13399144800</w:t>
      </w:r>
    </w:p>
    <w:p>
      <w:pPr>
        <w:pStyle w:val="null3"/>
      </w:pPr>
      <w:r>
        <w:rPr>
          <w:rFonts w:ascii="仿宋_GB2312" w:hAnsi="仿宋_GB2312" w:cs="仿宋_GB2312" w:eastAsia="仿宋_GB2312"/>
        </w:rPr>
        <w:t>地址：镇安县盛邦华悦4单元2701</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商洛市镇安县重金属环境安全隐患排查整治工程设计项目，主要是结合青铜关镇、米粮镇4个历史遗留矿山重金属污染源矿硐、废渣的实际情况，完成整治工程初步设计、概算、施工图纸等。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493,800.00</w:t>
      </w:r>
    </w:p>
    <w:p>
      <w:pPr>
        <w:pStyle w:val="null3"/>
      </w:pPr>
      <w:r>
        <w:rPr>
          <w:rFonts w:ascii="仿宋_GB2312" w:hAnsi="仿宋_GB2312" w:cs="仿宋_GB2312" w:eastAsia="仿宋_GB2312"/>
        </w:rPr>
        <w:t>采购包最高限价（元）: 493,800.00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商洛市镇安县重金属环境安全隐患排查整治工程设计服务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493,800.00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标的名称：商洛市镇安县重金属环境安全隐患排查整治工程设计服务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商洛市镇安县重金属环境安全隐患排查整治工程设计：主要是结合青铜关镇、米粮镇</w:t>
            </w:r>
            <w:r>
              <w:rPr>
                <w:rFonts w:ascii="仿宋_GB2312" w:hAnsi="仿宋_GB2312" w:cs="仿宋_GB2312" w:eastAsia="仿宋_GB2312"/>
                <w:sz w:val="21"/>
              </w:rPr>
              <w:t>4个历史遗留矿山重金属污染源涉及的</w:t>
            </w:r>
            <w:r>
              <w:rPr>
                <w:rFonts w:ascii="仿宋_GB2312" w:hAnsi="仿宋_GB2312" w:cs="仿宋_GB2312" w:eastAsia="仿宋_GB2312"/>
                <w:sz w:val="21"/>
              </w:rPr>
              <w:t>16处废渣、</w:t>
            </w:r>
            <w:r>
              <w:rPr>
                <w:rFonts w:ascii="仿宋_GB2312" w:hAnsi="仿宋_GB2312" w:cs="仿宋_GB2312" w:eastAsia="仿宋_GB2312"/>
                <w:sz w:val="21"/>
              </w:rPr>
              <w:t>11个矿硐的实际情况，完成整治工程初步设计、概算、施工图纸等内容。初步设计及施工图深度满足直接开展施工的要求，矿硐封堵、废渣治理工艺技术科学可行、措施达到规范要求，配套的施工组织方案科学合理、可落地实施，各项结构、挡墙安全性能指标符合国家及地方现行强制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拟派项目负责人须具备注册环保工程师执业资格或注册公用设备（给水排水）工程师执业资格，其他人员配备满足本项目全部设计及后续技术服务要求的给排水、环境工程等相关专业人员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配置满足本项目设计要求的设施设备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陕西省镇安县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含设计文本、全套图纸、工程概算的初步设计成果报告，提交施工图图件，成果要符合国家、地方现行法律法规、强制性条文及《涉金属矿产开发环境污染防治技术规范》（DB61/T2164.1-2026）等相关技术规范标准的要求。全程配合采购方报审工作，取得审批部门初步设计批复，施工图完成图审并取得合格意见，全套图纸资料核验无误后完成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进度款，完成初步设计编制并取得批复文件，完成施工图设计且通过施工图审查，达到付款条件起15个工作日内，支付合同总金额的80.0%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进度款，商洛市镇安县重金属环境安全隐患排查整治工程完成县级验收，达到付款条件起15个工作日内，支付合同总金额的20.0%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方逾期付款的，按应付未付金额每日万分之三支付违约金。2.乙方不能按时限交付成果的，每逾期一日，按合同总价款万分之五支付违约金。3.若初步设计文件未通过专家评审、无法取得审批部门批复，或施工图深度不足、图纸存在错漏缺、无法通过图审、不能满足现场施工需求，乙方须无偿完成修改、补充、完善，直至取得审批、图审全部合格；多次整改不达标的，甲方有权解除合同并追索损失。4.乙方不得转包、擅自分包，严禁泄露涉密设计成果，违者承担高额违约金及全部赔偿责任；野外安全事故全部由乙方负责。 4.违约金不足以弥补实际损失的，违约方补足差额，不可抗力按法律法规顺延工期。（二）争议解决：本合同履行发生争议，双方先行书面协商；协商不成，可向镇安县采购监管部门申请调解；调解未果的，任意一方可向镇安县人民法院提起诉讼。争议期间，合同无争议部分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供应商须同时具备工程设计专项资质环境工程（污染修复工程）乙级及以上、工程设计市政行业（排水工程）专业乙级及以上资质。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拟派项目负责人须具备注册环保工程师执业资格或注册公用设备（给水排水）工程师执业资格（相关注册证书注册在投标单位）</w:t>
            </w:r>
          </w:p>
        </w:tc>
        <w:tc>
          <w:tcPr>
            <w:tcW w:type="dxa" w:w="1661"/>
          </w:tcPr>
          <w:p>
            <w:pPr>
              <w:pStyle w:val="null3"/>
            </w:pPr>
            <w:r>
              <w:rPr>
                <w:rFonts w:ascii="仿宋_GB2312" w:hAnsi="仿宋_GB2312" w:cs="仿宋_GB2312" w:eastAsia="仿宋_GB2312"/>
              </w:rPr>
              <w:t>供应商应提交的相关资格证明材料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以下三种资料提供任意一种即可:提供2023年度及以后任意一年经审计的财务审计报告(成立时间至开标时间不足一年的可提供成立后任意时段的资产负债表)或投标截止时间前六个月内其基本账户银行出具的资信证明或者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社会保障资金缴存</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提供递交响应文件截止之日前一年内任意一个月的社会保障资金缴存单据或社保机构开具的社会保险参保缴费情况证明复印件。依法不需要缴存社会保障资金的单位应提供相关证明材料。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1.以满足磋商文件要求且最终磋商报价最低的为基准价，其价格分为满分。 2.其他磋商供应商的价格分统一按照下列公式计算：最终磋商报价得分=（基准价/最终磋商报价）×20分（磋商小组认为供应商的最终报价明显低于其他通过符合性审查供应商的报价，有可能影响服务质量或者不能诚信履约的，应当在磋商现场提供书面说明及相关证明材料。供应商不能证明其报价合理性的，为无效磋商），价格分保留2位小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本项目的整体情况，提供包括但不限于:①目标任务与需求分析；②设计范围和内容；③服务方案与各环节安排；④管理和服务方案制度；⑤技术服务工作范围；⑥任务及目标。磋商小组横向对比投标供应商，每一项优秀：得4-5分，一般：得2-3分，差：得1分，缺项不得分；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w:t>
            </w:r>
          </w:p>
        </w:tc>
        <w:tc>
          <w:tcPr>
            <w:tcW w:type="dxa" w:w="2492"/>
          </w:tcPr>
          <w:p>
            <w:pPr>
              <w:pStyle w:val="null3"/>
            </w:pPr>
            <w:r>
              <w:rPr>
                <w:rFonts w:ascii="仿宋_GB2312" w:hAnsi="仿宋_GB2312" w:cs="仿宋_GB2312" w:eastAsia="仿宋_GB2312"/>
              </w:rPr>
              <w:t>针对本项目制定工作进度计划，包括但不限于：①工作目标；②具体实施内容安排；③进度计划安排；④人员分工及相关进度安排；⑤影响进度因素的解决措施； 磋商小组横向对比投标供应商，优秀：得7-10分，一般：得4-6分，差：得1-3分，缺项不得分；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w:t>
            </w:r>
          </w:p>
        </w:tc>
        <w:tc>
          <w:tcPr>
            <w:tcW w:type="dxa" w:w="2492"/>
          </w:tcPr>
          <w:p>
            <w:pPr>
              <w:pStyle w:val="null3"/>
            </w:pPr>
            <w:r>
              <w:rPr>
                <w:rFonts w:ascii="仿宋_GB2312" w:hAnsi="仿宋_GB2312" w:cs="仿宋_GB2312" w:eastAsia="仿宋_GB2312"/>
              </w:rPr>
              <w:t>针对本项目提供的重点难点分析及应对措施，内容包括但不限于：①对重金属隐患排查整治工程设计背景、现状、政策规范理解透彻，设计思路清晰、目标明确、可行性高，依据规范、符合国家、地方行业规程及规范要求；②对项目可能存在的问题进行重点难点分析；③提出的解决方案或合理化建议；④整体分析和措施等；磋商小组横向对比投标供应商，优秀：得8-12分，一般：得4-7分，差：得1-3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质量管理体系健全，各专业、各阶段质量控制措施内容：①质量管理体系；②设计组织机构；③质量责任制度：④各专业及各阶段质量控制措施；⑤设计质量承诺；磋商小组横向对比投标供应商，优秀：得7-10分，一般：得4-6分，差：得1-3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供应商提供近三年已完成的同类业绩，提供1个业绩得3分，最多得9分，需提供中标通知书或合同协议书。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人员配置资质</w:t>
            </w:r>
          </w:p>
        </w:tc>
        <w:tc>
          <w:tcPr>
            <w:tcW w:type="dxa" w:w="2492"/>
          </w:tcPr>
          <w:p>
            <w:pPr>
              <w:pStyle w:val="null3"/>
            </w:pPr>
            <w:r>
              <w:rPr>
                <w:rFonts w:ascii="仿宋_GB2312" w:hAnsi="仿宋_GB2312" w:cs="仿宋_GB2312" w:eastAsia="仿宋_GB2312"/>
              </w:rPr>
              <w:t>拟派项目负责人在满足注册环保工程师执业资格或注册公用设备（给水排水）工程师执业资格前提下，按以下标准计分：具备高级职称及以上的，得3分；具备中级职称的，得2分；其他情况，得0分。 备注：同一人员拥有多个职称等级的，按最高等级计分，不重复累计得分；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从项目执行过程中的服务质量、技术保证、沟通途径有明确说明：①具有针对本次项目实施过程中提出的合理化建议和相关技术支持，得5-6分；②服务承诺中内容完整且合理化建议及技术支持具体，得3-4分；③服务承诺中内容基本完整且合理化建议及技术支持具体，得2分； ④服务承诺中内容不完整且合理化建议及技术支持不具体，得1分； 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详见附件：商洛市镇安县重金属环境安全隐患排查整治工程设计项目合同.docx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