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2E5A5">
      <w:pPr>
        <w:pStyle w:val="3"/>
        <w:spacing w:line="312" w:lineRule="auto"/>
        <w:jc w:val="center"/>
        <w:rPr>
          <w:rFonts w:hint="eastAsia" w:ascii="宋体" w:hAnsi="宋体" w:eastAsia="宋体" w:cs="宋体"/>
          <w:color w:val="auto"/>
          <w:szCs w:val="32"/>
          <w:highlight w:val="none"/>
          <w:lang w:val="en-US" w:eastAsia="zh-CN"/>
        </w:rPr>
      </w:pPr>
      <w:r>
        <w:rPr>
          <w:rFonts w:hint="eastAsia" w:ascii="宋体" w:hAnsi="宋体" w:eastAsia="宋体" w:cs="宋体"/>
          <w:color w:val="auto"/>
          <w:szCs w:val="32"/>
          <w:highlight w:val="none"/>
          <w:lang w:val="en-US" w:eastAsia="zh-CN"/>
        </w:rPr>
        <w:t xml:space="preserve"> 合同条款及格式 </w:t>
      </w:r>
    </w:p>
    <w:p w14:paraId="30224D13">
      <w:pPr>
        <w:spacing w:line="360" w:lineRule="auto"/>
        <w:jc w:val="center"/>
        <w:textAlignment w:val="baseline"/>
        <w:rPr>
          <w:rFonts w:hint="eastAsia"/>
          <w:lang w:val="zh-CN"/>
        </w:rPr>
      </w:pPr>
      <w:r>
        <w:rPr>
          <w:rFonts w:hint="eastAsia" w:ascii="宋体" w:hAnsi="宋体" w:eastAsia="宋体" w:cs="宋体"/>
          <w:sz w:val="24"/>
          <w:szCs w:val="24"/>
          <w:lang w:val="zh-CN"/>
        </w:rPr>
        <w:t>（本合同模板仅供参考</w:t>
      </w:r>
      <w:r>
        <w:rPr>
          <w:rFonts w:hint="eastAsia" w:ascii="宋体" w:hAnsi="宋体" w:cs="宋体"/>
          <w:sz w:val="24"/>
          <w:szCs w:val="24"/>
          <w:lang w:val="zh-CN"/>
        </w:rPr>
        <w:t>，</w:t>
      </w:r>
      <w:r>
        <w:rPr>
          <w:rFonts w:hint="eastAsia" w:ascii="宋体" w:hAnsi="宋体" w:eastAsia="宋体" w:cs="宋体"/>
          <w:sz w:val="24"/>
          <w:szCs w:val="24"/>
          <w:lang w:val="zh-CN"/>
        </w:rPr>
        <w:t>合同具体条款由采购人与中标单位自行协商，最终合同以采购人给出的合同定稿为准。）</w:t>
      </w:r>
    </w:p>
    <w:p w14:paraId="623246B5">
      <w:pPr>
        <w:adjustRightInd w:val="0"/>
        <w:snapToGrid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甲方：</w:t>
      </w:r>
      <w:r>
        <w:rPr>
          <w:rFonts w:hint="eastAsia" w:ascii="宋体" w:hAnsi="宋体" w:cs="宋体"/>
          <w:sz w:val="24"/>
          <w:szCs w:val="24"/>
          <w:highlight w:val="none"/>
          <w:lang w:eastAsia="zh-CN"/>
        </w:rPr>
        <w:t>西安市科学技术局</w:t>
      </w:r>
    </w:p>
    <w:p w14:paraId="37E8E33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DE0851D">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u w:val="single"/>
          <w:lang w:eastAsia="zh-CN"/>
        </w:rPr>
        <w:t>西安市科技局2026年度市级科技计划项目验收服务</w:t>
      </w:r>
      <w:r>
        <w:rPr>
          <w:rFonts w:hint="eastAsia" w:ascii="宋体" w:hAnsi="宋体" w:eastAsia="宋体" w:cs="宋体"/>
          <w:sz w:val="24"/>
          <w:szCs w:val="24"/>
          <w:highlight w:val="none"/>
          <w:u w:val="single"/>
        </w:rPr>
        <w:t>(项目编号：</w:t>
      </w:r>
      <w:r>
        <w:rPr>
          <w:rFonts w:hint="eastAsia" w:ascii="宋体" w:hAnsi="宋体" w:cs="宋体"/>
          <w:sz w:val="24"/>
          <w:szCs w:val="24"/>
          <w:highlight w:val="none"/>
          <w:u w:val="single"/>
          <w:lang w:eastAsia="zh-CN"/>
        </w:rPr>
        <w:t>TYRZHC-202</w:t>
      </w:r>
      <w:r>
        <w:rPr>
          <w:rFonts w:hint="eastAsia" w:ascii="宋体" w:hAnsi="宋体" w:cs="宋体"/>
          <w:sz w:val="24"/>
          <w:szCs w:val="24"/>
          <w:highlight w:val="none"/>
          <w:u w:val="single"/>
          <w:lang w:val="en-US" w:eastAsia="zh-CN"/>
        </w:rPr>
        <w:t>6</w:t>
      </w:r>
      <w:r>
        <w:rPr>
          <w:rFonts w:hint="eastAsia" w:ascii="宋体" w:hAnsi="宋体" w:cs="宋体"/>
          <w:sz w:val="24"/>
          <w:szCs w:val="24"/>
          <w:highlight w:val="none"/>
          <w:u w:val="single"/>
          <w:lang w:eastAsia="zh-CN"/>
        </w:rPr>
        <w:t>-0</w:t>
      </w:r>
      <w:r>
        <w:rPr>
          <w:rFonts w:hint="eastAsia" w:ascii="宋体" w:hAnsi="宋体" w:cs="宋体"/>
          <w:sz w:val="24"/>
          <w:szCs w:val="24"/>
          <w:highlight w:val="none"/>
          <w:u w:val="single"/>
          <w:lang w:val="en-US" w:eastAsia="zh-CN"/>
        </w:rPr>
        <w:t>08</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由天煜荣泽工程咨询有限公司组织</w:t>
      </w:r>
      <w:r>
        <w:rPr>
          <w:rFonts w:hint="eastAsia" w:ascii="宋体" w:hAnsi="宋体" w:cs="宋体"/>
          <w:sz w:val="24"/>
          <w:szCs w:val="24"/>
          <w:highlight w:val="none"/>
          <w:lang w:val="en-US" w:eastAsia="zh-CN"/>
        </w:rPr>
        <w:t>竞争性磋商</w:t>
      </w:r>
      <w:r>
        <w:rPr>
          <w:rFonts w:hint="eastAsia" w:ascii="宋体" w:hAnsi="宋体" w:eastAsia="宋体" w:cs="宋体"/>
          <w:sz w:val="24"/>
          <w:szCs w:val="24"/>
          <w:highlight w:val="none"/>
        </w:rPr>
        <w:t>，</w:t>
      </w:r>
      <w:r>
        <w:rPr>
          <w:rFonts w:hint="eastAsia" w:ascii="宋体" w:hAnsi="宋体" w:cs="宋体"/>
          <w:sz w:val="24"/>
          <w:szCs w:val="24"/>
          <w:highlight w:val="none"/>
          <w:u w:val="single"/>
          <w:lang w:eastAsia="zh-CN"/>
        </w:rPr>
        <w:t>西安市科学技术局</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(以下简称“甲方”)确定</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（以下简称“乙方”）为成交供应商。</w:t>
      </w:r>
    </w:p>
    <w:p w14:paraId="60B116E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依据《</w:t>
      </w:r>
      <w:r>
        <w:rPr>
          <w:rFonts w:hint="eastAsia" w:ascii="宋体" w:hAnsi="宋体" w:eastAsia="宋体" w:cs="宋体"/>
          <w:sz w:val="24"/>
          <w:szCs w:val="24"/>
          <w:highlight w:val="none"/>
          <w:lang w:eastAsia="zh-CN"/>
        </w:rPr>
        <w:t>中华人民共和国民法典</w:t>
      </w:r>
      <w:r>
        <w:rPr>
          <w:rFonts w:hint="eastAsia" w:ascii="宋体" w:hAnsi="宋体" w:eastAsia="宋体" w:cs="宋体"/>
          <w:sz w:val="24"/>
          <w:szCs w:val="24"/>
          <w:highlight w:val="none"/>
        </w:rPr>
        <w:t>》和《中华人民共和国政府采购法》，经双方协商按下述条款和条件签署本合同。</w:t>
      </w:r>
    </w:p>
    <w:p w14:paraId="09580AC0">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一、合同总价</w:t>
      </w:r>
    </w:p>
    <w:p w14:paraId="7935D9E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p>
    <w:p w14:paraId="3E1E9EE9">
      <w:pPr>
        <w:keepNext w:val="0"/>
        <w:keepLines w:val="0"/>
        <w:pageBreakBefore w:val="0"/>
        <w:widowControl w:val="0"/>
        <w:tabs>
          <w:tab w:val="left" w:pos="9030"/>
        </w:tabs>
        <w:kinsoku/>
        <w:wordWrap/>
        <w:overflowPunct/>
        <w:topLinePunct w:val="0"/>
        <w:bidi w:val="0"/>
        <w:adjustRightInd w:val="0"/>
        <w:snapToGrid w:val="0"/>
        <w:spacing w:line="360" w:lineRule="auto"/>
        <w:ind w:right="-65"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bCs/>
          <w:sz w:val="24"/>
          <w:szCs w:val="24"/>
          <w:highlight w:val="none"/>
        </w:rPr>
        <w:t>（二）合同总价包括但不限于人员工资、专家咨询费、项目组织费、规费、税金及其它相关的费用，</w:t>
      </w:r>
      <w:r>
        <w:rPr>
          <w:rFonts w:hint="eastAsia" w:ascii="宋体" w:hAnsi="宋体" w:eastAsia="宋体" w:cs="宋体"/>
          <w:sz w:val="24"/>
          <w:szCs w:val="24"/>
          <w:highlight w:val="none"/>
        </w:rPr>
        <w:t>服务期内采购人不再增加任何费用</w:t>
      </w:r>
      <w:r>
        <w:rPr>
          <w:rFonts w:hint="eastAsia" w:ascii="宋体" w:hAnsi="宋体" w:eastAsia="宋体" w:cs="宋体"/>
          <w:sz w:val="24"/>
          <w:szCs w:val="24"/>
          <w:highlight w:val="none"/>
          <w:lang w:val="zh-CN"/>
        </w:rPr>
        <w:t>。</w:t>
      </w:r>
    </w:p>
    <w:p w14:paraId="541A305D">
      <w:pPr>
        <w:autoSpaceDE w:val="0"/>
        <w:autoSpaceDN w:val="0"/>
        <w:adjustRightInd w:val="0"/>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二、款项结算</w:t>
      </w:r>
    </w:p>
    <w:p w14:paraId="110D49EE">
      <w:pPr>
        <w:tabs>
          <w:tab w:val="left" w:pos="9030"/>
        </w:tabs>
        <w:adjustRightInd w:val="0"/>
        <w:snapToGrid w:val="0"/>
        <w:spacing w:line="360" w:lineRule="auto"/>
        <w:ind w:firstLine="480" w:firstLineChars="200"/>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（一）</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付款方式</w:t>
      </w:r>
      <w:r>
        <w:rPr>
          <w:rFonts w:hint="eastAsia" w:ascii="宋体" w:hAnsi="宋体" w:eastAsia="宋体" w:cs="宋体"/>
          <w:bCs/>
          <w:color w:val="000000" w:themeColor="text1"/>
          <w:sz w:val="24"/>
          <w:szCs w:val="24"/>
          <w:highlight w:val="none"/>
          <w14:textFill>
            <w14:solidFill>
              <w14:schemeClr w14:val="tx1"/>
            </w14:solidFill>
          </w14:textFill>
        </w:rPr>
        <w:t>：合同正式生效后10个工作日内支付合同价款的70％；项目整体验收通过后，支付合同总价的30％。</w:t>
      </w:r>
    </w:p>
    <w:p w14:paraId="6AEEA997">
      <w:pPr>
        <w:tabs>
          <w:tab w:val="left" w:pos="9030"/>
        </w:tabs>
        <w:adjustRightInd w:val="0"/>
        <w:snapToGri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（二）结算方式：银行转账。</w:t>
      </w:r>
    </w:p>
    <w:p w14:paraId="1158FBC6">
      <w:pPr>
        <w:autoSpaceDE w:val="0"/>
        <w:autoSpaceDN w:val="0"/>
        <w:adjustRightIn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（三）</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结算单位</w:t>
      </w: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zh-CN"/>
          <w14:textFill>
            <w14:solidFill>
              <w14:schemeClr w14:val="tx1"/>
            </w14:solidFill>
          </w14:textFill>
        </w:rPr>
        <w:t>由</w:t>
      </w:r>
      <w:r>
        <w:rPr>
          <w:rFonts w:hint="eastAsia" w:ascii="宋体" w:hAnsi="宋体" w:eastAsia="宋体" w:cs="宋体"/>
          <w:color w:val="000000" w:themeColor="text1"/>
          <w:sz w:val="24"/>
          <w:szCs w:val="24"/>
          <w:highlight w:val="none"/>
          <w14:textFill>
            <w14:solidFill>
              <w14:schemeClr w14:val="tx1"/>
            </w14:solidFill>
          </w14:textFill>
        </w:rPr>
        <w:t>甲方</w:t>
      </w:r>
      <w:r>
        <w:rPr>
          <w:rFonts w:hint="eastAsia" w:ascii="宋体" w:hAnsi="宋体" w:eastAsia="宋体" w:cs="宋体"/>
          <w:color w:val="000000" w:themeColor="text1"/>
          <w:sz w:val="24"/>
          <w:szCs w:val="24"/>
          <w:highlight w:val="none"/>
          <w:lang w:val="zh-CN"/>
          <w14:textFill>
            <w14:solidFill>
              <w14:schemeClr w14:val="tx1"/>
            </w14:solidFill>
          </w14:textFill>
        </w:rPr>
        <w:t>负责结算，</w:t>
      </w:r>
      <w:r>
        <w:rPr>
          <w:rFonts w:hint="eastAsia" w:ascii="宋体" w:hAnsi="宋体" w:eastAsia="宋体" w:cs="宋体"/>
          <w:bCs/>
          <w:color w:val="000000" w:themeColor="text1"/>
          <w:sz w:val="24"/>
          <w:szCs w:val="24"/>
          <w:highlight w:val="none"/>
          <w14:textFill>
            <w14:solidFill>
              <w14:schemeClr w14:val="tx1"/>
            </w14:solidFill>
          </w14:textFill>
        </w:rPr>
        <w:t>乙方开具合同价款的全额发票给甲方。</w:t>
      </w:r>
    </w:p>
    <w:p w14:paraId="68405B0E">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三、实施地点与</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服务期</w:t>
      </w:r>
      <w:r>
        <w:rPr>
          <w:rFonts w:hint="eastAsia" w:ascii="宋体" w:hAnsi="宋体" w:eastAsia="宋体" w:cs="宋体"/>
          <w:b/>
          <w:bCs/>
          <w:color w:val="000000" w:themeColor="text1"/>
          <w:sz w:val="24"/>
          <w:szCs w:val="24"/>
          <w:highlight w:val="none"/>
          <w14:textFill>
            <w14:solidFill>
              <w14:schemeClr w14:val="tx1"/>
            </w14:solidFill>
          </w14:textFill>
        </w:rPr>
        <w:t>：</w:t>
      </w:r>
    </w:p>
    <w:p w14:paraId="1DF6A26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（一）实施地点：甲方指定地点。</w:t>
      </w:r>
    </w:p>
    <w:p w14:paraId="3A6A813E">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（二）服务期：</w:t>
      </w:r>
      <w:r>
        <w:rPr>
          <w:rFonts w:hint="eastAsia" w:ascii="宋体" w:hAnsi="宋体" w:eastAsia="宋体" w:cs="宋体"/>
          <w:color w:val="000000"/>
          <w:sz w:val="24"/>
          <w:szCs w:val="24"/>
          <w:highlight w:val="none"/>
          <w:lang w:val="en-US" w:eastAsia="zh-CN"/>
        </w:rPr>
        <w:t>自合同签订之日起</w:t>
      </w:r>
      <w:r>
        <w:rPr>
          <w:rFonts w:hint="eastAsia" w:ascii="宋体" w:hAnsi="宋体" w:cs="宋体"/>
          <w:color w:val="000000"/>
          <w:sz w:val="24"/>
          <w:szCs w:val="24"/>
          <w:highlight w:val="none"/>
          <w:lang w:val="en-US" w:eastAsia="zh-CN"/>
        </w:rPr>
        <w:t>9个月。</w:t>
      </w:r>
    </w:p>
    <w:p w14:paraId="6A866E7B">
      <w:pPr>
        <w:keepNext w:val="0"/>
        <w:keepLines w:val="0"/>
        <w:pageBreakBefore w:val="0"/>
        <w:widowControl w:val="0"/>
        <w:kinsoku/>
        <w:wordWrap/>
        <w:overflowPunct/>
        <w:topLinePunct w:val="0"/>
        <w:bidi w:val="0"/>
        <w:adjustRightInd w:val="0"/>
        <w:spacing w:line="360" w:lineRule="auto"/>
        <w:ind w:firstLine="482" w:firstLineChars="200"/>
        <w:jc w:val="left"/>
        <w:textAlignment w:val="auto"/>
        <w:rPr>
          <w:rFonts w:hint="eastAsia" w:ascii="宋体" w:hAnsi="宋体" w:eastAsia="宋体" w:cs="宋体"/>
          <w:b/>
          <w:sz w:val="24"/>
          <w:szCs w:val="24"/>
          <w:highlight w:val="none"/>
        </w:rPr>
      </w:pPr>
      <w:r>
        <w:rPr>
          <w:rFonts w:hint="eastAsia" w:ascii="宋体" w:hAnsi="宋体" w:eastAsia="宋体" w:cs="宋体"/>
          <w:b/>
          <w:bCs/>
          <w:sz w:val="24"/>
          <w:szCs w:val="24"/>
          <w:highlight w:val="none"/>
        </w:rPr>
        <w:t>四、</w:t>
      </w:r>
      <w:r>
        <w:rPr>
          <w:rFonts w:hint="eastAsia" w:ascii="宋体" w:hAnsi="宋体" w:eastAsia="宋体" w:cs="宋体"/>
          <w:b/>
          <w:sz w:val="24"/>
          <w:szCs w:val="24"/>
          <w:highlight w:val="none"/>
        </w:rPr>
        <w:t>条款定义</w:t>
      </w:r>
    </w:p>
    <w:p w14:paraId="1A2DB384">
      <w:pPr>
        <w:keepNext w:val="0"/>
        <w:keepLines w:val="0"/>
        <w:pageBreakBefore w:val="0"/>
        <w:widowControl w:val="0"/>
        <w:kinsoku/>
        <w:wordWrap/>
        <w:overflowPunct/>
        <w:topLinePunct w:val="0"/>
        <w:bidi w:val="0"/>
        <w:adjustRightIn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（一）甲方是本项目组织者，乙方受甲方的委托，作为本项目服务单位，根据本合同书进行服务工作，行使赋予的权力和责任，对甲方负责。</w:t>
      </w:r>
    </w:p>
    <w:p w14:paraId="5BD469F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二）在合同实施过程中，合同双方一切联系均以书面通知为准，特殊情况可先口头通知并即补书面通知。双方共同签署的有关文件，属于合同的补充文件。双方联系的具体规定（代表、地点、方式等）在特殊条款中订明。</w:t>
      </w:r>
    </w:p>
    <w:p w14:paraId="6C525FF0">
      <w:pPr>
        <w:keepNext w:val="0"/>
        <w:keepLines w:val="0"/>
        <w:pageBreakBefore w:val="0"/>
        <w:widowControl w:val="0"/>
        <w:kinsoku/>
        <w:wordWrap/>
        <w:overflowPunct/>
        <w:topLinePunct w:val="0"/>
        <w:bidi w:val="0"/>
        <w:spacing w:line="360" w:lineRule="auto"/>
        <w:ind w:firstLine="482" w:firstLineChars="200"/>
        <w:jc w:val="left"/>
        <w:textAlignment w:val="auto"/>
        <w:rPr>
          <w:rFonts w:hint="eastAsia" w:ascii="宋体" w:hAnsi="宋体" w:eastAsia="宋体" w:cs="宋体"/>
          <w:b/>
          <w:sz w:val="24"/>
          <w:szCs w:val="24"/>
          <w:highlight w:val="none"/>
        </w:rPr>
      </w:pPr>
      <w:r>
        <w:rPr>
          <w:rFonts w:hint="eastAsia" w:ascii="宋体" w:hAnsi="宋体" w:eastAsia="宋体" w:cs="宋体"/>
          <w:b/>
          <w:bCs/>
          <w:sz w:val="24"/>
          <w:szCs w:val="24"/>
          <w:highlight w:val="none"/>
        </w:rPr>
        <w:t>五、</w:t>
      </w:r>
      <w:r>
        <w:rPr>
          <w:rFonts w:hint="eastAsia" w:ascii="宋体" w:hAnsi="宋体" w:eastAsia="宋体" w:cs="宋体"/>
          <w:b/>
          <w:sz w:val="24"/>
          <w:szCs w:val="24"/>
          <w:highlight w:val="none"/>
        </w:rPr>
        <w:t>本合同书的开始、完成与变更。</w:t>
      </w:r>
    </w:p>
    <w:p w14:paraId="1AF79BFA">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（一）按本合同书规定的全部有效的签字盖章完成后，本合同书立即生效。</w:t>
      </w:r>
    </w:p>
    <w:p w14:paraId="33827709">
      <w:pPr>
        <w:spacing w:line="360" w:lineRule="auto"/>
        <w:ind w:right="-420" w:rightChars="-20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eastAsia="zh-CN"/>
        </w:rPr>
        <w:t>乙方</w:t>
      </w:r>
      <w:r>
        <w:rPr>
          <w:rFonts w:hint="eastAsia" w:ascii="宋体" w:hAnsi="宋体" w:eastAsia="宋体" w:cs="宋体"/>
          <w:sz w:val="24"/>
          <w:szCs w:val="24"/>
          <w:highlight w:val="none"/>
        </w:rPr>
        <w:t>应按本合同书特殊条款中所订明的期限开始其服务。</w:t>
      </w:r>
    </w:p>
    <w:p w14:paraId="0E66CCC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w:t>
      </w:r>
      <w:r>
        <w:rPr>
          <w:rFonts w:hint="eastAsia" w:ascii="宋体" w:hAnsi="宋体" w:eastAsia="宋体" w:cs="宋体"/>
          <w:sz w:val="24"/>
          <w:szCs w:val="24"/>
          <w:highlight w:val="none"/>
          <w:lang w:eastAsia="zh-CN"/>
        </w:rPr>
        <w:t>乙方</w:t>
      </w:r>
      <w:r>
        <w:rPr>
          <w:rFonts w:hint="eastAsia" w:ascii="宋体" w:hAnsi="宋体" w:eastAsia="宋体" w:cs="宋体"/>
          <w:sz w:val="24"/>
          <w:szCs w:val="24"/>
          <w:highlight w:val="none"/>
        </w:rPr>
        <w:t>应按本合同书特殊条款中所订明的期限完成服务。</w:t>
      </w:r>
    </w:p>
    <w:p w14:paraId="39B5438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（四）如果情况变化，致使合同书需变更时，必须经双方书面同意才能成立。为此，一方提出的建议需经送交另一方作应有的考虑。</w:t>
      </w:r>
    </w:p>
    <w:p w14:paraId="37C98E52">
      <w:pPr>
        <w:spacing w:line="360" w:lineRule="auto"/>
        <w:ind w:firstLine="482" w:firstLineChars="200"/>
        <w:jc w:val="left"/>
        <w:rPr>
          <w:rFonts w:hint="eastAsia" w:ascii="宋体" w:hAnsi="宋体" w:eastAsia="宋体" w:cs="宋体"/>
          <w:b/>
          <w:sz w:val="24"/>
          <w:szCs w:val="24"/>
          <w:highlight w:val="none"/>
        </w:rPr>
      </w:pPr>
      <w:r>
        <w:rPr>
          <w:rFonts w:hint="eastAsia" w:ascii="宋体" w:hAnsi="宋体" w:eastAsia="宋体" w:cs="宋体"/>
          <w:b/>
          <w:bCs/>
          <w:sz w:val="24"/>
          <w:szCs w:val="24"/>
          <w:highlight w:val="none"/>
        </w:rPr>
        <w:t>六、</w:t>
      </w:r>
      <w:r>
        <w:rPr>
          <w:rFonts w:hint="eastAsia" w:ascii="宋体" w:hAnsi="宋体" w:eastAsia="宋体" w:cs="宋体"/>
          <w:b/>
          <w:sz w:val="24"/>
          <w:szCs w:val="24"/>
          <w:highlight w:val="none"/>
        </w:rPr>
        <w:t>甲方的权力与责任。</w:t>
      </w:r>
    </w:p>
    <w:p w14:paraId="037008B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（一）甲方依据服务合同对乙方的工作进行督促和检查。</w:t>
      </w:r>
    </w:p>
    <w:p w14:paraId="612C126F">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（二）甲方若认为乙方履行合同不力严重影响项目</w:t>
      </w:r>
      <w:r>
        <w:rPr>
          <w:rFonts w:hint="eastAsia" w:ascii="宋体" w:hAnsi="宋体" w:eastAsia="宋体" w:cs="宋体"/>
          <w:sz w:val="24"/>
          <w:szCs w:val="24"/>
          <w:highlight w:val="none"/>
          <w:lang w:eastAsia="zh-CN"/>
        </w:rPr>
        <w:t>服务质量</w:t>
      </w:r>
      <w:r>
        <w:rPr>
          <w:rFonts w:hint="eastAsia" w:ascii="宋体" w:hAnsi="宋体" w:eastAsia="宋体" w:cs="宋体"/>
          <w:sz w:val="24"/>
          <w:szCs w:val="24"/>
          <w:highlight w:val="none"/>
        </w:rPr>
        <w:t>，甲方有权要求更换乙方主要人员，直至终止合同。</w:t>
      </w:r>
    </w:p>
    <w:p w14:paraId="11B45A6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（三）甲方支持乙方的工作，按合同保证乙方责任和权力的统一。</w:t>
      </w:r>
    </w:p>
    <w:p w14:paraId="3059DC85">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（四）甲方应向乙方提供本合同规定的服务工作所需的合同文本、资料和数据等。同时应在特殊条款中明确提供的方式、份数与回收、保密等办法。</w:t>
      </w:r>
    </w:p>
    <w:p w14:paraId="017BE80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（五）甲方应负责协调项目外部条件及与地方的关系。</w:t>
      </w:r>
    </w:p>
    <w:p w14:paraId="0B3DA47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（六）甲方应在特殊条款中双方订明的期限内，对由乙方提交甲方决策的报告、文件等作出决定。</w:t>
      </w:r>
    </w:p>
    <w:p w14:paraId="5E958329">
      <w:pPr>
        <w:spacing w:line="360" w:lineRule="auto"/>
        <w:ind w:firstLine="482" w:firstLineChars="200"/>
        <w:jc w:val="left"/>
        <w:rPr>
          <w:rFonts w:hint="eastAsia" w:ascii="宋体" w:hAnsi="宋体" w:eastAsia="宋体" w:cs="宋体"/>
          <w:sz w:val="24"/>
          <w:szCs w:val="24"/>
          <w:highlight w:val="none"/>
        </w:rPr>
      </w:pPr>
      <w:r>
        <w:rPr>
          <w:rFonts w:hint="eastAsia" w:ascii="宋体" w:hAnsi="宋体" w:eastAsia="宋体" w:cs="宋体"/>
          <w:b/>
          <w:sz w:val="24"/>
          <w:szCs w:val="24"/>
          <w:highlight w:val="none"/>
        </w:rPr>
        <w:t>七、乙方权力与责任</w:t>
      </w:r>
      <w:r>
        <w:rPr>
          <w:rFonts w:hint="eastAsia" w:ascii="宋体" w:hAnsi="宋体" w:eastAsia="宋体" w:cs="宋体"/>
          <w:sz w:val="24"/>
          <w:szCs w:val="24"/>
          <w:highlight w:val="none"/>
        </w:rPr>
        <w:t>。</w:t>
      </w:r>
    </w:p>
    <w:p w14:paraId="61C44F1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（一）乙方拥有合同中规定的权力，并承担相应全部责任。</w:t>
      </w:r>
    </w:p>
    <w:p w14:paraId="3A67B4E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（二）乙方必须具有履行本合同书所需的技能，必须按照相关的职业准则完成其全部职责。</w:t>
      </w:r>
    </w:p>
    <w:p w14:paraId="65BEC976">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（三）在服务过程中</w:t>
      </w:r>
      <w:r>
        <w:rPr>
          <w:rFonts w:hint="eastAsia" w:ascii="宋体" w:hAnsi="宋体" w:eastAsia="宋体" w:cs="宋体"/>
          <w:sz w:val="24"/>
          <w:szCs w:val="24"/>
          <w:highlight w:val="none"/>
          <w:lang w:eastAsia="zh-CN"/>
        </w:rPr>
        <w:t>乙方</w:t>
      </w:r>
      <w:r>
        <w:rPr>
          <w:rFonts w:hint="eastAsia" w:ascii="宋体" w:hAnsi="宋体" w:eastAsia="宋体" w:cs="宋体"/>
          <w:sz w:val="24"/>
          <w:szCs w:val="24"/>
          <w:highlight w:val="none"/>
        </w:rPr>
        <w:t>如需另聘专家咨询或协助，在服务责任以内发生的费用，由乙方承担；超出服务责任并发生费用，应征得甲方书面同意后，由甲方承担费用。</w:t>
      </w:r>
    </w:p>
    <w:p w14:paraId="762DD648">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（四）乙方按</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文件中的要求自带规定的设备和设施。</w:t>
      </w:r>
    </w:p>
    <w:p w14:paraId="33212A2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（五）乙方必须按</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文件中规定派出服务工作需要的服务人员及项目服务机构。其主要人员资格和服务条件须经甲方审查同意，甲方不得无理由地拒绝。甲方同意乙方根据服务目标需要提出的项目组织机构，并确认项目负责人。</w:t>
      </w:r>
    </w:p>
    <w:p w14:paraId="517485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（六）服务应按本合同规定的人员在各规定期限内进行。为保证项目的有效实施，项目负责人及其他服务人员必须与</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一致，一般不得调整，确需调整的，必须征得甲方同意。乙方派驻现场服务人员应连续稳定，保证服务工作正常进行。</w:t>
      </w:r>
    </w:p>
    <w:p w14:paraId="3FFE5F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（七）乙方向甲方收取的报酬，是其关于本合同书的唯一报酬。乙方及其人员不得接受与本合同书有关的或与其承担义务有关的其他津贴、回扣等报酬和非直接支付。</w:t>
      </w:r>
    </w:p>
    <w:p w14:paraId="77138F37">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（八）乙方在服务的过程中，不得泄露甲方的秘密，乙方亦不得相关单位提供秘密。</w:t>
      </w:r>
    </w:p>
    <w:p w14:paraId="4AA9DA83">
      <w:pPr>
        <w:autoSpaceDE w:val="0"/>
        <w:autoSpaceDN w:val="0"/>
        <w:adjustRightInd w:val="0"/>
        <w:snapToGrid w:val="0"/>
        <w:spacing w:line="360" w:lineRule="auto"/>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八</w:t>
      </w:r>
      <w:r>
        <w:rPr>
          <w:rFonts w:hint="eastAsia" w:ascii="宋体" w:hAnsi="宋体" w:eastAsia="宋体" w:cs="宋体"/>
          <w:b/>
          <w:bCs/>
          <w:color w:val="000000"/>
          <w:sz w:val="24"/>
          <w:szCs w:val="24"/>
          <w:highlight w:val="none"/>
        </w:rPr>
        <w:t>、知识产权</w:t>
      </w:r>
    </w:p>
    <w:p w14:paraId="30D4CB57">
      <w:pPr>
        <w:autoSpaceDE w:val="0"/>
        <w:autoSpaceDN w:val="0"/>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（一）本项目所涉及到的所有成果的知识产权归甲方所有。 </w:t>
      </w:r>
    </w:p>
    <w:p w14:paraId="4280F308">
      <w:pPr>
        <w:autoSpaceDE w:val="0"/>
        <w:autoSpaceDN w:val="0"/>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（二）乙方无论出于任何目的如在其他地方使用该成果，必须经甲方同意方可使用。否则，甲方有权要求终止涉及到该知识产权的任何使用活动并保留追究卖方相应的法律责任的权利。 </w:t>
      </w:r>
    </w:p>
    <w:p w14:paraId="1E4415D4">
      <w:pPr>
        <w:autoSpaceDE w:val="0"/>
        <w:autoSpaceDN w:val="0"/>
        <w:adjustRightInd w:val="0"/>
        <w:snapToGrid w:val="0"/>
        <w:spacing w:line="360" w:lineRule="auto"/>
        <w:ind w:firstLine="480" w:firstLineChars="200"/>
        <w:rPr>
          <w:rFonts w:hint="eastAsia" w:ascii="宋体" w:hAnsi="宋体" w:eastAsia="宋体" w:cs="宋体"/>
          <w:color w:val="000000"/>
          <w:spacing w:val="-17"/>
          <w:sz w:val="24"/>
          <w:szCs w:val="24"/>
          <w:highlight w:val="none"/>
        </w:rPr>
      </w:pPr>
      <w:r>
        <w:rPr>
          <w:rFonts w:hint="eastAsia" w:ascii="宋体" w:hAnsi="宋体" w:eastAsia="宋体" w:cs="宋体"/>
          <w:color w:val="000000"/>
          <w:sz w:val="24"/>
          <w:szCs w:val="24"/>
          <w:highlight w:val="none"/>
        </w:rPr>
        <w:t>（三）乙方为执行本合同而提供的技术资料使用权归甲方所有。</w:t>
      </w:r>
    </w:p>
    <w:p w14:paraId="48FBBEEE">
      <w:pPr>
        <w:autoSpaceDE w:val="0"/>
        <w:autoSpaceDN w:val="0"/>
        <w:adjustRightInd w:val="0"/>
        <w:snapToGrid w:val="0"/>
        <w:spacing w:line="360" w:lineRule="auto"/>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九</w:t>
      </w:r>
      <w:r>
        <w:rPr>
          <w:rFonts w:hint="eastAsia" w:ascii="宋体" w:hAnsi="宋体" w:eastAsia="宋体" w:cs="宋体"/>
          <w:b/>
          <w:bCs/>
          <w:color w:val="000000"/>
          <w:sz w:val="24"/>
          <w:szCs w:val="24"/>
          <w:highlight w:val="none"/>
        </w:rPr>
        <w:t>、其它事项</w:t>
      </w:r>
    </w:p>
    <w:p w14:paraId="6F5AA070">
      <w:pPr>
        <w:autoSpaceDE w:val="0"/>
        <w:autoSpaceDN w:val="0"/>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（一）乙方不得转让、分包给其它单位或个人。</w:t>
      </w:r>
    </w:p>
    <w:p w14:paraId="7880D252">
      <w:pPr>
        <w:autoSpaceDE w:val="0"/>
        <w:autoSpaceDN w:val="0"/>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（二）乙方的响应文件和承诺等内容将列入合同。</w:t>
      </w:r>
    </w:p>
    <w:p w14:paraId="594A6CD8">
      <w:pPr>
        <w:snapToGri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十、验收</w:t>
      </w:r>
    </w:p>
    <w:p w14:paraId="742CD22C">
      <w:pPr>
        <w:autoSpaceDE w:val="0"/>
        <w:autoSpaceDN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（一）本项目验收费用，由乙方自行承担。</w:t>
      </w:r>
    </w:p>
    <w:p w14:paraId="740E2E38">
      <w:pPr>
        <w:autoSpaceDE w:val="0"/>
        <w:autoSpaceDN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（二）服务期满后，由乙方向甲方递交验收通知书，经甲方确认后，组织乙方进行验收</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验收合格后，填写政府采购项目验收单作为对本次服务的最终认可。</w:t>
      </w:r>
    </w:p>
    <w:p w14:paraId="38C08F9E">
      <w:pPr>
        <w:autoSpaceDE w:val="0"/>
        <w:autoSpaceDN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（三）验收依据：</w:t>
      </w:r>
    </w:p>
    <w:p w14:paraId="25D0F255">
      <w:pPr>
        <w:autoSpaceDE w:val="0"/>
        <w:autoSpaceDN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1、本合同及附加文本；</w:t>
      </w:r>
    </w:p>
    <w:p w14:paraId="20F41847">
      <w:pPr>
        <w:autoSpaceDE w:val="0"/>
        <w:autoSpaceDN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2、</w:t>
      </w:r>
      <w:r>
        <w:rPr>
          <w:rFonts w:hint="eastAsia" w:ascii="宋体" w:hAnsi="宋体" w:cs="宋体"/>
          <w:bCs/>
          <w:sz w:val="24"/>
          <w:szCs w:val="24"/>
          <w:highlight w:val="none"/>
          <w:lang w:val="en-US" w:eastAsia="zh-CN"/>
        </w:rPr>
        <w:t>磋商</w:t>
      </w:r>
      <w:r>
        <w:rPr>
          <w:rFonts w:hint="eastAsia" w:ascii="宋体" w:hAnsi="宋体" w:eastAsia="宋体" w:cs="宋体"/>
          <w:bCs/>
          <w:sz w:val="24"/>
          <w:szCs w:val="24"/>
          <w:highlight w:val="none"/>
        </w:rPr>
        <w:t>文件、</w:t>
      </w:r>
      <w:r>
        <w:rPr>
          <w:rFonts w:hint="eastAsia" w:ascii="宋体" w:hAnsi="宋体" w:eastAsia="宋体" w:cs="宋体"/>
          <w:bCs/>
          <w:sz w:val="24"/>
          <w:szCs w:val="24"/>
          <w:highlight w:val="none"/>
          <w:lang w:val="en-US" w:eastAsia="zh-CN"/>
        </w:rPr>
        <w:t>成交供应商</w:t>
      </w:r>
      <w:r>
        <w:rPr>
          <w:rFonts w:hint="eastAsia" w:ascii="宋体" w:hAnsi="宋体" w:eastAsia="宋体" w:cs="宋体"/>
          <w:bCs/>
          <w:sz w:val="24"/>
          <w:szCs w:val="24"/>
          <w:highlight w:val="none"/>
        </w:rPr>
        <w:t>的</w:t>
      </w:r>
      <w:r>
        <w:rPr>
          <w:rFonts w:hint="eastAsia" w:ascii="宋体" w:hAnsi="宋体" w:eastAsia="宋体" w:cs="宋体"/>
          <w:bCs/>
          <w:sz w:val="24"/>
          <w:szCs w:val="24"/>
          <w:highlight w:val="none"/>
          <w:lang w:val="en-US" w:eastAsia="zh-CN"/>
        </w:rPr>
        <w:t>响应</w:t>
      </w:r>
      <w:r>
        <w:rPr>
          <w:rFonts w:hint="eastAsia" w:ascii="宋体" w:hAnsi="宋体" w:eastAsia="宋体" w:cs="宋体"/>
          <w:bCs/>
          <w:sz w:val="24"/>
          <w:szCs w:val="24"/>
          <w:highlight w:val="none"/>
        </w:rPr>
        <w:t>文件及澄清（承诺）函；</w:t>
      </w:r>
    </w:p>
    <w:p w14:paraId="1193A3A2">
      <w:pPr>
        <w:keepNext w:val="0"/>
        <w:keepLines w:val="0"/>
        <w:pageBreakBefore w:val="0"/>
        <w:kinsoku/>
        <w:wordWrap/>
        <w:overflowPunct/>
        <w:topLinePunct w:val="0"/>
        <w:bidi w:val="0"/>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bCs/>
          <w:sz w:val="24"/>
          <w:szCs w:val="24"/>
          <w:highlight w:val="none"/>
        </w:rPr>
        <w:t>3、国家相应的标准、规范。</w:t>
      </w:r>
    </w:p>
    <w:p w14:paraId="7288491B">
      <w:pPr>
        <w:autoSpaceDE w:val="0"/>
        <w:autoSpaceDN w:val="0"/>
        <w:adjustRightInd w:val="0"/>
        <w:snapToGrid w:val="0"/>
        <w:spacing w:line="360" w:lineRule="auto"/>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十</w:t>
      </w:r>
      <w:r>
        <w:rPr>
          <w:rFonts w:hint="eastAsia" w:ascii="宋体" w:hAnsi="宋体" w:eastAsia="宋体" w:cs="宋体"/>
          <w:b/>
          <w:bCs/>
          <w:color w:val="000000"/>
          <w:sz w:val="24"/>
          <w:szCs w:val="24"/>
          <w:highlight w:val="none"/>
          <w:lang w:val="en-US" w:eastAsia="zh-CN"/>
        </w:rPr>
        <w:t>一</w:t>
      </w:r>
      <w:r>
        <w:rPr>
          <w:rFonts w:hint="eastAsia" w:ascii="宋体" w:hAnsi="宋体" w:eastAsia="宋体" w:cs="宋体"/>
          <w:b/>
          <w:bCs/>
          <w:color w:val="000000"/>
          <w:sz w:val="24"/>
          <w:szCs w:val="24"/>
          <w:highlight w:val="none"/>
        </w:rPr>
        <w:t>、违约责任</w:t>
      </w:r>
    </w:p>
    <w:p w14:paraId="282FBAC5">
      <w:pPr>
        <w:autoSpaceDE w:val="0"/>
        <w:autoSpaceDN w:val="0"/>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（一）按《</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》中的相关条款执行。</w:t>
      </w:r>
    </w:p>
    <w:p w14:paraId="2E1FA644">
      <w:pPr>
        <w:autoSpaceDE w:val="0"/>
        <w:autoSpaceDN w:val="0"/>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（二）未按合同要求提供服务或服务质量不能满足本次采购要求，甲方会同监督机构、采购代理机构有权终止合同和对乙方违约行为进行追究，同时按政府采购法的有关规定进行相应的处罚。</w:t>
      </w:r>
    </w:p>
    <w:p w14:paraId="154018CA">
      <w:pPr>
        <w:autoSpaceDE w:val="0"/>
        <w:autoSpaceDN w:val="0"/>
        <w:adjustRightInd w:val="0"/>
        <w:snapToGrid w:val="0"/>
        <w:spacing w:line="360" w:lineRule="auto"/>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二</w:t>
      </w:r>
      <w:r>
        <w:rPr>
          <w:rFonts w:hint="eastAsia" w:ascii="宋体" w:hAnsi="宋体" w:eastAsia="宋体" w:cs="宋体"/>
          <w:b/>
          <w:bCs/>
          <w:color w:val="000000"/>
          <w:sz w:val="24"/>
          <w:szCs w:val="24"/>
          <w:highlight w:val="none"/>
        </w:rPr>
        <w:t>、合同争议解决的方式</w:t>
      </w:r>
    </w:p>
    <w:p w14:paraId="33173A68">
      <w:pPr>
        <w:autoSpaceDE w:val="0"/>
        <w:autoSpaceDN w:val="0"/>
        <w:adjustRightInd w:val="0"/>
        <w:snapToGrid w:val="0"/>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本合同在履行过程中发生的争议，由甲、乙双方当事人协商解决，协商不成的按下列第</w:t>
      </w:r>
      <w:r>
        <w:rPr>
          <w:rFonts w:hint="eastAsia" w:ascii="宋体" w:hAnsi="宋体" w:eastAsia="宋体" w:cs="宋体"/>
          <w:bCs/>
          <w:color w:val="000000"/>
          <w:sz w:val="24"/>
          <w:szCs w:val="24"/>
          <w:highlight w:val="none"/>
          <w:u w:val="single"/>
        </w:rPr>
        <w:t>（二）</w:t>
      </w:r>
      <w:r>
        <w:rPr>
          <w:rFonts w:hint="eastAsia" w:ascii="宋体" w:hAnsi="宋体" w:eastAsia="宋体" w:cs="宋体"/>
          <w:bCs/>
          <w:color w:val="000000"/>
          <w:sz w:val="24"/>
          <w:szCs w:val="24"/>
          <w:highlight w:val="none"/>
        </w:rPr>
        <w:t>种方式解决：</w:t>
      </w:r>
    </w:p>
    <w:p w14:paraId="16600322">
      <w:pPr>
        <w:autoSpaceDE w:val="0"/>
        <w:autoSpaceDN w:val="0"/>
        <w:adjustRightInd w:val="0"/>
        <w:snapToGrid w:val="0"/>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（一）提交西安仲裁委员会仲裁；</w:t>
      </w:r>
    </w:p>
    <w:p w14:paraId="578D5D5C">
      <w:pPr>
        <w:autoSpaceDE w:val="0"/>
        <w:autoSpaceDN w:val="0"/>
        <w:adjustRightInd w:val="0"/>
        <w:snapToGrid w:val="0"/>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（二）依法向甲方所在地人民法院起诉。</w:t>
      </w:r>
    </w:p>
    <w:p w14:paraId="7C94E684">
      <w:pPr>
        <w:autoSpaceDE w:val="0"/>
        <w:autoSpaceDN w:val="0"/>
        <w:adjustRightInd w:val="0"/>
        <w:snapToGrid w:val="0"/>
        <w:spacing w:line="360" w:lineRule="auto"/>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三</w:t>
      </w:r>
      <w:r>
        <w:rPr>
          <w:rFonts w:hint="eastAsia" w:ascii="宋体" w:hAnsi="宋体" w:eastAsia="宋体" w:cs="宋体"/>
          <w:b/>
          <w:bCs/>
          <w:color w:val="000000"/>
          <w:sz w:val="24"/>
          <w:szCs w:val="24"/>
          <w:highlight w:val="none"/>
        </w:rPr>
        <w:t>、合同生效</w:t>
      </w:r>
    </w:p>
    <w:p w14:paraId="2234CFFE">
      <w:pPr>
        <w:autoSpaceDE w:val="0"/>
        <w:autoSpaceDN w:val="0"/>
        <w:adjustRightInd w:val="0"/>
        <w:snapToGrid w:val="0"/>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（一）本合同须经甲、乙双方的法定代表人（授权代理人）在合同书上签字并加盖本单位公章后正式生效。</w:t>
      </w:r>
    </w:p>
    <w:p w14:paraId="16881300">
      <w:pPr>
        <w:autoSpaceDE w:val="0"/>
        <w:autoSpaceDN w:val="0"/>
        <w:adjustRightInd w:val="0"/>
        <w:snapToGrid w:val="0"/>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eastAsia="zh-CN"/>
        </w:rPr>
        <w:t>二</w:t>
      </w:r>
      <w:r>
        <w:rPr>
          <w:rFonts w:hint="eastAsia" w:ascii="宋体" w:hAnsi="宋体" w:eastAsia="宋体" w:cs="宋体"/>
          <w:bCs/>
          <w:color w:val="000000"/>
          <w:sz w:val="24"/>
          <w:szCs w:val="24"/>
          <w:highlight w:val="none"/>
        </w:rPr>
        <w:t>）合同生效后，甲、乙双方须严格执行本合同条款的规定，全面履行合同，违者按《</w:t>
      </w:r>
      <w:r>
        <w:rPr>
          <w:rFonts w:hint="eastAsia" w:ascii="宋体" w:hAnsi="宋体" w:eastAsia="宋体" w:cs="宋体"/>
          <w:bCs/>
          <w:color w:val="000000"/>
          <w:sz w:val="24"/>
          <w:szCs w:val="24"/>
          <w:highlight w:val="none"/>
          <w:lang w:eastAsia="zh-CN"/>
        </w:rPr>
        <w:t>中华人民共和国民法典</w:t>
      </w:r>
      <w:r>
        <w:rPr>
          <w:rFonts w:hint="eastAsia" w:ascii="宋体" w:hAnsi="宋体" w:eastAsia="宋体" w:cs="宋体"/>
          <w:bCs/>
          <w:color w:val="000000"/>
          <w:sz w:val="24"/>
          <w:szCs w:val="24"/>
          <w:highlight w:val="none"/>
        </w:rPr>
        <w:t>》的有关规定承担相应责任。</w:t>
      </w:r>
    </w:p>
    <w:p w14:paraId="668BB3E4">
      <w:pPr>
        <w:autoSpaceDE w:val="0"/>
        <w:autoSpaceDN w:val="0"/>
        <w:adjustRightInd w:val="0"/>
        <w:snapToGrid w:val="0"/>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eastAsia="zh-CN"/>
        </w:rPr>
        <w:t>三</w:t>
      </w:r>
      <w:r>
        <w:rPr>
          <w:rFonts w:hint="eastAsia" w:ascii="宋体" w:hAnsi="宋体" w:eastAsia="宋体" w:cs="宋体"/>
          <w:bCs/>
          <w:color w:val="000000"/>
          <w:sz w:val="24"/>
          <w:szCs w:val="24"/>
          <w:highlight w:val="none"/>
        </w:rPr>
        <w:t>）本</w:t>
      </w:r>
      <w:bookmarkStart w:id="0" w:name="_GoBack"/>
      <w:bookmarkEnd w:id="0"/>
      <w:r>
        <w:rPr>
          <w:rFonts w:hint="eastAsia" w:ascii="宋体" w:hAnsi="宋体" w:eastAsia="宋体" w:cs="宋体"/>
          <w:bCs/>
          <w:color w:val="000000"/>
          <w:sz w:val="24"/>
          <w:szCs w:val="24"/>
          <w:highlight w:val="none"/>
        </w:rPr>
        <w:t>合同一式</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份，甲乙双方各执</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份。</w:t>
      </w:r>
    </w:p>
    <w:p w14:paraId="5D40C79A">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eastAsia="zh-CN"/>
        </w:rPr>
        <w:t>四</w:t>
      </w:r>
      <w:r>
        <w:rPr>
          <w:rFonts w:hint="eastAsia" w:ascii="宋体" w:hAnsi="宋体" w:eastAsia="宋体" w:cs="宋体"/>
          <w:bCs/>
          <w:color w:val="000000"/>
          <w:sz w:val="24"/>
          <w:szCs w:val="24"/>
          <w:highlight w:val="none"/>
        </w:rPr>
        <w:t>）本合同如有未尽事宜，甲、乙双方协商解决。</w:t>
      </w:r>
    </w:p>
    <w:p w14:paraId="7B526D0E">
      <w:pPr>
        <w:pStyle w:val="5"/>
        <w:spacing w:line="360" w:lineRule="auto"/>
        <w:rPr>
          <w:rFonts w:hint="eastAsia" w:ascii="宋体" w:hAnsi="宋体" w:eastAsia="宋体" w:cs="宋体"/>
          <w:bCs/>
          <w:color w:val="000000"/>
          <w:sz w:val="24"/>
          <w:szCs w:val="24"/>
          <w:highlight w:val="none"/>
        </w:rPr>
      </w:pPr>
    </w:p>
    <w:p w14:paraId="1E651157">
      <w:pPr>
        <w:pStyle w:val="5"/>
        <w:spacing w:line="360" w:lineRule="auto"/>
        <w:rPr>
          <w:rFonts w:hint="eastAsia" w:ascii="宋体" w:hAnsi="宋体" w:eastAsia="宋体" w:cs="宋体"/>
          <w:bCs/>
          <w:color w:val="000000"/>
          <w:sz w:val="24"/>
          <w:szCs w:val="24"/>
          <w:highlight w:val="none"/>
        </w:rPr>
      </w:pPr>
    </w:p>
    <w:tbl>
      <w:tblPr>
        <w:tblStyle w:val="6"/>
        <w:tblW w:w="0" w:type="auto"/>
        <w:jc w:val="center"/>
        <w:tblLayout w:type="fixed"/>
        <w:tblCellMar>
          <w:top w:w="0" w:type="dxa"/>
          <w:left w:w="108" w:type="dxa"/>
          <w:bottom w:w="0" w:type="dxa"/>
          <w:right w:w="108" w:type="dxa"/>
        </w:tblCellMar>
      </w:tblPr>
      <w:tblGrid>
        <w:gridCol w:w="4095"/>
        <w:gridCol w:w="4695"/>
      </w:tblGrid>
      <w:tr w14:paraId="71B14A7D">
        <w:tblPrEx>
          <w:tblCellMar>
            <w:top w:w="0" w:type="dxa"/>
            <w:left w:w="108" w:type="dxa"/>
            <w:bottom w:w="0" w:type="dxa"/>
            <w:right w:w="108" w:type="dxa"/>
          </w:tblCellMar>
        </w:tblPrEx>
        <w:trPr>
          <w:trHeight w:val="567" w:hRule="exact"/>
          <w:jc w:val="center"/>
        </w:trPr>
        <w:tc>
          <w:tcPr>
            <w:tcW w:w="4095" w:type="dxa"/>
            <w:noWrap w:val="0"/>
            <w:vAlign w:val="center"/>
          </w:tcPr>
          <w:p w14:paraId="5A73D552">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甲  方</w:t>
            </w:r>
          </w:p>
        </w:tc>
        <w:tc>
          <w:tcPr>
            <w:tcW w:w="4695" w:type="dxa"/>
            <w:noWrap w:val="0"/>
            <w:vAlign w:val="center"/>
          </w:tcPr>
          <w:p w14:paraId="425B40F5">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乙  方</w:t>
            </w:r>
          </w:p>
        </w:tc>
      </w:tr>
      <w:tr w14:paraId="5BDB94FF">
        <w:tblPrEx>
          <w:tblCellMar>
            <w:top w:w="0" w:type="dxa"/>
            <w:left w:w="108" w:type="dxa"/>
            <w:bottom w:w="0" w:type="dxa"/>
            <w:right w:w="108" w:type="dxa"/>
          </w:tblCellMar>
        </w:tblPrEx>
        <w:trPr>
          <w:trHeight w:val="567" w:hRule="exact"/>
          <w:jc w:val="center"/>
        </w:trPr>
        <w:tc>
          <w:tcPr>
            <w:tcW w:w="4095" w:type="dxa"/>
            <w:noWrap w:val="0"/>
            <w:vAlign w:val="center"/>
          </w:tcPr>
          <w:p w14:paraId="7B91BBB4">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（盖章）</w:t>
            </w:r>
          </w:p>
        </w:tc>
        <w:tc>
          <w:tcPr>
            <w:tcW w:w="4695" w:type="dxa"/>
            <w:noWrap w:val="0"/>
            <w:vAlign w:val="center"/>
          </w:tcPr>
          <w:p w14:paraId="353914D9">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（盖章）</w:t>
            </w:r>
          </w:p>
        </w:tc>
      </w:tr>
      <w:tr w14:paraId="0B96A03F">
        <w:tblPrEx>
          <w:tblCellMar>
            <w:top w:w="0" w:type="dxa"/>
            <w:left w:w="108" w:type="dxa"/>
            <w:bottom w:w="0" w:type="dxa"/>
            <w:right w:w="108" w:type="dxa"/>
          </w:tblCellMar>
        </w:tblPrEx>
        <w:trPr>
          <w:trHeight w:val="567" w:hRule="exact"/>
          <w:jc w:val="center"/>
        </w:trPr>
        <w:tc>
          <w:tcPr>
            <w:tcW w:w="4095" w:type="dxa"/>
            <w:noWrap w:val="0"/>
            <w:vAlign w:val="center"/>
          </w:tcPr>
          <w:p w14:paraId="7AF68615">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 xml:space="preserve">地址： </w:t>
            </w:r>
          </w:p>
        </w:tc>
        <w:tc>
          <w:tcPr>
            <w:tcW w:w="4695" w:type="dxa"/>
            <w:noWrap w:val="0"/>
            <w:vAlign w:val="center"/>
          </w:tcPr>
          <w:p w14:paraId="461044EB">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地址：</w:t>
            </w:r>
          </w:p>
        </w:tc>
      </w:tr>
      <w:tr w14:paraId="52A21441">
        <w:tblPrEx>
          <w:tblCellMar>
            <w:top w:w="0" w:type="dxa"/>
            <w:left w:w="108" w:type="dxa"/>
            <w:bottom w:w="0" w:type="dxa"/>
            <w:right w:w="108" w:type="dxa"/>
          </w:tblCellMar>
        </w:tblPrEx>
        <w:trPr>
          <w:trHeight w:val="567" w:hRule="exact"/>
          <w:jc w:val="center"/>
        </w:trPr>
        <w:tc>
          <w:tcPr>
            <w:tcW w:w="4095" w:type="dxa"/>
            <w:noWrap w:val="0"/>
            <w:vAlign w:val="center"/>
          </w:tcPr>
          <w:p w14:paraId="78929382">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邮编：</w:t>
            </w:r>
          </w:p>
        </w:tc>
        <w:tc>
          <w:tcPr>
            <w:tcW w:w="4695" w:type="dxa"/>
            <w:noWrap w:val="0"/>
            <w:vAlign w:val="center"/>
          </w:tcPr>
          <w:p w14:paraId="2E7F9EA6">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邮编：</w:t>
            </w:r>
          </w:p>
        </w:tc>
      </w:tr>
      <w:tr w14:paraId="08F80046">
        <w:tblPrEx>
          <w:tblCellMar>
            <w:top w:w="0" w:type="dxa"/>
            <w:left w:w="108" w:type="dxa"/>
            <w:bottom w:w="0" w:type="dxa"/>
            <w:right w:w="108" w:type="dxa"/>
          </w:tblCellMar>
        </w:tblPrEx>
        <w:trPr>
          <w:trHeight w:val="567" w:hRule="exact"/>
          <w:jc w:val="center"/>
        </w:trPr>
        <w:tc>
          <w:tcPr>
            <w:tcW w:w="4095" w:type="dxa"/>
            <w:noWrap w:val="0"/>
            <w:vAlign w:val="center"/>
          </w:tcPr>
          <w:p w14:paraId="44457DE3">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 xml:space="preserve">法定代表人： </w:t>
            </w:r>
          </w:p>
        </w:tc>
        <w:tc>
          <w:tcPr>
            <w:tcW w:w="4695" w:type="dxa"/>
            <w:noWrap w:val="0"/>
            <w:vAlign w:val="center"/>
          </w:tcPr>
          <w:p w14:paraId="78EB1B5A">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法定代表人：</w:t>
            </w:r>
          </w:p>
        </w:tc>
      </w:tr>
      <w:tr w14:paraId="2870AD52">
        <w:tblPrEx>
          <w:tblCellMar>
            <w:top w:w="0" w:type="dxa"/>
            <w:left w:w="108" w:type="dxa"/>
            <w:bottom w:w="0" w:type="dxa"/>
            <w:right w:w="108" w:type="dxa"/>
          </w:tblCellMar>
        </w:tblPrEx>
        <w:trPr>
          <w:trHeight w:val="567" w:hRule="exact"/>
          <w:jc w:val="center"/>
        </w:trPr>
        <w:tc>
          <w:tcPr>
            <w:tcW w:w="4095" w:type="dxa"/>
            <w:noWrap w:val="0"/>
            <w:vAlign w:val="center"/>
          </w:tcPr>
          <w:p w14:paraId="15ED6C23">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被授权代表：</w:t>
            </w:r>
          </w:p>
        </w:tc>
        <w:tc>
          <w:tcPr>
            <w:tcW w:w="4695" w:type="dxa"/>
            <w:noWrap w:val="0"/>
            <w:vAlign w:val="center"/>
          </w:tcPr>
          <w:p w14:paraId="2F9239B4">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被授权代表：</w:t>
            </w:r>
          </w:p>
        </w:tc>
      </w:tr>
      <w:tr w14:paraId="0A98B6F3">
        <w:tblPrEx>
          <w:tblCellMar>
            <w:top w:w="0" w:type="dxa"/>
            <w:left w:w="108" w:type="dxa"/>
            <w:bottom w:w="0" w:type="dxa"/>
            <w:right w:w="108" w:type="dxa"/>
          </w:tblCellMar>
        </w:tblPrEx>
        <w:trPr>
          <w:trHeight w:val="567" w:hRule="exact"/>
          <w:jc w:val="center"/>
        </w:trPr>
        <w:tc>
          <w:tcPr>
            <w:tcW w:w="4095" w:type="dxa"/>
            <w:noWrap w:val="0"/>
            <w:vAlign w:val="center"/>
          </w:tcPr>
          <w:p w14:paraId="7D01A4F2">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电话：</w:t>
            </w:r>
          </w:p>
        </w:tc>
        <w:tc>
          <w:tcPr>
            <w:tcW w:w="4695" w:type="dxa"/>
            <w:noWrap w:val="0"/>
            <w:vAlign w:val="center"/>
          </w:tcPr>
          <w:p w14:paraId="6CB1EDEE">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电话：</w:t>
            </w:r>
          </w:p>
        </w:tc>
      </w:tr>
      <w:tr w14:paraId="0BB1422E">
        <w:tblPrEx>
          <w:tblCellMar>
            <w:top w:w="0" w:type="dxa"/>
            <w:left w:w="108" w:type="dxa"/>
            <w:bottom w:w="0" w:type="dxa"/>
            <w:right w:w="108" w:type="dxa"/>
          </w:tblCellMar>
        </w:tblPrEx>
        <w:trPr>
          <w:trHeight w:val="567" w:hRule="exact"/>
          <w:jc w:val="center"/>
        </w:trPr>
        <w:tc>
          <w:tcPr>
            <w:tcW w:w="4095" w:type="dxa"/>
            <w:noWrap w:val="0"/>
            <w:vAlign w:val="center"/>
          </w:tcPr>
          <w:p w14:paraId="5C35C93A">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传真：</w:t>
            </w:r>
          </w:p>
        </w:tc>
        <w:tc>
          <w:tcPr>
            <w:tcW w:w="4695" w:type="dxa"/>
            <w:noWrap w:val="0"/>
            <w:vAlign w:val="center"/>
          </w:tcPr>
          <w:p w14:paraId="56B4955A">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传真：</w:t>
            </w:r>
          </w:p>
        </w:tc>
      </w:tr>
      <w:tr w14:paraId="642749B2">
        <w:tblPrEx>
          <w:tblCellMar>
            <w:top w:w="0" w:type="dxa"/>
            <w:left w:w="108" w:type="dxa"/>
            <w:bottom w:w="0" w:type="dxa"/>
            <w:right w:w="108" w:type="dxa"/>
          </w:tblCellMar>
        </w:tblPrEx>
        <w:trPr>
          <w:trHeight w:val="567" w:hRule="exact"/>
          <w:jc w:val="center"/>
        </w:trPr>
        <w:tc>
          <w:tcPr>
            <w:tcW w:w="4095" w:type="dxa"/>
            <w:noWrap w:val="0"/>
            <w:vAlign w:val="center"/>
          </w:tcPr>
          <w:p w14:paraId="127334C4">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开户银行：</w:t>
            </w:r>
          </w:p>
        </w:tc>
        <w:tc>
          <w:tcPr>
            <w:tcW w:w="4695" w:type="dxa"/>
            <w:noWrap w:val="0"/>
            <w:vAlign w:val="center"/>
          </w:tcPr>
          <w:p w14:paraId="01A41874">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开户银行：</w:t>
            </w:r>
          </w:p>
        </w:tc>
      </w:tr>
      <w:tr w14:paraId="76FF4123">
        <w:tblPrEx>
          <w:tblCellMar>
            <w:top w:w="0" w:type="dxa"/>
            <w:left w:w="108" w:type="dxa"/>
            <w:bottom w:w="0" w:type="dxa"/>
            <w:right w:w="108" w:type="dxa"/>
          </w:tblCellMar>
        </w:tblPrEx>
        <w:trPr>
          <w:trHeight w:val="567" w:hRule="exact"/>
          <w:jc w:val="center"/>
        </w:trPr>
        <w:tc>
          <w:tcPr>
            <w:tcW w:w="4095" w:type="dxa"/>
            <w:noWrap w:val="0"/>
            <w:vAlign w:val="center"/>
          </w:tcPr>
          <w:p w14:paraId="3727E77F">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日期：</w:t>
            </w:r>
          </w:p>
        </w:tc>
        <w:tc>
          <w:tcPr>
            <w:tcW w:w="4695" w:type="dxa"/>
            <w:noWrap w:val="0"/>
            <w:vAlign w:val="center"/>
          </w:tcPr>
          <w:p w14:paraId="370AA379">
            <w:pPr>
              <w:spacing w:line="360" w:lineRule="auto"/>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日期：</w:t>
            </w:r>
          </w:p>
        </w:tc>
      </w:tr>
    </w:tbl>
    <w:p w14:paraId="1787C870">
      <w:pPr>
        <w:pStyle w:val="5"/>
        <w:numPr>
          <w:ilvl w:val="0"/>
          <w:numId w:val="0"/>
        </w:numPr>
        <w:rPr>
          <w:rFonts w:hint="eastAsia"/>
          <w:highlight w:val="none"/>
        </w:rPr>
      </w:pPr>
    </w:p>
    <w:p w14:paraId="14EB331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4YmZmM2I5MWU5OTJjNTMyZGFhYTM4MjM2NTE4MzQifQ=="/>
    <w:docVar w:name="KSO_WPS_MARK_KEY" w:val="e3b8ad56-d2f7-4e8d-b27a-7b6f6861edc7"/>
  </w:docVars>
  <w:rsids>
    <w:rsidRoot w:val="3035059C"/>
    <w:rsid w:val="131F18BF"/>
    <w:rsid w:val="1E9442FD"/>
    <w:rsid w:val="20B77020"/>
    <w:rsid w:val="2F912BC0"/>
    <w:rsid w:val="3035059C"/>
    <w:rsid w:val="52CE665E"/>
    <w:rsid w:val="5E672635"/>
    <w:rsid w:val="61665188"/>
    <w:rsid w:val="78D22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Lines="0" w:afterLines="0" w:line="360" w:lineRule="auto"/>
      <w:jc w:val="center"/>
      <w:outlineLvl w:val="0"/>
    </w:pPr>
    <w:rPr>
      <w:rFonts w:ascii="Times New Roman" w:hAnsi="Times New Roman"/>
      <w:b/>
      <w:bCs/>
      <w:kern w:val="44"/>
      <w:sz w:val="32"/>
      <w:szCs w:val="44"/>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footer"/>
    <w:basedOn w:val="1"/>
    <w:next w:val="4"/>
    <w:qFormat/>
    <w:uiPriority w:val="99"/>
    <w:pPr>
      <w:tabs>
        <w:tab w:val="center" w:pos="4153"/>
        <w:tab w:val="right" w:pos="8306"/>
      </w:tabs>
      <w:snapToGrid w:val="0"/>
      <w:jc w:val="left"/>
    </w:pPr>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2286</Words>
  <Characters>2308</Characters>
  <Lines>0</Lines>
  <Paragraphs>0</Paragraphs>
  <TotalTime>2</TotalTime>
  <ScaleCrop>false</ScaleCrop>
  <LinksUpToDate>false</LinksUpToDate>
  <CharactersWithSpaces>2366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2024-07-24T11:44:00Z</dcterms:created>
  <dc:creator> </dc:creator>
  <cp:lastModifiedBy>孑</cp:lastModifiedBy>
  <dcterms:modified xsi:type="dcterms:W3CDTF">2026-07-01T07:32:40Z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A95762B514CC480CA18705748A32DF3E_11</vt:lpwstr>
  </property>
  <property fmtid="{D5CDD505-2E9C-101B-9397-08002B2CF9AE}" pid="4" name="KSOTemplateDocerSaveRecord">
    <vt:lpwstr>eyJoZGlkIjoiMjA0NGM3N2I5MzVlNzk1ZDY4ZTY5NGI4YzYzMTU1YWIiLCJ1c2VySWQiOiIxMDY3NTg0NTk5In0=</vt:lpwstr>
  </property>
</Properties>
</file>