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6D0167">
      <w:pPr>
        <w:pStyle w:val="5"/>
        <w:spacing w:line="360" w:lineRule="auto"/>
        <w:jc w:val="center"/>
        <w:outlineLvl w:val="0"/>
      </w:pPr>
      <w:r>
        <w:rPr>
          <w:rFonts w:ascii="宋体" w:hAnsi="宋体" w:eastAsia="宋体" w:cs="宋体"/>
          <w:b/>
          <w:sz w:val="44"/>
        </w:rPr>
        <w:t>服务内容及要求</w:t>
      </w:r>
    </w:p>
    <w:p w14:paraId="4ED07FC8">
      <w:pPr>
        <w:pStyle w:val="5"/>
        <w:spacing w:line="360" w:lineRule="auto"/>
        <w:ind w:firstLine="480"/>
        <w:jc w:val="both"/>
      </w:pPr>
      <w:r>
        <w:rPr>
          <w:rFonts w:ascii="宋体" w:hAnsi="宋体" w:eastAsia="宋体" w:cs="宋体"/>
          <w:sz w:val="24"/>
        </w:rPr>
        <w:t>临潼区农产品质量安全种植业定量检测及标准化项目，根据《农产品质量安全法》《农产品质量安全监测管理办法》规定，我区组织对全区主要种植业产品开展农产品农药残留定量检测，为确保高质量完成全年监测任务。为了掌握农产品质量安全状况和开展农产品质量安全风险评估，系统和持续地对影响农产品质量安全的有害因素进行检验、分析和评价的活动。</w:t>
      </w:r>
    </w:p>
    <w:p w14:paraId="70A2492F">
      <w:pPr>
        <w:pStyle w:val="5"/>
        <w:spacing w:line="360" w:lineRule="auto"/>
        <w:ind w:firstLine="480"/>
        <w:jc w:val="both"/>
      </w:pPr>
      <w:r>
        <w:rPr>
          <w:rFonts w:hint="eastAsia" w:ascii="宋体" w:hAnsi="宋体" w:eastAsia="宋体" w:cs="宋体"/>
          <w:sz w:val="24"/>
          <w:lang w:val="en-US" w:eastAsia="zh-CN"/>
        </w:rPr>
        <w:t>一</w:t>
      </w:r>
      <w:r>
        <w:rPr>
          <w:rFonts w:ascii="宋体" w:hAnsi="宋体" w:eastAsia="宋体" w:cs="宋体"/>
          <w:sz w:val="24"/>
        </w:rPr>
        <w:t>、工作范围</w:t>
      </w:r>
    </w:p>
    <w:p w14:paraId="3C9F218D">
      <w:pPr>
        <w:pStyle w:val="5"/>
        <w:spacing w:line="360" w:lineRule="auto"/>
        <w:ind w:firstLine="480"/>
        <w:jc w:val="both"/>
      </w:pPr>
      <w:r>
        <w:rPr>
          <w:rFonts w:ascii="宋体" w:hAnsi="宋体" w:eastAsia="宋体" w:cs="宋体"/>
          <w:sz w:val="24"/>
        </w:rPr>
        <w:t>（一）区域范围、数量及分包情况</w:t>
      </w:r>
    </w:p>
    <w:p w14:paraId="72DDB59D">
      <w:pPr>
        <w:pStyle w:val="5"/>
        <w:spacing w:line="360" w:lineRule="auto"/>
        <w:ind w:firstLine="480"/>
        <w:jc w:val="both"/>
      </w:pPr>
      <w:r>
        <w:rPr>
          <w:rFonts w:hint="eastAsia" w:ascii="宋体" w:hAnsi="宋体" w:eastAsia="宋体" w:cs="宋体"/>
          <w:sz w:val="24"/>
        </w:rPr>
        <w:t>西安市临潼区辖区内农产品生产基地(种植基地、散户、农民专业合作社和家庭农场等)生产的蔬菜、水果和食用菌，共抽检625批次农产品样品</w:t>
      </w:r>
      <w:r>
        <w:rPr>
          <w:rFonts w:ascii="宋体" w:hAnsi="宋体" w:eastAsia="宋体" w:cs="宋体"/>
          <w:sz w:val="24"/>
        </w:rPr>
        <w:t>。</w:t>
      </w:r>
    </w:p>
    <w:p w14:paraId="2478C551">
      <w:pPr>
        <w:pStyle w:val="5"/>
        <w:spacing w:line="360" w:lineRule="auto"/>
        <w:ind w:firstLine="480"/>
        <w:jc w:val="both"/>
        <w:rPr>
          <w:rFonts w:hint="eastAsia" w:ascii="宋体" w:hAnsi="宋体" w:eastAsia="宋体" w:cs="宋体"/>
          <w:sz w:val="24"/>
          <w:lang w:val="en-US" w:eastAsia="zh-CN"/>
        </w:rPr>
      </w:pPr>
      <w:r>
        <w:rPr>
          <w:rFonts w:ascii="宋体" w:hAnsi="宋体" w:eastAsia="宋体" w:cs="宋体"/>
          <w:sz w:val="24"/>
        </w:rPr>
        <w:t>（二）产品</w:t>
      </w:r>
      <w:r>
        <w:rPr>
          <w:rFonts w:hint="eastAsia" w:ascii="宋体" w:hAnsi="宋体" w:eastAsia="宋体" w:cs="宋体"/>
          <w:sz w:val="24"/>
          <w:lang w:val="en-US" w:eastAsia="zh-CN"/>
        </w:rPr>
        <w:t>种类</w:t>
      </w:r>
    </w:p>
    <w:p w14:paraId="6C2A485A">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蔬菜。依据农产品目录清单，重点监测豇豆、芹菜、韭菜、辣椒、甘薯、大葱、菠菜、叶用莴苣、芫荽、茼蒿、普通白菜、大白菜、蕹菜、花椰菜、甘蓝、青花菜、菜薹、黄瓜、苦瓜、丝瓜、西葫芦、番茄、茄子、菜豆、食荚豌豆、蚕豆、扁豆、细香葱、洋葱、大蒜、莲藕、茭白、萝卜、胡萝卜、马铃薯、山药、生姜、黄花菜、芦笋、香椿、南瓜、冬瓜、蒜苗、芋、芥菜、茎用莴苣等品种。</w:t>
      </w:r>
    </w:p>
    <w:p w14:paraId="783D8433">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2.水果。重点监测苹果、猕猴桃、葡萄、草莓、樱桃、石榴、甜瓜、柿子、西瓜、梨、桃、杏等品种。</w:t>
      </w:r>
    </w:p>
    <w:p w14:paraId="79063DF9">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3.食用菌。重点监测香菇、平菇、双孢蘑菇、金针菇、秀珍菇、黑木耳（含毛木耳）、银耳、茶树菇、杏鲍菇、草菇等品种，均为鲜品。</w:t>
      </w:r>
    </w:p>
    <w:p w14:paraId="7B143F9F">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二、抽样及检测要求</w:t>
      </w:r>
    </w:p>
    <w:p w14:paraId="6F414ED9">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（一）抽样要求</w:t>
      </w:r>
    </w:p>
    <w:p w14:paraId="4DE395BF">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应有满足农产品抽样的专用车辆和不少于2个的专业抽样人员，严格按照NY/T 789-2004《农药残留分析样本的采样方法》执行，确保当天完成抽样并到达实验室，抽样时应采集现场影像等信息并记录，并有能力保障样品在储存、运输过程有效防护，样品确保可追溯。</w:t>
      </w:r>
    </w:p>
    <w:p w14:paraId="6AA36EE1">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（二）检测参数、方法及判定依据</w:t>
      </w:r>
    </w:p>
    <w:p w14:paraId="3DBF8E7E">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检测参数和检测方法严格“表1蔬菜、食用菌、水果应检参数及判定依据”要求进行，每批次共检测71种农药参数，选择对应合适的检测方法。</w:t>
      </w:r>
    </w:p>
    <w:p w14:paraId="23FE403B">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三、结果报告</w:t>
      </w:r>
    </w:p>
    <w:p w14:paraId="7454B8A9">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要严格按照规定的检测方法，统一判定原则，检测过程要做试剂空白和加标回收，对监测不合格样品要做确认试验。所有结果均出具纸质版报告，其中未检出的需注明检出限/定量限，检出的需注明具体数值，超标样品进行复检，提供完整的原始记录、确证图谱、溯源情况等信息。</w:t>
      </w:r>
    </w:p>
    <w:p w14:paraId="1F98E0B0">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四、原始记录</w:t>
      </w:r>
    </w:p>
    <w:p w14:paraId="7839E55F">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应具备确保原始记录合理保存的环境条件和场所，所有相关记录应保存至少6年以上，以备随时查验。不得弄虚作假、出具不实虚假报告。</w:t>
      </w:r>
    </w:p>
    <w:p w14:paraId="0E1C9DC7">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五、验收总结</w:t>
      </w:r>
    </w:p>
    <w:p w14:paraId="55142527">
      <w:pPr>
        <w:pStyle w:val="5"/>
        <w:spacing w:line="360" w:lineRule="auto"/>
        <w:ind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项目实施过程中，提供阶段性和整体的检测结果风险分析报告以及检测报告纸质版和电子版（其中包括实施方案、产品结果汇总分析、存在问题及建议等）。</w:t>
      </w:r>
    </w:p>
    <w:p w14:paraId="7052038E">
      <w:pPr>
        <w:rPr>
          <w:rFonts w:hint="eastAsia" w:ascii="宋体" w:hAnsi="宋体" w:eastAsia="宋体" w:cs="宋体"/>
          <w:sz w:val="24"/>
          <w:lang w:val="en-US" w:eastAsia="zh-CN"/>
        </w:rPr>
      </w:pPr>
      <w:r>
        <w:rPr>
          <w:rFonts w:hint="eastAsia" w:ascii="宋体" w:hAnsi="宋体" w:eastAsia="宋体" w:cs="宋体"/>
          <w:sz w:val="24"/>
          <w:lang w:val="en-US" w:eastAsia="zh-CN"/>
        </w:rPr>
        <w:br w:type="page"/>
      </w:r>
    </w:p>
    <w:p w14:paraId="17BD8716">
      <w:pPr>
        <w:pStyle w:val="5"/>
        <w:spacing w:line="360" w:lineRule="auto"/>
        <w:ind w:firstLine="480"/>
        <w:jc w:val="both"/>
        <w:rPr>
          <w:rFonts w:hint="default" w:ascii="宋体" w:hAnsi="宋体" w:eastAsia="宋体" w:cs="宋体"/>
          <w:sz w:val="24"/>
          <w:lang w:val="en-US" w:eastAsia="zh-CN"/>
        </w:rPr>
      </w:pPr>
      <w:bookmarkStart w:id="0" w:name="_GoBack"/>
      <w:bookmarkEnd w:id="0"/>
    </w:p>
    <w:p w14:paraId="2E68FEC4">
      <w:pPr>
        <w:numPr>
          <w:ilvl w:val="0"/>
          <w:numId w:val="0"/>
        </w:numPr>
        <w:snapToGrid w:val="0"/>
        <w:spacing w:line="360" w:lineRule="auto"/>
        <w:jc w:val="center"/>
        <w:rPr>
          <w:rFonts w:hint="eastAsia" w:ascii="仿宋_GB2312" w:hAnsi="仿宋_GB2312" w:eastAsia="仿宋_GB2312" w:cs="仿宋_GB2312"/>
          <w:b/>
          <w:bCs/>
          <w:sz w:val="28"/>
          <w:szCs w:val="28"/>
          <w:lang w:val="en-US" w:eastAsia="zh-CN"/>
        </w:rPr>
      </w:pPr>
      <w:r>
        <w:rPr>
          <w:rFonts w:hint="eastAsia" w:ascii="仿宋_GB2312" w:hAnsi="仿宋_GB2312" w:eastAsia="仿宋_GB2312" w:cs="仿宋_GB2312"/>
          <w:b/>
          <w:bCs/>
          <w:sz w:val="28"/>
          <w:szCs w:val="28"/>
          <w:lang w:val="en-US" w:eastAsia="zh-CN"/>
        </w:rPr>
        <w:t>蔬菜、食用菌、水果应检参数及判定依据</w:t>
      </w:r>
    </w:p>
    <w:tbl>
      <w:tblPr>
        <w:tblStyle w:val="3"/>
        <w:tblW w:w="8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4"/>
        <w:gridCol w:w="4860"/>
        <w:gridCol w:w="2550"/>
      </w:tblGrid>
      <w:tr w14:paraId="0AFD1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1264" w:type="dxa"/>
            <w:vAlign w:val="center"/>
          </w:tcPr>
          <w:p w14:paraId="5739EE9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农药类别</w:t>
            </w:r>
          </w:p>
        </w:tc>
        <w:tc>
          <w:tcPr>
            <w:tcW w:w="4860" w:type="dxa"/>
            <w:vAlign w:val="center"/>
          </w:tcPr>
          <w:p w14:paraId="53335C1C">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监测参数</w:t>
            </w:r>
          </w:p>
        </w:tc>
        <w:tc>
          <w:tcPr>
            <w:tcW w:w="2550" w:type="dxa"/>
            <w:vAlign w:val="center"/>
          </w:tcPr>
          <w:p w14:paraId="0935A078">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检测方法</w:t>
            </w:r>
          </w:p>
        </w:tc>
      </w:tr>
      <w:tr w14:paraId="4CCC5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trPr>
        <w:tc>
          <w:tcPr>
            <w:tcW w:w="1264" w:type="dxa"/>
            <w:vAlign w:val="center"/>
          </w:tcPr>
          <w:p w14:paraId="32798544">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禁用农药</w:t>
            </w:r>
            <w:r>
              <w:rPr>
                <w:rFonts w:hint="eastAsia" w:ascii="宋体" w:hAnsi="宋体" w:cs="宋体"/>
                <w:sz w:val="24"/>
                <w:szCs w:val="24"/>
                <w:vertAlign w:val="baseline"/>
                <w:lang w:val="en-US" w:eastAsia="zh-CN"/>
              </w:rPr>
              <w:t>（12种）</w:t>
            </w:r>
          </w:p>
        </w:tc>
        <w:tc>
          <w:tcPr>
            <w:tcW w:w="4860" w:type="dxa"/>
            <w:vAlign w:val="center"/>
          </w:tcPr>
          <w:p w14:paraId="175803EE">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甲胺磷、对硫磷、甲基对硫磷、六六六、三氯杀螨醇、甲拌磷、水胺硫磷、甲基异柳磷；氧乐果、克百威（包括3-羟基克百威）、涕灭威（包括涕灭威砜和涕灭威亚砜）、灭多威（2026年6月1日起禁止使用）</w:t>
            </w:r>
          </w:p>
        </w:tc>
        <w:tc>
          <w:tcPr>
            <w:tcW w:w="2550" w:type="dxa"/>
            <w:vMerge w:val="restart"/>
            <w:vAlign w:val="center"/>
          </w:tcPr>
          <w:p w14:paraId="26AF0E7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baseline"/>
              <w:rPr>
                <w:rFonts w:hint="eastAsia" w:ascii="宋体" w:hAnsi="宋体" w:eastAsia="宋体" w:cs="宋体"/>
                <w:b w:val="0"/>
                <w:bCs w:val="0"/>
                <w:color w:val="auto"/>
                <w:kern w:val="0"/>
                <w:sz w:val="24"/>
                <w:szCs w:val="24"/>
              </w:rPr>
            </w:pPr>
            <w:r>
              <w:rPr>
                <w:rFonts w:hint="eastAsia" w:ascii="宋体" w:hAnsi="宋体" w:eastAsia="宋体" w:cs="宋体"/>
                <w:b w:val="0"/>
                <w:bCs w:val="0"/>
                <w:color w:val="auto"/>
                <w:kern w:val="0"/>
                <w:sz w:val="24"/>
                <w:szCs w:val="24"/>
              </w:rPr>
              <w:t>按GB/T 20769-2008或GB 23200.113-2026或GB 23200.121-2026或GB 23200.8-2016或NY/T761-2008 进行检测</w:t>
            </w:r>
          </w:p>
        </w:tc>
      </w:tr>
      <w:tr w14:paraId="5438D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Align w:val="center"/>
          </w:tcPr>
          <w:p w14:paraId="14ADE84E">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限用农药</w:t>
            </w:r>
            <w:r>
              <w:rPr>
                <w:rFonts w:hint="eastAsia" w:ascii="宋体" w:hAnsi="宋体" w:cs="宋体"/>
                <w:sz w:val="24"/>
                <w:szCs w:val="24"/>
                <w:vertAlign w:val="baseline"/>
                <w:lang w:val="en-US" w:eastAsia="zh-CN"/>
              </w:rPr>
              <w:t>（8种）</w:t>
            </w:r>
          </w:p>
        </w:tc>
        <w:tc>
          <w:tcPr>
            <w:tcW w:w="4860" w:type="dxa"/>
            <w:vAlign w:val="center"/>
          </w:tcPr>
          <w:p w14:paraId="51027073">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氟虫腈（包括氟甲腈、氟虫腈硫醚、氟虫腈砜）、毒死蜱、三唑磷、乐果、乙酰甲胺磷、硫环磷、氯唑磷、内吸磷</w:t>
            </w:r>
          </w:p>
        </w:tc>
        <w:tc>
          <w:tcPr>
            <w:tcW w:w="2550" w:type="dxa"/>
            <w:vMerge w:val="continue"/>
            <w:vAlign w:val="center"/>
          </w:tcPr>
          <w:p w14:paraId="709090FC">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baseline"/>
              <w:rPr>
                <w:rFonts w:hint="eastAsia" w:ascii="宋体" w:hAnsi="宋体" w:eastAsia="宋体" w:cs="宋体"/>
                <w:b w:val="0"/>
                <w:bCs w:val="0"/>
                <w:color w:val="auto"/>
                <w:kern w:val="0"/>
                <w:sz w:val="24"/>
                <w:szCs w:val="24"/>
              </w:rPr>
            </w:pPr>
          </w:p>
        </w:tc>
      </w:tr>
      <w:tr w14:paraId="589AED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Align w:val="center"/>
          </w:tcPr>
          <w:p w14:paraId="475019B0">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常规农药</w:t>
            </w:r>
            <w:r>
              <w:rPr>
                <w:rFonts w:hint="eastAsia" w:ascii="宋体" w:hAnsi="宋体" w:cs="宋体"/>
                <w:sz w:val="24"/>
                <w:szCs w:val="24"/>
                <w:vertAlign w:val="baseline"/>
                <w:lang w:val="en-US" w:eastAsia="zh-CN"/>
              </w:rPr>
              <w:t>（51种）</w:t>
            </w:r>
          </w:p>
        </w:tc>
        <w:tc>
          <w:tcPr>
            <w:tcW w:w="4860" w:type="dxa"/>
            <w:vAlign w:val="center"/>
          </w:tcPr>
          <w:p w14:paraId="44845158">
            <w:pPr>
              <w:keepNext w:val="0"/>
              <w:keepLines w:val="0"/>
              <w:pageBreakBefore w:val="0"/>
              <w:widowControl w:val="0"/>
              <w:kinsoku/>
              <w:wordWrap/>
              <w:overflowPunct/>
              <w:topLinePunct w:val="0"/>
              <w:autoSpaceDE/>
              <w:autoSpaceDN/>
              <w:bidi w:val="0"/>
              <w:adjustRightInd/>
              <w:snapToGrid/>
              <w:spacing w:line="480" w:lineRule="exact"/>
              <w:jc w:val="left"/>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敌敌畏、杀螟硫磷、丙溴磷、马拉硫磷、亚胺硫磷、倍硫磷、辛硫磷、氯氰菊酯、氰戊菊酯、溴氰菊酯、甲氰菊酯、联苯菊酯、氟氯氰菊酯、氟氰戊菊酯、吡虫脲、噻苯隆、除虫脲、灭幼脲、吡虫啉、啶虫脒、哒螨灵、阿维菌素、甲氨基阿维菌素苯甲酸盐、虫螨腈、噻虫嗪、氟啶脲、异菌脲、五氯硝基苯、三唑酮、百菌清、腐霉利、乙烯菌核利、多菌灵、苯醚甲环唑、嘧霉胺、烯酰吗啉、咪鲜胺、嘧菌酯、二甲戊灵、灭蝇胺、甲霜灵、霜霉威、乙基多杀菌素、氯虫苯甲酰胺、氟菊酯（异构体之和）、醚菊酯、虫酰肼、吡唑醚菌酯、戊唑醇、抑霉唑、噻虫胺</w:t>
            </w:r>
          </w:p>
        </w:tc>
        <w:tc>
          <w:tcPr>
            <w:tcW w:w="2550" w:type="dxa"/>
            <w:vMerge w:val="continue"/>
            <w:vAlign w:val="center"/>
          </w:tcPr>
          <w:p w14:paraId="2FADCE7E">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baseline"/>
              <w:rPr>
                <w:rFonts w:hint="eastAsia" w:ascii="宋体" w:hAnsi="宋体" w:eastAsia="宋体" w:cs="宋体"/>
                <w:sz w:val="24"/>
                <w:szCs w:val="24"/>
                <w:lang w:val="en-US" w:eastAsia="zh-CN"/>
              </w:rPr>
            </w:pPr>
          </w:p>
        </w:tc>
      </w:tr>
      <w:tr w14:paraId="5856F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4" w:type="dxa"/>
            <w:vAlign w:val="center"/>
          </w:tcPr>
          <w:p w14:paraId="7CD12DD0">
            <w:pPr>
              <w:keepNext w:val="0"/>
              <w:keepLines w:val="0"/>
              <w:pageBreakBefore w:val="0"/>
              <w:widowControl w:val="0"/>
              <w:numPr>
                <w:ilvl w:val="0"/>
                <w:numId w:val="0"/>
              </w:numPr>
              <w:kinsoku/>
              <w:wordWrap/>
              <w:overflowPunct/>
              <w:topLinePunct w:val="0"/>
              <w:autoSpaceDE/>
              <w:autoSpaceDN/>
              <w:bidi w:val="0"/>
              <w:adjustRightInd/>
              <w:snapToGrid/>
              <w:spacing w:line="480" w:lineRule="exact"/>
              <w:jc w:val="left"/>
              <w:rPr>
                <w:rFonts w:hint="eastAsia" w:ascii="宋体" w:hAnsi="宋体" w:eastAsia="宋体" w:cs="宋体"/>
                <w:sz w:val="24"/>
                <w:szCs w:val="24"/>
                <w:vertAlign w:val="baseline"/>
                <w:lang w:val="en-US" w:eastAsia="zh-CN"/>
              </w:rPr>
            </w:pPr>
            <w:r>
              <w:rPr>
                <w:rFonts w:hint="eastAsia" w:ascii="宋体" w:hAnsi="宋体" w:cs="宋体"/>
                <w:sz w:val="24"/>
                <w:szCs w:val="24"/>
                <w:vertAlign w:val="baseline"/>
                <w:lang w:val="en-US" w:eastAsia="zh-CN"/>
              </w:rPr>
              <w:t>判定依据</w:t>
            </w:r>
          </w:p>
        </w:tc>
        <w:tc>
          <w:tcPr>
            <w:tcW w:w="7410" w:type="dxa"/>
            <w:gridSpan w:val="2"/>
            <w:vAlign w:val="center"/>
          </w:tcPr>
          <w:p w14:paraId="58B09740">
            <w:pPr>
              <w:keepNext w:val="0"/>
              <w:keepLines w:val="0"/>
              <w:widowControl w:val="0"/>
              <w:suppressLineNumbers w:val="0"/>
              <w:spacing w:before="0" w:beforeAutospacing="0" w:after="0" w:afterAutospacing="0"/>
              <w:ind w:left="0" w:right="0"/>
              <w:jc w:val="both"/>
              <w:rPr>
                <w:rFonts w:hint="eastAsia" w:ascii="宋体" w:hAnsi="宋体" w:eastAsia="宋体" w:cs="宋体"/>
                <w:sz w:val="24"/>
                <w:szCs w:val="24"/>
                <w:lang w:val="en-US" w:eastAsia="zh-CN"/>
              </w:rPr>
            </w:pPr>
            <w:r>
              <w:rPr>
                <w:rFonts w:hint="eastAsia" w:ascii="宋体" w:hAnsi="宋体" w:eastAsia="宋体" w:cs="宋体"/>
                <w:kern w:val="2"/>
                <w:sz w:val="24"/>
                <w:szCs w:val="24"/>
                <w:lang w:val="en-US" w:eastAsia="zh-CN" w:bidi="ar"/>
              </w:rPr>
              <w:t>种植业产品中的农药残留按《食品安全国家标准食品中农药最大残留限量》（GB 2763-2026）和例行监测要求的判定值进行判定，有一项指标不合格的，即判定为不合格。</w:t>
            </w:r>
          </w:p>
        </w:tc>
      </w:tr>
    </w:tbl>
    <w:p w14:paraId="7FC3C3E5">
      <w:pPr>
        <w:rPr>
          <w:rFonts w:ascii="宋体" w:hAnsi="宋体" w:eastAsia="宋体" w:cs="宋体"/>
          <w:b/>
          <w:sz w:val="44"/>
        </w:rPr>
      </w:pPr>
      <w:r>
        <w:rPr>
          <w:rFonts w:ascii="宋体" w:hAnsi="宋体" w:eastAsia="宋体" w:cs="宋体"/>
          <w:b/>
          <w:sz w:val="44"/>
        </w:rPr>
        <w:br w:type="page"/>
      </w:r>
    </w:p>
    <w:p w14:paraId="0DC3F6B7">
      <w:pPr>
        <w:pStyle w:val="5"/>
        <w:spacing w:line="360" w:lineRule="auto"/>
        <w:jc w:val="both"/>
        <w:outlineLvl w:val="0"/>
      </w:pPr>
      <w:r>
        <w:rPr>
          <w:rFonts w:ascii="宋体" w:hAnsi="宋体" w:eastAsia="宋体" w:cs="宋体"/>
          <w:b/>
          <w:sz w:val="44"/>
        </w:rPr>
        <w:t>商务要求</w:t>
      </w:r>
    </w:p>
    <w:p w14:paraId="362827C0">
      <w:pPr>
        <w:pStyle w:val="5"/>
        <w:spacing w:line="360" w:lineRule="auto"/>
        <w:ind w:firstLine="480"/>
        <w:jc w:val="both"/>
      </w:pPr>
      <w:r>
        <w:rPr>
          <w:rFonts w:ascii="宋体" w:hAnsi="宋体" w:eastAsia="宋体" w:cs="宋体"/>
          <w:sz w:val="24"/>
        </w:rPr>
        <w:t>一、服务期限及地点：</w:t>
      </w:r>
    </w:p>
    <w:p w14:paraId="65B3518F">
      <w:pPr>
        <w:pStyle w:val="5"/>
        <w:spacing w:line="360" w:lineRule="auto"/>
        <w:ind w:left="-60" w:firstLine="720"/>
        <w:jc w:val="both"/>
      </w:pPr>
      <w:r>
        <w:rPr>
          <w:rFonts w:ascii="宋体" w:hAnsi="宋体" w:eastAsia="宋体" w:cs="宋体"/>
          <w:sz w:val="24"/>
        </w:rPr>
        <w:t>1、服务期限：自合同签订之日起一年。</w:t>
      </w:r>
    </w:p>
    <w:p w14:paraId="0755632F">
      <w:pPr>
        <w:pStyle w:val="5"/>
        <w:spacing w:line="360" w:lineRule="auto"/>
        <w:ind w:left="-60" w:firstLine="720"/>
        <w:jc w:val="both"/>
      </w:pPr>
      <w:r>
        <w:rPr>
          <w:rFonts w:ascii="宋体" w:hAnsi="宋体" w:eastAsia="宋体" w:cs="宋体"/>
          <w:sz w:val="24"/>
        </w:rPr>
        <w:t>2、服务地点：临潼区</w:t>
      </w:r>
    </w:p>
    <w:p w14:paraId="147139F2">
      <w:pPr>
        <w:pStyle w:val="5"/>
        <w:spacing w:line="360" w:lineRule="auto"/>
        <w:ind w:left="-60" w:firstLine="720"/>
        <w:jc w:val="both"/>
      </w:pPr>
      <w:r>
        <w:rPr>
          <w:rFonts w:ascii="宋体" w:hAnsi="宋体" w:eastAsia="宋体" w:cs="宋体"/>
          <w:sz w:val="24"/>
        </w:rPr>
        <w:t>3、服务质量：合格</w:t>
      </w:r>
    </w:p>
    <w:p w14:paraId="7FD7809B">
      <w:pPr>
        <w:pStyle w:val="5"/>
        <w:spacing w:line="360" w:lineRule="auto"/>
        <w:ind w:left="-60" w:firstLine="720"/>
        <w:jc w:val="both"/>
      </w:pPr>
      <w:r>
        <w:rPr>
          <w:rFonts w:ascii="宋体" w:hAnsi="宋体" w:eastAsia="宋体" w:cs="宋体"/>
          <w:sz w:val="24"/>
        </w:rPr>
        <w:t>4、服务范围：完成本次采购项目所有任务。</w:t>
      </w:r>
    </w:p>
    <w:p w14:paraId="6BD0DFC0">
      <w:pPr>
        <w:pStyle w:val="5"/>
        <w:spacing w:line="360" w:lineRule="auto"/>
        <w:ind w:left="-60" w:firstLine="720"/>
        <w:jc w:val="both"/>
      </w:pPr>
      <w:r>
        <w:rPr>
          <w:rFonts w:ascii="宋体" w:hAnsi="宋体" w:eastAsia="宋体" w:cs="宋体"/>
          <w:sz w:val="24"/>
        </w:rPr>
        <w:t>5、服务要求:满足本次采购项目所有服务内容。</w:t>
      </w:r>
    </w:p>
    <w:p w14:paraId="0330E2A7">
      <w:pPr>
        <w:pStyle w:val="5"/>
        <w:spacing w:line="360" w:lineRule="auto"/>
        <w:ind w:firstLine="480"/>
        <w:jc w:val="both"/>
        <w:rPr>
          <w:rFonts w:hint="eastAsia" w:ascii="宋体" w:hAnsi="宋体" w:eastAsia="宋体" w:cs="宋体"/>
          <w:sz w:val="24"/>
          <w:lang w:eastAsia="zh-CN"/>
        </w:rPr>
      </w:pPr>
      <w:r>
        <w:rPr>
          <w:rFonts w:ascii="宋体" w:hAnsi="宋体" w:eastAsia="宋体" w:cs="宋体"/>
          <w:sz w:val="24"/>
        </w:rPr>
        <w:t>二、付款方式：</w:t>
      </w:r>
      <w:r>
        <w:rPr>
          <w:rFonts w:hint="eastAsia" w:ascii="宋体" w:hAnsi="宋体" w:eastAsia="宋体" w:cs="宋体"/>
          <w:sz w:val="24"/>
        </w:rPr>
        <w:t>合同签订后，达到付款条件起30个工作日内，支付合同总金额的40%；</w:t>
      </w:r>
      <w:r>
        <w:rPr>
          <w:rFonts w:hint="eastAsia" w:ascii="宋体" w:hAnsi="宋体" w:eastAsia="宋体" w:cs="宋体"/>
          <w:sz w:val="24"/>
          <w:lang w:val="en-US" w:eastAsia="zh-CN"/>
        </w:rPr>
        <w:t>项目完成后</w:t>
      </w:r>
      <w:r>
        <w:rPr>
          <w:rFonts w:hint="eastAsia" w:ascii="宋体" w:hAnsi="宋体" w:eastAsia="宋体" w:cs="宋体"/>
          <w:sz w:val="24"/>
        </w:rPr>
        <w:t>，达到付款条件起30个工作日内，支付合同总金额的50.00%；</w:t>
      </w:r>
      <w:r>
        <w:rPr>
          <w:rFonts w:hint="eastAsia" w:ascii="宋体" w:hAnsi="宋体" w:eastAsia="宋体" w:cs="宋体"/>
          <w:sz w:val="24"/>
          <w:lang w:val="en-US" w:eastAsia="zh-CN"/>
        </w:rPr>
        <w:t>项目</w:t>
      </w:r>
      <w:r>
        <w:rPr>
          <w:rFonts w:hint="eastAsia" w:ascii="宋体" w:hAnsi="宋体" w:eastAsia="宋体" w:cs="宋体"/>
          <w:sz w:val="24"/>
        </w:rPr>
        <w:t>验收合格后，达到付款条件起30个工作日内，支付合同总金额的10.00%</w:t>
      </w:r>
      <w:r>
        <w:rPr>
          <w:rFonts w:hint="eastAsia" w:ascii="宋体" w:hAnsi="宋体" w:eastAsia="宋体" w:cs="宋体"/>
          <w:sz w:val="24"/>
          <w:lang w:eastAsia="zh-CN"/>
        </w:rPr>
        <w:t>。</w:t>
      </w:r>
    </w:p>
    <w:p w14:paraId="5550BFF4">
      <w:pPr>
        <w:spacing w:line="360" w:lineRule="auto"/>
      </w:pPr>
      <w:r>
        <w:rPr>
          <w:rFonts w:ascii="宋体" w:hAnsi="宋体" w:eastAsia="宋体" w:cs="宋体"/>
          <w:b/>
          <w:sz w:val="24"/>
        </w:rPr>
        <w:t>注：商务要求为实质性要求，不得负偏离。</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D7113E"/>
    <w:rsid w:val="0D340701"/>
    <w:rsid w:val="2FFF76FC"/>
    <w:rsid w:val="3CC05722"/>
    <w:rsid w:val="47492E84"/>
    <w:rsid w:val="477D73E2"/>
    <w:rsid w:val="58800117"/>
    <w:rsid w:val="62F24FB0"/>
    <w:rsid w:val="6DAC2A98"/>
    <w:rsid w:val="778F58D2"/>
    <w:rsid w:val="77F132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1496</Words>
  <Characters>1604</Characters>
  <Lines>0</Lines>
  <Paragraphs>0</Paragraphs>
  <TotalTime>2</TotalTime>
  <ScaleCrop>false</ScaleCrop>
  <LinksUpToDate>false</LinksUpToDate>
  <CharactersWithSpaces>1611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2025-09-22T01:49:00Z</dcterms:created>
  <dc:creator>MyPC</dc:creator>
  <cp:lastModifiedBy>Y</cp:lastModifiedBy>
  <dcterms:modified xsi:type="dcterms:W3CDTF">2026-10-15T01:21:17Z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eyJoZGlkIjoiMjhhNmJkODUzOTM3NDk4NGZmYzg1Y2RiYTI2YzYwZTQiLCJ1c2VySWQiOiIxMDMyOTA1OTI4In0=</vt:lpwstr>
  </property>
  <property fmtid="{D5CDD505-2E9C-101B-9397-08002B2CF9AE}" pid="4" name="ICV">
    <vt:lpwstr>0095EB7CC96B42798544CBF0156DD88C_12</vt:lpwstr>
  </property>
</Properties>
</file>