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版本号：E-254032XA008-1920260703001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校园维修提升改造项目监理服务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E-254032XA008-19</w:t>
      </w:r>
      <w:r>
        <w:br/>
      </w:r>
      <w:r>
        <w:br/>
      </w:r>
      <w:r>
        <w:br/>
      </w:r>
    </w:p>
    <w:p>
      <w:pPr>
        <w:pStyle w:val="null3"/>
        <w:jc w:val="center"/>
        <w:outlineLvl w:val="2"/>
      </w:pPr>
      <w:r>
        <w:rPr>
          <w:rFonts w:ascii="仿宋_GB2312" w:hAnsi="仿宋_GB2312" w:cs="仿宋_GB2312" w:eastAsia="仿宋_GB2312"/>
          <w:sz w:val="28"/>
          <w:b/>
        </w:rPr>
        <w:t>西安旅游职业中等专业学校</w:t>
      </w:r>
    </w:p>
    <w:p>
      <w:pPr>
        <w:pStyle w:val="null3"/>
        <w:jc w:val="center"/>
        <w:outlineLvl w:val="2"/>
      </w:pPr>
      <w:r>
        <w:rPr>
          <w:rFonts w:ascii="仿宋_GB2312" w:hAnsi="仿宋_GB2312" w:cs="仿宋_GB2312" w:eastAsia="仿宋_GB2312"/>
          <w:sz w:val="28"/>
          <w:b/>
        </w:rPr>
        <w:t>中杭际(北京)工程管理有限公司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中杭际(北京)工程管理有限公司</w:t>
      </w:r>
      <w:r>
        <w:rPr>
          <w:rFonts w:ascii="仿宋_GB2312" w:hAnsi="仿宋_GB2312" w:cs="仿宋_GB2312" w:eastAsia="仿宋_GB2312"/>
        </w:rPr>
        <w:t>（以下简称“代理机构”）受</w:t>
      </w:r>
      <w:r>
        <w:rPr>
          <w:rFonts w:ascii="仿宋_GB2312" w:hAnsi="仿宋_GB2312" w:cs="仿宋_GB2312" w:eastAsia="仿宋_GB2312"/>
        </w:rPr>
        <w:t>西安旅游职业中等专业学校</w:t>
      </w:r>
      <w:r>
        <w:rPr>
          <w:rFonts w:ascii="仿宋_GB2312" w:hAnsi="仿宋_GB2312" w:cs="仿宋_GB2312" w:eastAsia="仿宋_GB2312"/>
        </w:rPr>
        <w:t>委托，拟对</w:t>
      </w:r>
      <w:r>
        <w:rPr>
          <w:rFonts w:ascii="仿宋_GB2312" w:hAnsi="仿宋_GB2312" w:cs="仿宋_GB2312" w:eastAsia="仿宋_GB2312"/>
        </w:rPr>
        <w:t>校园维修提升改造项目监理服务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E-254032XA008-19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校园维修提升改造项目监理服务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对学校教学楼环境提升改造：实训楼环境提升改造：男生学生公寓提升改造：女生学生公寓提升改造，本项目为以上工程的监理服务，具体内容详见磋商文件。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采购包1（校园维修提升改造项目监理服务）：属于专门面向中小企业采购。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1、企业资质：供应商须具备建设行政主管部门颁发的工程监理综合资质或房屋建筑工程监理丙级及以上资质；</w:t>
      </w:r>
    </w:p>
    <w:p>
      <w:pPr>
        <w:pStyle w:val="null3"/>
      </w:pPr>
      <w:r>
        <w:rPr>
          <w:rFonts w:ascii="仿宋_GB2312" w:hAnsi="仿宋_GB2312" w:cs="仿宋_GB2312" w:eastAsia="仿宋_GB2312"/>
        </w:rPr>
        <w:t>2、项目总监：拟派项目总监需具备房屋建筑工程专业注册监理工程师，并在本单位注册；拟派项目总监理工程师有在监项目的，其在监项目不得超过2个（含2个），须出具在监项目建设单位的书面同意书；</w:t>
      </w:r>
    </w:p>
    <w:p>
      <w:pPr>
        <w:pStyle w:val="null3"/>
      </w:pPr>
      <w:r>
        <w:rPr>
          <w:rFonts w:ascii="仿宋_GB2312" w:hAnsi="仿宋_GB2312" w:cs="仿宋_GB2312" w:eastAsia="仿宋_GB2312"/>
        </w:rPr>
        <w:t>3、投标授权代表：法定代表人直接投标的，提交法定代表人证明 书及法定代表人合法有效的身份证扫描件，且 应与营业执照上信息一致；法定代表人授权代 表参加投标的，提交法定代表人授权委托书及授权代表合法有效的身份证扫描件。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西安旅游职业中等专业学校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西安市长安区韦曲街道办事处西四府村甲字3号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029-85990844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中杭际(北京)工程管理有限公司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西安市高新区沣惠南路34号摩尔中心A座24层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赵伟、杨晶莹、党鑫圣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029-89187077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[2002]1980号）的有关规定标准下浮10%向采购代理机构一次付清代理服务费.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西安旅游职业中等专业学校</w:t>
      </w:r>
      <w:r>
        <w:rPr>
          <w:rFonts w:ascii="仿宋_GB2312" w:hAnsi="仿宋_GB2312" w:cs="仿宋_GB2312" w:eastAsia="仿宋_GB2312"/>
        </w:rPr>
        <w:t>和</w:t>
      </w:r>
      <w:r>
        <w:rPr>
          <w:rFonts w:ascii="仿宋_GB2312" w:hAnsi="仿宋_GB2312" w:cs="仿宋_GB2312" w:eastAsia="仿宋_GB2312"/>
        </w:rPr>
        <w:t>中杭际(北京)工程管理有限公司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西安旅游职业中等专业学校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中杭际(北京)工程管理有限公司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西安旅游职业中等专业学校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中杭际(北京)工程管理有限公司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按照国家相关标准和竞争性磋商文件要求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联系电话：029-89282077</w:t>
      </w:r>
    </w:p>
    <w:p>
      <w:pPr>
        <w:pStyle w:val="null3"/>
      </w:pPr>
      <w:r>
        <w:rPr>
          <w:rFonts w:ascii="仿宋_GB2312" w:hAnsi="仿宋_GB2312" w:cs="仿宋_GB2312" w:eastAsia="仿宋_GB2312"/>
        </w:rPr>
        <w:t>地址：陕西省西安市高新区沣惠南路34号摩尔中心A座24层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对学校教学楼环境提升改造：实训楼环境提升改造：男生学生公寓提升改造：女生学生公寓提升改造，本项目为以上工程的监理服务，具体内容详见磋商文件。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144,000.00</w:t>
      </w:r>
    </w:p>
    <w:p>
      <w:pPr>
        <w:pStyle w:val="null3"/>
      </w:pPr>
      <w:r>
        <w:rPr>
          <w:rFonts w:ascii="仿宋_GB2312" w:hAnsi="仿宋_GB2312" w:cs="仿宋_GB2312" w:eastAsia="仿宋_GB2312"/>
        </w:rPr>
        <w:t>采购包最高限价（元）: 144,000.00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1）教学楼环境提升改造</w:t>
            </w:r>
            <w:r>
              <w:rPr>
                <w:rFonts w:ascii="仿宋_GB2312" w:hAnsi="仿宋_GB2312" w:cs="仿宋_GB2312" w:eastAsia="仿宋_GB2312"/>
                <w:sz w:val="20"/>
              </w:rPr>
              <w:t>：</w:t>
            </w:r>
            <w:r>
              <w:rPr>
                <w:rFonts w:ascii="仿宋_GB2312" w:hAnsi="仿宋_GB2312" w:cs="仿宋_GB2312" w:eastAsia="仿宋_GB2312"/>
                <w:sz w:val="20"/>
              </w:rPr>
              <w:t>对教学楼现有公共区域及教室、办公室的现有地面、墙面、顶面进行环境改造提升；对原有旧门窗进行拆除更换；公共区域照明、动力系统改造，教室动力系统改造；公共卫生间环境整体改造；教学楼全域弱电系统中的视频监控  系统、公共广播系统、无线</w:t>
            </w:r>
            <w:r>
              <w:rPr>
                <w:rFonts w:ascii="仿宋_GB2312" w:hAnsi="仿宋_GB2312" w:cs="仿宋_GB2312" w:eastAsia="仿宋_GB2312"/>
                <w:sz w:val="20"/>
              </w:rPr>
              <w:t>AP覆盖系统、计算机网络系统（含公共区域电子班牌）线路改造；提升改造面积：4105.92</w:t>
            </w:r>
            <w:r>
              <w:rPr>
                <w:rFonts w:ascii="仿宋_GB2312" w:hAnsi="仿宋_GB2312" w:cs="仿宋_GB2312" w:eastAsia="仿宋_GB2312"/>
                <w:sz w:val="20"/>
              </w:rPr>
              <w:t>平方米</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2）实训楼环境提升改造</w:t>
            </w:r>
            <w:r>
              <w:rPr>
                <w:rFonts w:ascii="仿宋_GB2312" w:hAnsi="仿宋_GB2312" w:cs="仿宋_GB2312" w:eastAsia="仿宋_GB2312"/>
                <w:sz w:val="20"/>
              </w:rPr>
              <w:t>：</w:t>
            </w:r>
            <w:r>
              <w:rPr>
                <w:rFonts w:ascii="仿宋_GB2312" w:hAnsi="仿宋_GB2312" w:cs="仿宋_GB2312" w:eastAsia="仿宋_GB2312"/>
                <w:sz w:val="20"/>
              </w:rPr>
              <w:t>对实训楼现有公共区域现有地面、墙面、顶面进行改造提升；对原有旧门窗进行拆除更换；公共区域照明、动力系统改造，不改变原有设计；公共卫生间环境整体改造；实训楼全域弱电系统中的视频监控  系统、公共广播系统、无线</w:t>
            </w:r>
            <w:r>
              <w:rPr>
                <w:rFonts w:ascii="仿宋_GB2312" w:hAnsi="仿宋_GB2312" w:cs="仿宋_GB2312" w:eastAsia="仿宋_GB2312"/>
                <w:sz w:val="20"/>
              </w:rPr>
              <w:t>AP覆盖系统、计算机网络系统线路改造；提升改造面积：802.41</w:t>
            </w:r>
            <w:r>
              <w:rPr>
                <w:rFonts w:ascii="仿宋_GB2312" w:hAnsi="仿宋_GB2312" w:cs="仿宋_GB2312" w:eastAsia="仿宋_GB2312"/>
                <w:sz w:val="20"/>
              </w:rPr>
              <w:t>平方米</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）男生学生公寓提升改造：男生学生公寓提升改造包含首层卫生间改造，</w:t>
            </w:r>
            <w:r>
              <w:rPr>
                <w:rFonts w:ascii="仿宋_GB2312" w:hAnsi="仿宋_GB2312" w:cs="仿宋_GB2312" w:eastAsia="仿宋_GB2312"/>
                <w:sz w:val="20"/>
              </w:rPr>
              <w:t>2间，二至五楼的卫生间升级，每层2间：换吊顶，换隔档，换小便池，换洗手盆，换水龙头，换暖气片，翻新水管；首层浴室改造，3间；洗衣房改造，1间；一至五层走道和楼梯间墙面局部修补打磨喷漆；公寓设备升级；</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）女生学生公寓提升改造：女生学生公寓提升改造包含一至五层走道和楼梯间墙面局部修补打磨喷漆；公寓浴室改造，</w:t>
            </w:r>
            <w:r>
              <w:rPr>
                <w:rFonts w:ascii="仿宋_GB2312" w:hAnsi="仿宋_GB2312" w:cs="仿宋_GB2312" w:eastAsia="仿宋_GB2312"/>
                <w:sz w:val="20"/>
              </w:rPr>
              <w:t>1间；疏散钢楼梯封闭，装修。房内为木地板地面。公寓至女生浴室连廊；女生浴室淋浴设备提升改造；公寓设备升级。</w:t>
            </w:r>
          </w:p>
          <w:p>
            <w:pPr>
              <w:pStyle w:val="null3"/>
            </w:pPr>
            <w:r>
              <w:rPr>
                <w:rFonts w:ascii="仿宋_GB2312" w:hAnsi="仿宋_GB2312" w:cs="仿宋_GB2312" w:eastAsia="仿宋_GB2312"/>
                <w:sz w:val="20"/>
              </w:rPr>
              <w:t>以上工程的监理服务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服务标准：合格</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按照国家相关标准和竞争性磋商文件要求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进度款，中标之后预付，达到付款条件，达到付款条件起10个工作日内，支付合同总金额的40.0%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进度款，工程竣工验收合格后 ，达到付款条件，达到付款条件起10个工作日内，支付合同总金额的60.0%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按照国家相关标准和竞争性磋商文件要求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项目概算：8129000.00元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1）法人或者其他组织出具合法有效的营业执照或事业单位法人证书等国家规定的相关证明；2）投标文件递交截止时间前6个月内至少一个月的 纳税证明或完税证明（除个人所得税外的其他任意税种）；或提供具有依法纳税良好记录的 承诺函。以上两种形式的资料提供任何一种即可，依法免税的投标人应提供相关证明材料。3）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投标人应提供相关证明材料； 4）提供“具备履行合同所必需的设备和专业技术能力的承诺函”；5）提供“参加政府采购活动前3年内在经营活动中没有重大违法记录的书面声明”；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供应商资格.docx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供应商应当提供2025年度经审计的财务报告复印件；或投标文件递交截止时间前6个月内任意 时间由银行出具的资信证明；或提供具有良好商业信誉和健全的财务会计制度的承诺函；</w:t>
            </w:r>
          </w:p>
        </w:tc>
        <w:tc>
          <w:tcPr>
            <w:tcW w:type="dxa" w:w="1661"/>
          </w:tcPr>
          <w:p>
            <w:pPr>
              <w:pStyle w:val="null3"/>
            </w:pPr>
            <w:r>
              <w:rPr>
                <w:rFonts w:ascii="仿宋_GB2312" w:hAnsi="仿宋_GB2312" w:cs="仿宋_GB2312" w:eastAsia="仿宋_GB2312"/>
              </w:rPr>
              <w:t>供应商资格.docx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供应商须具备建设行政主管部门颁发的工程监理综合资质或房屋建筑工程监理丙级及以上资质；</w:t>
            </w:r>
          </w:p>
        </w:tc>
        <w:tc>
          <w:tcPr>
            <w:tcW w:type="dxa" w:w="1661"/>
          </w:tcPr>
          <w:p>
            <w:pPr>
              <w:pStyle w:val="null3"/>
            </w:pPr>
            <w:r>
              <w:rPr>
                <w:rFonts w:ascii="仿宋_GB2312" w:hAnsi="仿宋_GB2312" w:cs="仿宋_GB2312" w:eastAsia="仿宋_GB2312"/>
              </w:rPr>
              <w:t>供应商资格.docx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拟派项目总监需具备房屋建筑工程专业注册监理工程师，并在本单位注册；拟派项目总监理工程师有在监项目的，其在监项目不得超过2个（含2个），须出具在监项目建设单位的书面同意书；</w:t>
            </w:r>
          </w:p>
        </w:tc>
        <w:tc>
          <w:tcPr>
            <w:tcW w:type="dxa" w:w="1661"/>
          </w:tcPr>
          <w:p>
            <w:pPr>
              <w:pStyle w:val="null3"/>
            </w:pPr>
            <w:r>
              <w:rPr>
                <w:rFonts w:ascii="仿宋_GB2312" w:hAnsi="仿宋_GB2312" w:cs="仿宋_GB2312" w:eastAsia="仿宋_GB2312"/>
              </w:rPr>
              <w:t>供应商资格.docx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法定代表人直接投标的，提交法定代表人证明 书及法定代表人合法有效的身份证扫描件，且 应与营业执照上信息一致；法定代表人授权代 表参加投标的，提交法定代表人授权委托书及授权代表合法有效的身份证扫描件。</w:t>
            </w:r>
          </w:p>
        </w:tc>
        <w:tc>
          <w:tcPr>
            <w:tcW w:type="dxa" w:w="1661"/>
          </w:tcPr>
          <w:p>
            <w:pPr>
              <w:pStyle w:val="null3"/>
            </w:pPr>
            <w:r>
              <w:rPr>
                <w:rFonts w:ascii="仿宋_GB2312" w:hAnsi="仿宋_GB2312" w:cs="仿宋_GB2312" w:eastAsia="仿宋_GB2312"/>
              </w:rPr>
              <w:t>供应商资格.docx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响应文件的签署、加盖印章合格、有效。</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供应商资格.docx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磋商有效期符合磋商文件要求</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监理服务期符合磋商文件要求</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服务标准要求符合磋商文件要求</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磋商响应中没有出现磋商文件规定的其它无效文件情形。</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供应商资格.docx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针对本项目提供具体可行的监理大纲，内容包括：①监理范围和服务内容；②监理工作目标及监理依据；③监理工作程序、方法和制度；④质量、安全环保措施；⑤合同管理及信息管理；⑥监理组织协调内容及措施；⑦监理工作重点、难点分析及应对措施；⑧验收方案。 二、评审标准： 1、完整性：方案须全面，对评审内容中的各项要求描述详细； 2、可实施性：切合本项目实际情况，实施步骤清晰、合理； 3、针对性：方案能够紧扣项目实际情况，内容科学合理。 三、赋分依据（满分24分）每完全满足一个评审标准得1分，满分3分；未提供不得分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内部工作制度</w:t>
            </w:r>
          </w:p>
        </w:tc>
        <w:tc>
          <w:tcPr>
            <w:tcW w:type="dxa" w:w="2492"/>
          </w:tcPr>
          <w:p>
            <w:pPr>
              <w:pStyle w:val="null3"/>
            </w:pPr>
            <w:r>
              <w:rPr>
                <w:rFonts w:ascii="仿宋_GB2312" w:hAnsi="仿宋_GB2312" w:cs="仿宋_GB2312" w:eastAsia="仿宋_GB2312"/>
              </w:rPr>
              <w:t>一、针对本项目提供具体可行的工作制度，内容包括：①实施与验收阶段监理组织内部的工作制度；②文件管理制度；③监理现场工作制度。 二、评审标准： 1、完整性：方案须全面，对评审内容中的各项要求描述详细，切合本项目实际情况，实施步骤清晰、合理； 2、可实施性：切合本项目实际情况，实施步骤清晰、合理； 3、针对性：方案能够紧扣项目实际情况，内容科学合理。 三、赋分依据（满分9分）每完全满足一个评审标准得1分，满分3分。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监理检测设备</w:t>
            </w:r>
          </w:p>
        </w:tc>
        <w:tc>
          <w:tcPr>
            <w:tcW w:type="dxa" w:w="2492"/>
          </w:tcPr>
          <w:p>
            <w:pPr>
              <w:pStyle w:val="null3"/>
            </w:pPr>
            <w:r>
              <w:rPr>
                <w:rFonts w:ascii="仿宋_GB2312" w:hAnsi="仿宋_GB2312" w:cs="仿宋_GB2312" w:eastAsia="仿宋_GB2312"/>
              </w:rPr>
              <w:t>一、针对本项目提供监理检测设备配置情况。（需包含交通、检测及办公监理设备） 二、评审标准：1、完整性：须全面，检测设备配置齐全、先进，完全满足工程检测要求；2、可实施性：切合本项目实际情况，监理检测设备配置情况清晰、合理；3、针对性：监理检测设备配置情况能够紧扣项目实际情况，内容科学合理。 三、赋分依据（满分6分）针对本项目提供监理检测设备配置情况：每完全满足一个评审标准得3分，满分6分；未提供不得分。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1、学历：项目总监学历为本科及以上得3分，大专学历得1分，其余不得分。 2、职称：具备建筑工程相关专业高级及以上职称得3分，中级职称得2分，其余不得分； 3、年龄：总监年龄在30-55岁之间得2分，其余不得分 2、类似监理业绩，2023年1月起至今（以合同签订日期为准），每提供1个符合要求的业绩得3分，最高9分。注：需提供毕业证书复印件、总监职称证、身份证加盖公章，业绩需提供中标通知书或合同复印件加盖公章。（证明材料需体现项目经理名字，否则不予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项目部人员</w:t>
            </w:r>
          </w:p>
        </w:tc>
        <w:tc>
          <w:tcPr>
            <w:tcW w:type="dxa" w:w="2492"/>
          </w:tcPr>
          <w:p>
            <w:pPr>
              <w:pStyle w:val="null3"/>
            </w:pPr>
            <w:r>
              <w:rPr>
                <w:rFonts w:ascii="仿宋_GB2312" w:hAnsi="仿宋_GB2312" w:cs="仿宋_GB2312" w:eastAsia="仿宋_GB2312"/>
              </w:rPr>
              <w:t>1.团队人员中具有与本项目服务相关的在本单位任职专业人员至少包括（专业监理工程师2名，监理员1名，资料员1名）所有人员须提供工程类注册执业资格或中级（或以上）专业技术职称证书，或注册监理工程师证书，或岗位证，每满足一名得3分，满分得12分。 2.在此基础上，每增加1名中级及以上职称的人员得2分，每增加1名注册监理工程师得4分，1个人最高加4分；合计得分最高不得超过12分。 注：需提供人员注册执业证书或职称证书复印件作为评审依据，未提供不得分。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监理业绩</w:t>
            </w:r>
          </w:p>
        </w:tc>
        <w:tc>
          <w:tcPr>
            <w:tcW w:type="dxa" w:w="2492"/>
          </w:tcPr>
          <w:p>
            <w:pPr>
              <w:pStyle w:val="null3"/>
            </w:pPr>
            <w:r>
              <w:rPr>
                <w:rFonts w:ascii="仿宋_GB2312" w:hAnsi="仿宋_GB2312" w:cs="仿宋_GB2312" w:eastAsia="仿宋_GB2312"/>
              </w:rPr>
              <w:t>2023年1月至今具有类似项目业绩，每提供一份计2分，最高可得10分，以通知书或合同协议书为准。（总监业绩与企业业绩可重复）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采用低价优先法计算，即通过资格审查和符合性审查且最后报价最低的供应商的价格为磋商基准价，其价格分为满分。磋商报价得分＝（磋商基准价/最后磋商报价）×10 备注：当磋商小组认为某个供应商的报价明显低于其他通过符合性审查供应商的报价，有可能影响工程质量和不能诚信履约的，应要求该供应商在评审现场合理的时间内提供书面说明，必要时提交相关证明材料；供应商不能证明其报价合理的，磋商小组将其作为无效文件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