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版本号：SXJTZB-ZC-GK2026070620260824001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体采二科采供血设备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SXJTZB-ZC-GK20260706</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体采二科采供血设备</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SXJTZB-ZC-GK20260706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体采二科采供血设备</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为满足采血二科采供血标准化作业及临床用血安全需求，解决现有设备老化、性能不达标问题。本项目拟采购一批专用医疗设备，以完善采血、血液储存工作链条，符合血液质控规范，保障血液制品质量。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2025年度完整有效的财务审计报告复印件（财务报告是指经会计师事务所审计的上述指定年度整个会计年度财务报表,复印件至少须包括报告正文、资产负债表、现金流量表、所有者权益变动表及利润表、附注和会计师事务所营业执照，报告正文应当有会计师事务所公章和2名注册会计师的签字及盖章。且审计报告应当经过注册会计师行业统一监管平台备案赋码）或在开标时间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3、税收缴纳证明：提供已缴纳的2026年1月起至少一个月的纳税证明或完税证明，纳税证明或完税证明上应有代收机构或税务机关的公章或业务专用章。依法免税的供应商应提供相关文件证明；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4、具有履行合同所必需的设备和专业技术能力的承诺：供应商须提供具有履行合同所必需的设备和专业技术能力的承诺；</w:t>
      </w:r>
    </w:p>
    <w:p>
      <w:pPr>
        <w:pStyle w:val="null3"/>
      </w:pPr>
      <w:r>
        <w:rPr>
          <w:rFonts w:ascii="仿宋_GB2312" w:hAnsi="仿宋_GB2312" w:cs="仿宋_GB2312" w:eastAsia="仿宋_GB2312"/>
        </w:rPr>
        <w:t>5、社会保障资金缴纳证明：提供已缴存的2026年1月起至少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6、三年无重大违法记录声明：出具参加本次政府采购活动前三年内在经营活动中没有重大违法记录的书面声明；</w:t>
      </w:r>
    </w:p>
    <w:p>
      <w:pPr>
        <w:pStyle w:val="null3"/>
      </w:pPr>
      <w:r>
        <w:rPr>
          <w:rFonts w:ascii="仿宋_GB2312" w:hAnsi="仿宋_GB2312" w:cs="仿宋_GB2312" w:eastAsia="仿宋_GB2312"/>
        </w:rPr>
        <w:t>7、法定代表人授权委托书：法定代表人参加磋商的提供法定代表人身份证明及身份证，委托代理人参加磋商的提供授权委托书及委托代理人身份证；自然人只需提供身份证；并提供在投标单位缴纳的社保记录（近3个月内任意一个月）；</w:t>
      </w:r>
    </w:p>
    <w:p>
      <w:pPr>
        <w:pStyle w:val="null3"/>
      </w:pPr>
      <w:r>
        <w:rPr>
          <w:rFonts w:ascii="仿宋_GB2312" w:hAnsi="仿宋_GB2312" w:cs="仿宋_GB2312" w:eastAsia="仿宋_GB2312"/>
        </w:rPr>
        <w:t>8、承诺书：本项目不接受西安市中心血站职工及其亲属投资开办企业参与本单位的采购活动（提供承诺书）；</w:t>
      </w:r>
    </w:p>
    <w:p>
      <w:pPr>
        <w:pStyle w:val="null3"/>
      </w:pPr>
      <w:r>
        <w:rPr>
          <w:rFonts w:ascii="仿宋_GB2312" w:hAnsi="仿宋_GB2312" w:cs="仿宋_GB2312" w:eastAsia="仿宋_GB2312"/>
        </w:rPr>
        <w:t>9、质量保证承诺书：投标人提供质量保证承诺书；</w:t>
      </w:r>
    </w:p>
    <w:p>
      <w:pPr>
        <w:pStyle w:val="null3"/>
      </w:pPr>
      <w:r>
        <w:rPr>
          <w:rFonts w:ascii="仿宋_GB2312" w:hAnsi="仿宋_GB2312" w:cs="仿宋_GB2312" w:eastAsia="仿宋_GB2312"/>
        </w:rPr>
        <w:t>10、不接受联合体磋商：本项目不接受联合体磋商（提供书面声明材料）。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西安市雁塔区朱雀大街407号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029-85212746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西安市未央区凤城五路与明光路十字天朗经开中心25楼2501室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廖丽、贾婵、段冬梅、王琳娜、曾小旦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发的《招标代理服务收费管理暂行办法》（计价格[2002]1980号）的取费标准收取，不足伍仟元按伍仟元计取。中标单位在领取中标通知书前，须向采购代理机构一次性支付代理服务费。 服务费交纳信息： 公司名称：陕西嘉唐建设项目管理有限公司 账 号: 112011580000141313 开 户 行：西安银行股份有限公司含光门支行。 公司邮箱：shanxijiatang@163.com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西安市中心血站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联系人：廖丽</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地址：西安市未央区凤城五路与明光路十字天朗经开中心25楼2501室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为满足采血二科采供血标准化作业及临床用血安全需求，解决现有设备老化、性能不达标问题。本项目拟采购一批专用医疗设备，以完善采血、血液储存工作链条，符合血液质控规范，保障血液制品质量。</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血液冷藏箱</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血小板振荡保存箱</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220,000.00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低速离心机</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标的名称：血液冷藏箱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1、血液冷藏箱（核心产品）</w:t>
            </w:r>
          </w:p>
          <w:p>
            <w:pPr>
              <w:pStyle w:val="null3"/>
              <w:jc w:val="both"/>
            </w:pPr>
            <w:r>
              <w:rPr>
                <w:rFonts w:ascii="仿宋_GB2312" w:hAnsi="仿宋_GB2312" w:cs="仿宋_GB2312" w:eastAsia="仿宋_GB2312"/>
                <w:sz w:val="21"/>
              </w:rPr>
              <w:t>1.1 整体结构：立式；内外双层门，外层门带锁；内部分层搁架式结构，机器箱壳采用冷轧钢板。</w:t>
            </w:r>
          </w:p>
          <w:p>
            <w:pPr>
              <w:pStyle w:val="null3"/>
              <w:jc w:val="both"/>
            </w:pPr>
            <w:r>
              <w:rPr>
                <w:rFonts w:ascii="仿宋_GB2312" w:hAnsi="仿宋_GB2312" w:cs="仿宋_GB2312" w:eastAsia="仿宋_GB2312"/>
                <w:sz w:val="21"/>
              </w:rPr>
              <w:t>1.2 控温范围：4℃±2℃。</w:t>
            </w:r>
          </w:p>
          <w:p>
            <w:pPr>
              <w:pStyle w:val="null3"/>
              <w:jc w:val="both"/>
            </w:pPr>
            <w:r>
              <w:rPr>
                <w:rFonts w:ascii="仿宋_GB2312" w:hAnsi="仿宋_GB2312" w:cs="仿宋_GB2312" w:eastAsia="仿宋_GB2312"/>
                <w:sz w:val="21"/>
              </w:rPr>
              <w:t>1.3 有效容积：250</w:t>
            </w:r>
            <w:r>
              <w:rPr>
                <w:rFonts w:ascii="仿宋_GB2312" w:hAnsi="仿宋_GB2312" w:cs="仿宋_GB2312" w:eastAsia="仿宋_GB2312"/>
                <w:sz w:val="21"/>
              </w:rPr>
              <w:t>-300L。</w:t>
            </w:r>
          </w:p>
          <w:p>
            <w:pPr>
              <w:pStyle w:val="null3"/>
              <w:jc w:val="both"/>
            </w:pPr>
            <w:r>
              <w:rPr>
                <w:rFonts w:ascii="仿宋_GB2312" w:hAnsi="仿宋_GB2312" w:cs="仿宋_GB2312" w:eastAsia="仿宋_GB2312"/>
                <w:sz w:val="21"/>
              </w:rPr>
              <w:t>1.4 制冷系统:无霜风冷。</w:t>
            </w:r>
          </w:p>
          <w:p>
            <w:pPr>
              <w:pStyle w:val="null3"/>
              <w:jc w:val="both"/>
            </w:pPr>
            <w:r>
              <w:rPr>
                <w:rFonts w:ascii="仿宋_GB2312" w:hAnsi="仿宋_GB2312" w:cs="仿宋_GB2312" w:eastAsia="仿宋_GB2312"/>
                <w:sz w:val="21"/>
              </w:rPr>
              <w:t>1.5 绝热材料：玻璃门具有绝热、隔绝紫外线功能。</w:t>
            </w:r>
          </w:p>
          <w:p>
            <w:pPr>
              <w:pStyle w:val="null3"/>
              <w:jc w:val="both"/>
            </w:pPr>
            <w:r>
              <w:rPr>
                <w:rFonts w:ascii="仿宋_GB2312" w:hAnsi="仿宋_GB2312" w:cs="仿宋_GB2312" w:eastAsia="仿宋_GB2312"/>
                <w:sz w:val="21"/>
              </w:rPr>
              <w:t>1.6 安全系统：高温报警、低温报警、断电报警、门未关报警、传感器故障报警。声光两种报警方式。</w:t>
            </w:r>
          </w:p>
          <w:p>
            <w:pPr>
              <w:pStyle w:val="null3"/>
              <w:jc w:val="both"/>
            </w:pPr>
            <w:r>
              <w:rPr>
                <w:rFonts w:ascii="仿宋_GB2312" w:hAnsi="仿宋_GB2312" w:cs="仿宋_GB2312" w:eastAsia="仿宋_GB2312"/>
                <w:sz w:val="21"/>
              </w:rPr>
              <w:t>1.7 温控系统：采用电脑控制温度系统，箱内温度数字显示，温度显示精度0.1℃。</w:t>
            </w:r>
          </w:p>
          <w:p>
            <w:pPr>
              <w:pStyle w:val="null3"/>
              <w:jc w:val="both"/>
            </w:pPr>
            <w:r>
              <w:rPr>
                <w:rFonts w:ascii="仿宋_GB2312" w:hAnsi="仿宋_GB2312" w:cs="仿宋_GB2312" w:eastAsia="仿宋_GB2312"/>
                <w:sz w:val="21"/>
              </w:rPr>
              <w:t>1.8 机体带温度检测孔。</w:t>
            </w:r>
          </w:p>
        </w:tc>
      </w:tr>
    </w:tbl>
    <w:p>
      <w:pPr>
        <w:pStyle w:val="null3"/>
      </w:pPr>
      <w:r>
        <w:rPr>
          <w:rFonts w:ascii="仿宋_GB2312" w:hAnsi="仿宋_GB2312" w:cs="仿宋_GB2312" w:eastAsia="仿宋_GB2312"/>
        </w:rPr>
        <w:t>标的名称：血小板振荡保存箱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2.1制冷方式：强制风冷。</w:t>
            </w:r>
          </w:p>
          <w:p>
            <w:pPr>
              <w:pStyle w:val="null3"/>
              <w:jc w:val="both"/>
            </w:pPr>
            <w:r>
              <w:rPr>
                <w:rFonts w:ascii="仿宋_GB2312" w:hAnsi="仿宋_GB2312" w:cs="仿宋_GB2312" w:eastAsia="仿宋_GB2312"/>
                <w:sz w:val="21"/>
              </w:rPr>
              <w:t>2.2温控方式及范围：箱内温度采用微处理器控制，箱内温度数字显示。温度显示精度：0.1℃，实时监测。</w:t>
            </w:r>
          </w:p>
          <w:p>
            <w:pPr>
              <w:pStyle w:val="null3"/>
              <w:jc w:val="both"/>
            </w:pPr>
            <w:r>
              <w:rPr>
                <w:rFonts w:ascii="仿宋_GB2312" w:hAnsi="仿宋_GB2312" w:cs="仿宋_GB2312" w:eastAsia="仿宋_GB2312"/>
                <w:sz w:val="21"/>
              </w:rPr>
              <w:t>2.3温控范围：22.0℃±2.0℃；报警温度：≤20℃或≥24℃。</w:t>
            </w:r>
          </w:p>
          <w:p>
            <w:pPr>
              <w:pStyle w:val="null3"/>
              <w:jc w:val="both"/>
            </w:pPr>
            <w:r>
              <w:rPr>
                <w:rFonts w:ascii="仿宋_GB2312" w:hAnsi="仿宋_GB2312" w:cs="仿宋_GB2312" w:eastAsia="仿宋_GB2312"/>
                <w:sz w:val="21"/>
              </w:rPr>
              <w:t>2.4振荡频率：≥60次/分钟   震荡幅度：50mm±5mm。</w:t>
            </w:r>
          </w:p>
          <w:p>
            <w:pPr>
              <w:pStyle w:val="null3"/>
              <w:jc w:val="both"/>
            </w:pPr>
            <w:r>
              <w:rPr>
                <w:rFonts w:ascii="仿宋_GB2312" w:hAnsi="仿宋_GB2312" w:cs="仿宋_GB2312" w:eastAsia="仿宋_GB2312"/>
                <w:sz w:val="21"/>
              </w:rPr>
              <w:t>2.5震荡方式：连续往复（左右）、水平震荡。</w:t>
            </w:r>
          </w:p>
          <w:p>
            <w:pPr>
              <w:pStyle w:val="null3"/>
              <w:jc w:val="both"/>
            </w:pPr>
            <w:r>
              <w:rPr>
                <w:rFonts w:ascii="仿宋_GB2312" w:hAnsi="仿宋_GB2312" w:cs="仿宋_GB2312" w:eastAsia="仿宋_GB2312"/>
                <w:sz w:val="21"/>
              </w:rPr>
              <w:t>2.6存放袋数：手工血小板袋数≥</w:t>
            </w:r>
            <w:r>
              <w:rPr>
                <w:rFonts w:ascii="仿宋_GB2312" w:hAnsi="仿宋_GB2312" w:cs="仿宋_GB2312" w:eastAsia="仿宋_GB2312"/>
                <w:sz w:val="21"/>
              </w:rPr>
              <w:t>45袋，机采袋≥</w:t>
            </w:r>
            <w:r>
              <w:rPr>
                <w:rFonts w:ascii="仿宋_GB2312" w:hAnsi="仿宋_GB2312" w:cs="仿宋_GB2312" w:eastAsia="仿宋_GB2312"/>
                <w:sz w:val="21"/>
              </w:rPr>
              <w:t>30袋。</w:t>
            </w:r>
          </w:p>
          <w:p>
            <w:pPr>
              <w:pStyle w:val="null3"/>
              <w:jc w:val="both"/>
            </w:pPr>
            <w:r>
              <w:rPr>
                <w:rFonts w:ascii="仿宋_GB2312" w:hAnsi="仿宋_GB2312" w:cs="仿宋_GB2312" w:eastAsia="仿宋_GB2312"/>
                <w:sz w:val="21"/>
              </w:rPr>
              <w:t>2.7具有</w:t>
            </w:r>
            <w:r>
              <w:rPr>
                <w:rFonts w:ascii="仿宋_GB2312" w:hAnsi="仿宋_GB2312" w:cs="仿宋_GB2312" w:eastAsia="仿宋_GB2312"/>
                <w:sz w:val="21"/>
              </w:rPr>
              <w:t>声、光双重报警提示。自我诊断故障信息并即时显示。</w:t>
            </w:r>
          </w:p>
          <w:p>
            <w:pPr>
              <w:pStyle w:val="null3"/>
              <w:jc w:val="both"/>
            </w:pPr>
            <w:r>
              <w:rPr>
                <w:rFonts w:ascii="仿宋_GB2312" w:hAnsi="仿宋_GB2312" w:cs="仿宋_GB2312" w:eastAsia="仿宋_GB2312"/>
                <w:sz w:val="21"/>
              </w:rPr>
              <w:t>2.8彩色液晶</w:t>
            </w:r>
            <w:r>
              <w:rPr>
                <w:rFonts w:ascii="仿宋_GB2312" w:hAnsi="仿宋_GB2312" w:cs="仿宋_GB2312" w:eastAsia="仿宋_GB2312"/>
                <w:sz w:val="21"/>
              </w:rPr>
              <w:t>触摸屏。</w:t>
            </w:r>
          </w:p>
          <w:p>
            <w:pPr>
              <w:pStyle w:val="null3"/>
              <w:jc w:val="both"/>
            </w:pPr>
            <w:r>
              <w:rPr>
                <w:rFonts w:ascii="仿宋_GB2312" w:hAnsi="仿宋_GB2312" w:cs="仿宋_GB2312" w:eastAsia="仿宋_GB2312"/>
                <w:sz w:val="21"/>
              </w:rPr>
              <w:t>2.9立式结构，不锈钢内胆，抽屉式搁架。</w:t>
            </w:r>
            <w:r>
              <w:rPr>
                <w:rFonts w:ascii="仿宋_GB2312" w:hAnsi="仿宋_GB2312" w:cs="仿宋_GB2312" w:eastAsia="仿宋_GB2312"/>
                <w:sz w:val="21"/>
              </w:rPr>
              <w:t>配隔热玻璃，配备门锁。</w:t>
            </w:r>
          </w:p>
        </w:tc>
      </w:tr>
    </w:tbl>
    <w:p>
      <w:pPr>
        <w:pStyle w:val="null3"/>
      </w:pPr>
      <w:r>
        <w:rPr>
          <w:rFonts w:ascii="仿宋_GB2312" w:hAnsi="仿宋_GB2312" w:cs="仿宋_GB2312" w:eastAsia="仿宋_GB2312"/>
        </w:rPr>
        <w:t>标的名称：低速离心机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rPr>
              <w:t>3.1 最高转速≥4000rpm</w:t>
            </w:r>
          </w:p>
          <w:p>
            <w:pPr>
              <w:pStyle w:val="null3"/>
              <w:jc w:val="both"/>
            </w:pPr>
            <w:r>
              <w:rPr>
                <w:rFonts w:ascii="仿宋_GB2312" w:hAnsi="仿宋_GB2312" w:cs="仿宋_GB2312" w:eastAsia="仿宋_GB2312"/>
                <w:sz w:val="21"/>
              </w:rPr>
              <w:t>3.2 最大相对离心力≥2400x</w:t>
            </w:r>
            <w:r>
              <w:rPr>
                <w:rFonts w:ascii="仿宋_GB2312" w:hAnsi="仿宋_GB2312" w:cs="仿宋_GB2312" w:eastAsia="仿宋_GB2312"/>
                <w:sz w:val="21"/>
              </w:rPr>
              <w:t>g</w:t>
            </w:r>
          </w:p>
          <w:p>
            <w:pPr>
              <w:pStyle w:val="null3"/>
              <w:jc w:val="both"/>
            </w:pPr>
            <w:r>
              <w:rPr>
                <w:rFonts w:ascii="仿宋_GB2312" w:hAnsi="仿宋_GB2312" w:cs="仿宋_GB2312" w:eastAsia="仿宋_GB2312"/>
                <w:sz w:val="21"/>
              </w:rPr>
              <w:t xml:space="preserve">3.3 转头 </w:t>
            </w:r>
            <w:r>
              <w:rPr>
                <w:rFonts w:ascii="仿宋_GB2312" w:hAnsi="仿宋_GB2312" w:cs="仿宋_GB2312" w:eastAsia="仿宋_GB2312"/>
                <w:sz w:val="21"/>
              </w:rPr>
              <w:t>≥12孔，每孔容量≥5ml</w:t>
            </w:r>
          </w:p>
          <w:p>
            <w:pPr>
              <w:pStyle w:val="null3"/>
              <w:jc w:val="both"/>
            </w:pPr>
            <w:r>
              <w:rPr>
                <w:rFonts w:ascii="仿宋_GB2312" w:hAnsi="仿宋_GB2312" w:cs="仿宋_GB2312" w:eastAsia="仿宋_GB2312"/>
                <w:sz w:val="21"/>
              </w:rPr>
              <w:t>3.4 转速精度±20rpm</w:t>
            </w:r>
          </w:p>
          <w:p>
            <w:pPr>
              <w:pStyle w:val="null3"/>
              <w:jc w:val="both"/>
            </w:pPr>
            <w:r>
              <w:rPr>
                <w:rFonts w:ascii="仿宋_GB2312" w:hAnsi="仿宋_GB2312" w:cs="仿宋_GB2312" w:eastAsia="仿宋_GB2312"/>
                <w:sz w:val="21"/>
              </w:rPr>
              <w:t>3.5 噪音</w:t>
            </w:r>
            <w:r>
              <w:rPr>
                <w:rFonts w:ascii="仿宋_GB2312" w:hAnsi="仿宋_GB2312" w:cs="仿宋_GB2312" w:eastAsia="仿宋_GB2312"/>
                <w:sz w:val="21"/>
              </w:rPr>
              <w:t>≤60dB(A)</w:t>
            </w:r>
          </w:p>
          <w:p>
            <w:pPr>
              <w:pStyle w:val="null3"/>
              <w:jc w:val="both"/>
            </w:pPr>
            <w:r>
              <w:rPr>
                <w:rFonts w:ascii="仿宋_GB2312" w:hAnsi="仿宋_GB2312" w:cs="仿宋_GB2312" w:eastAsia="仿宋_GB2312"/>
                <w:sz w:val="21"/>
              </w:rPr>
              <w:t>3.6 定时范围</w:t>
            </w:r>
            <w:r>
              <w:rPr>
                <w:rFonts w:ascii="仿宋_GB2312" w:hAnsi="仿宋_GB2312" w:cs="仿宋_GB2312" w:eastAsia="仿宋_GB2312"/>
                <w:sz w:val="21"/>
              </w:rPr>
              <w:t>1min~99min/连续</w:t>
            </w:r>
          </w:p>
          <w:p>
            <w:pPr>
              <w:pStyle w:val="null3"/>
              <w:jc w:val="both"/>
            </w:pPr>
            <w:r>
              <w:rPr>
                <w:rFonts w:ascii="仿宋_GB2312" w:hAnsi="仿宋_GB2312" w:cs="仿宋_GB2312" w:eastAsia="仿宋_GB2312"/>
                <w:sz w:val="21"/>
              </w:rPr>
              <w:t>3.7 重量 ≤20KG</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交货期：自合同签订之日起30日内交货。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进度款，设备安装、验收、使用科室确认合格后，达到付款条件起30个工作日内，支付合同总金额的100.0%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现行的国家标准或国家行政部门颁布的法律法规、规章制度等，为依据。符合血站技术操作规程相关要求。均须满足该项目招标技术需求，满足业务流程需求并投入使用即为验收合格。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符合出厂要求、包装完整无破损；包装标识清楚，配送产品必须为全新未拆封产品且渠道合法。 运输由乙方负责，运杂费已包含在合同总价内，包括从货物供应地点所含的运输费、装卸费、仓储费、保险费等。运输方式由乙方自行选择，但必须保证按期交货。</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期：整机质保期≥3年，终身维护。乙方对所供产品质保期应按生产厂商的承诺执行(附生产厂家承诺)，非人为损坏的，应于24小时内到达买方处并提供维修或更换。所有中标设备安装、维修、配件、人工服务、差旅费、运输等均已含在中标价。</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按《中华人民共和国民法典》、《中华人民共和国政府采购法》中的相关条款执行。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本项目采购标的所属行业为：工业。工业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3.5.2根据西安市财政局《关于促进政府采购公平竞争优化营商环境的通知》（市财函[2021]431号）文中“第16条规定投标人登记免费领取采购文件的，如不参与项目投标，应在递交投标（或响应）文件截止时间前一日以书面形式（格式如下，签字盖章后发回代理机构邮箱shanxijiatang@163.com即可）告知采购代理机构。否则，采购代理机构可以向财政部门反映情况并提供相应的佐证。供应商一年内累计出现三次该情形，将被监管部门记录失信行为”。3.5.3服务要求：1、技术服务承诺：乙方免费提供必要的技术支持，包括现场指导、集中授课、专项操作等。2、售后服务承诺：技术专员故障报修1小时内响应，小故障48小时内修复，超过48小时须提供备用机，大故障维修总时长＜7天。3、质保期内每季度须派专业技术人员上门维护设备（须描述维护内容）。4、非因操作者使用不当造成的血液/标本报废的损失费用由厂方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2025年度完整有效的财务审计报告复印件（财务报告是指经会计师事务所审计的上述指定年度整个会计年度财务报表,复印件至少须包括报告正文、资产负债表、现金流量表、所有者权益变动表及利润表、附注和会计师事务所营业执照，报告正文应当有会计师事务所公章和2名注册会计师的签字及盖章。且审计报告应当经过注册会计师行业统一监管平台备案赋码）或在开标时间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2025年度完整有效的财务审计报告复印件（财务报告是指经会计师事务所审计的上述指定年度整个会计年度财务报表,复印件至少须包括报告正文、资产负债表、现金流量表、所有者权益变动表及利润表、附注和会计师事务所营业执照，报告正文应当有会计师事务所公章和2名注册会计师的签字及盖章。且审计报告应当经过注册会计师行业统一监管平台备案赋码）或在开标时间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提供已缴纳的2026年1月起至少一个月的纳税证明或完税证明，纳税证明或完税证明上应有代收机构或税务机关的公章或业务专用章。依法免税的供应商应提供相关文件证明；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2026年1月起至少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三年无重大违法记录声明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法定代表人参加磋商的提供法定代表人身份证明及身份证，委托代理人参加磋商的提供授权委托书及委托代理人身份证；自然人只需提供身份证；并提供在投标单位缴纳的社保记录（近3个月内任意一个月）；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本项目不接受西安市中心血站职工及其亲属投资开办企业参与本单位的采购活动（提供承诺书）；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投标人提供质量保证承诺书；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响应文件封面、响应函两处的项目名称</w:t>
            </w:r>
          </w:p>
        </w:tc>
        <w:tc>
          <w:tcPr>
            <w:tcW w:type="dxa" w:w="3322"/>
          </w:tcPr>
          <w:p>
            <w:pPr>
              <w:pStyle w:val="null3"/>
            </w:pPr>
            <w:r>
              <w:rPr>
                <w:rFonts w:ascii="仿宋_GB2312" w:hAnsi="仿宋_GB2312" w:cs="仿宋_GB2312" w:eastAsia="仿宋_GB2312"/>
              </w:rPr>
              <w:t>两处均无遗漏，且与项目名称完全一致。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中小企业声明函 商务应答表 报价表 磋商方案说明书.docx 供应商承诺书.docx 资格证明文件.docx 响应文件封面 产品技术参数表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响应文件组成</w:t>
            </w:r>
          </w:p>
        </w:tc>
        <w:tc>
          <w:tcPr>
            <w:tcW w:type="dxa" w:w="3322"/>
          </w:tcPr>
          <w:p>
            <w:pPr>
              <w:pStyle w:val="null3"/>
            </w:pPr>
            <w:r>
              <w:rPr>
                <w:rFonts w:ascii="仿宋_GB2312" w:hAnsi="仿宋_GB2312" w:cs="仿宋_GB2312" w:eastAsia="仿宋_GB2312"/>
              </w:rPr>
              <w:t>按照磋商文件格式编写。</w:t>
            </w:r>
          </w:p>
        </w:tc>
        <w:tc>
          <w:tcPr>
            <w:tcW w:type="dxa" w:w="1661"/>
          </w:tcPr>
          <w:p>
            <w:pPr>
              <w:pStyle w:val="null3"/>
            </w:pPr>
            <w:r>
              <w:rPr>
                <w:rFonts w:ascii="仿宋_GB2312" w:hAnsi="仿宋_GB2312" w:cs="仿宋_GB2312" w:eastAsia="仿宋_GB2312"/>
              </w:rPr>
              <w:t>中小企业声明函 商务应答表 报价表 磋商方案说明书.docx 供应商承诺书.docx 资格证明文件.docx 响应文件封面 产品技术参数表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响应内容的完整性</w:t>
            </w:r>
          </w:p>
        </w:tc>
        <w:tc>
          <w:tcPr>
            <w:tcW w:type="dxa" w:w="3322"/>
          </w:tcPr>
          <w:p>
            <w:pPr>
              <w:pStyle w:val="null3"/>
            </w:pPr>
            <w:r>
              <w:rPr>
                <w:rFonts w:ascii="仿宋_GB2312" w:hAnsi="仿宋_GB2312" w:cs="仿宋_GB2312" w:eastAsia="仿宋_GB2312"/>
              </w:rPr>
              <w:t>响应文件内容未出现漏项或数量与要求不符</w:t>
            </w:r>
          </w:p>
        </w:tc>
        <w:tc>
          <w:tcPr>
            <w:tcW w:type="dxa" w:w="1661"/>
          </w:tcPr>
          <w:p>
            <w:pPr>
              <w:pStyle w:val="null3"/>
            </w:pPr>
            <w:r>
              <w:rPr>
                <w:rFonts w:ascii="仿宋_GB2312" w:hAnsi="仿宋_GB2312" w:cs="仿宋_GB2312" w:eastAsia="仿宋_GB2312"/>
              </w:rPr>
              <w:t>中小企业声明函 商务应答表 报价表 磋商方案说明书.docx 供应商承诺书.docx 资格证明文件.docx 响应文件封面 产品技术参数表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符合磋商文件要求 1.报价符合唯一性要求； 2.未超出磋商文件规定的最高限价。</w:t>
            </w:r>
          </w:p>
        </w:tc>
        <w:tc>
          <w:tcPr>
            <w:tcW w:type="dxa" w:w="1661"/>
          </w:tcPr>
          <w:p>
            <w:pPr>
              <w:pStyle w:val="null3"/>
            </w:pPr>
            <w:r>
              <w:rPr>
                <w:rFonts w:ascii="仿宋_GB2312" w:hAnsi="仿宋_GB2312" w:cs="仿宋_GB2312" w:eastAsia="仿宋_GB2312"/>
              </w:rPr>
              <w:t>响应文件封面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所投产品的技术指标完全满足招标文件第三章“3.3技术要求”共24项，得36分。每不满足一项技术指标扣1.5分，扣完为止。 供应商须提供相关的证明材料，供应商需尽可能多的提供相关的技术、功能证明材料（包括但不限于材质材料、检测机构出具的检测报告、工艺技术说明、产品彩页等）予以佐证；并在技术参数偏离表备注栏中注明支持材料标注对应页码及位置，无证明资料或证明资料不能证明其满足参数技术指标的，将被视为负偏离。</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供应商针对本项目提供具体可行的设备选型方案，包括：①所投产品型号、功能、技术规格等详细信息描述；②根据所投产品品牌与配置清单，设备配置先进、选型科学合理，从配置完整性、性能稳定性、兼容性、行业使用广泛性、节能产品或环境标志产品等方面描述（供应商须提供证明材料）。 （1）设备选型方案思路清晰、科学合理、可行性强、完全满足采购人需求得5分； （2）设备选型方案思路清晰、科学合理、有可行性、满足采购人需求得4分； （3）设备选型方案合理完善、有可行性、但存在瑕疵，得3分； （4）设备选型方案有缺漏项、内容简单且存在多处瑕疵得2分；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根据供应商提供的产品来源渠道合法的证明文件（包括但不限于销售协议、代理协议、原厂授权等） 供应商提供的证明材料齐全、且内容完全说明其渠道来源的得2分；未提供或提供不全得0分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投标人针对本项目提出具体的实施方案，方案内容包括：①技术方案；②质量保证措施；③组织实施方案；④供货方案；⑤培训方案、验收方案。二、评审标准 1、完整性：方案须全面，对评审内容中的各项要求有详细描述； 2、可实施性：切合本项目实际情况，实施步骤清晰、合理； 3、针对性：方案能够紧扣本项目所采购设备种类等实际情况，内容科学合理。 三、赋分依据（满分15分）上述5项评审内容，共15分。每项评审内容满分为3分，每项评审内容满足一项评审标准得1分；每有一项评审内容的评审标准存在缺陷，扣0.5分。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在满足整机质保期3年的基础上，每延长1年增加2分，最多加6分。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提供供应商2023年7月1日至今核心产品业绩（以合同签订时间为准），1份业绩得1分，业绩满分6分（提供完整的合同复印件）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评标基准价／投标报价)×30。计算分数时四舍五入取小数点后两位。投标单价之和作为评审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