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版本号：ZX2026-05-2520260612001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数据中台建设项目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ZX2026-05-25</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数据中台建设项目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数据中台建设项目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数据中台与统一身份认证平台两大核心系统，配套提供定制化服务与实施服务，通过数据中台构建起我校数据标准、数据采集规范、数据治理常态化、数据服务开放、数据可视化展示于一体的全链路数据支撑体系；同时依托统一身份认证平台，实现全校用户身份统一管理、认证服务统一接入和系统权限统一管控，辅以大数据基座搭建、决策分析服务及认证集成、数据治理等定制化服务及实施保障服务，为学校数据资源的规范汇聚、安全共享、高效利用与科学决策筑牢坚实的数字化底座，全面支撑学校智慧校园建设与教育教学管理的数字化转型。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采购包1保证金金额：30,525.00元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说明：合同签订前，中标人须向采购人缴纳项目履约保证金，金额为合同总金额的5%。项目验收合格后，采购人一次性无息返还。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数据中台与统一身份认证平台两大核心系统，配套提供定制化服务与实施服务，通过数据中台构建起我校数据标准、数据采集规范、数据治理常态化、数据服务开放、数据可视化展示于一体的全链路数据支撑体系；同时依托统一身份认证平台，实现全校用户身份统一管理、认证服务统一接入和系统权限统一管控，辅以大数据基座搭建、决策分析服务及认证集成、数据治理等定制化服务及实施保障服务，为学校数据资源的规范汇聚、安全共享、高效利用与科学决策筑牢坚实的数字化底座，全面支撑学校智慧校园建设与教育教学管理的数字化转型。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数据中台建设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标的名称：数据中台建设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一、建设清单</w:t>
            </w:r>
          </w:p>
          <w:tbl>
            <w:tblPr>
              <w:tblBorders>
                <w:top w:val="single"/>
                <w:left w:val="single"/>
                <w:bottom w:val="single"/>
                <w:right w:val="single"/>
                <w:insideH w:val="single"/>
                <w:insideV w:val="single"/>
              </w:tblBorders>
            </w:tblPr>
            <w:tblGrid>
              <w:gridCol w:w="638"/>
              <w:gridCol w:w="638"/>
              <w:gridCol w:w="638"/>
              <w:gridCol w:w="638"/>
            </w:tblGrid>
            <w:tr>
              <w:tc>
                <w:tcPr>
                  <w:tcW w:type="dxa" w:w="1276"/>
                  <w:gridSpan w:val="2"/>
                </w:tcPr>
                <w:p>
                  <w:pPr>
                    <w:pStyle w:val="null3"/>
                  </w:pPr>
                  <w:r>
                    <w:rPr>
                      <w:rFonts w:ascii="仿宋_GB2312" w:hAnsi="仿宋_GB2312" w:cs="仿宋_GB2312" w:eastAsia="仿宋_GB2312"/>
                    </w:rPr>
                    <w:t>采购名称</w:t>
                  </w:r>
                </w:p>
              </w:tc>
              <w:tc>
                <w:tcPr>
                  <w:tcW w:type="dxa" w:w="638"/>
                </w:tcPr>
                <w:p>
                  <w:pPr>
                    <w:pStyle w:val="null3"/>
                  </w:pPr>
                  <w:r>
                    <w:rPr>
                      <w:rFonts w:ascii="仿宋_GB2312" w:hAnsi="仿宋_GB2312" w:cs="仿宋_GB2312" w:eastAsia="仿宋_GB2312"/>
                    </w:rPr>
                    <w:t>建设内容</w:t>
                  </w:r>
                </w:p>
              </w:tc>
              <w:tc>
                <w:tcPr>
                  <w:tcW w:type="dxa" w:w="638"/>
                </w:tcPr>
                <w:p>
                  <w:pPr>
                    <w:pStyle w:val="null3"/>
                  </w:pPr>
                  <w:r>
                    <w:rPr>
                      <w:rFonts w:ascii="仿宋_GB2312" w:hAnsi="仿宋_GB2312" w:cs="仿宋_GB2312" w:eastAsia="仿宋_GB2312"/>
                    </w:rPr>
                    <w:t>数量</w:t>
                  </w:r>
                </w:p>
              </w:tc>
            </w:tr>
            <w:tr>
              <w:tc>
                <w:tcPr>
                  <w:tcW w:type="dxa" w:w="638"/>
                  <w:vMerge w:val="restart"/>
                </w:tcPr>
                <w:p>
                  <w:pPr>
                    <w:pStyle w:val="null3"/>
                  </w:pPr>
                  <w:r>
                    <w:rPr>
                      <w:rFonts w:ascii="仿宋_GB2312" w:hAnsi="仿宋_GB2312" w:cs="仿宋_GB2312" w:eastAsia="仿宋_GB2312"/>
                    </w:rPr>
                    <w:t>数据中台（核心产品）</w:t>
                  </w:r>
                </w:p>
              </w:tc>
              <w:tc>
                <w:tcPr>
                  <w:tcW w:type="dxa" w:w="638"/>
                  <w:vMerge w:val="restart"/>
                </w:tcPr>
                <w:p>
                  <w:pPr>
                    <w:pStyle w:val="null3"/>
                  </w:pPr>
                  <w:r>
                    <w:rPr>
                      <w:rFonts w:ascii="仿宋_GB2312" w:hAnsi="仿宋_GB2312" w:cs="仿宋_GB2312" w:eastAsia="仿宋_GB2312"/>
                    </w:rPr>
                    <w:t>数据资产管理平台</w:t>
                  </w:r>
                </w:p>
              </w:tc>
              <w:tc>
                <w:tcPr>
                  <w:tcW w:type="dxa" w:w="638"/>
                </w:tcPr>
                <w:p>
                  <w:pPr>
                    <w:pStyle w:val="null3"/>
                  </w:pPr>
                  <w:r>
                    <w:rPr>
                      <w:rFonts w:ascii="仿宋_GB2312" w:hAnsi="仿宋_GB2312" w:cs="仿宋_GB2312" w:eastAsia="仿宋_GB2312"/>
                    </w:rPr>
                    <w:t>信息标准管理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元数据管理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权责认定管理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数据交换管理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无源数据采集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主数据管理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数据安全与备份管理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数据服务管理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数据目录管理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数据质量管理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湖仓一体化管理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日志管理</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导航服务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val="restart"/>
                </w:tcPr>
                <w:p>
                  <w:pPr>
                    <w:pStyle w:val="null3"/>
                  </w:pPr>
                  <w:r>
                    <w:rPr>
                      <w:rFonts w:ascii="仿宋_GB2312" w:hAnsi="仿宋_GB2312" w:cs="仿宋_GB2312" w:eastAsia="仿宋_GB2312"/>
                    </w:rPr>
                    <w:t>数据资产服务平台</w:t>
                  </w:r>
                </w:p>
              </w:tc>
              <w:tc>
                <w:tcPr>
                  <w:tcW w:type="dxa" w:w="638"/>
                </w:tcPr>
                <w:p>
                  <w:pPr>
                    <w:pStyle w:val="null3"/>
                  </w:pPr>
                  <w:r>
                    <w:rPr>
                      <w:rFonts w:ascii="仿宋_GB2312" w:hAnsi="仿宋_GB2312" w:cs="仿宋_GB2312" w:eastAsia="仿宋_GB2312"/>
                    </w:rPr>
                    <w:t>数据工作台</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数据看板</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数据地图</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模型公示服务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代码公示服务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数据目录服务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API目录服务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主题查询服务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数据质量服务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数据确权服务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无源数据采集服务</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val="restart"/>
                </w:tcPr>
                <w:p>
                  <w:pPr>
                    <w:pStyle w:val="null3"/>
                  </w:pPr>
                  <w:r>
                    <w:rPr>
                      <w:rFonts w:ascii="仿宋_GB2312" w:hAnsi="仿宋_GB2312" w:cs="仿宋_GB2312" w:eastAsia="仿宋_GB2312"/>
                    </w:rPr>
                    <w:t>数据资产监控平台</w:t>
                  </w:r>
                </w:p>
              </w:tc>
              <w:tc>
                <w:tcPr>
                  <w:tcW w:type="dxa" w:w="638"/>
                </w:tcPr>
                <w:p>
                  <w:pPr>
                    <w:pStyle w:val="null3"/>
                  </w:pPr>
                  <w:r>
                    <w:rPr>
                      <w:rFonts w:ascii="仿宋_GB2312" w:hAnsi="仿宋_GB2312" w:cs="仿宋_GB2312" w:eastAsia="仿宋_GB2312"/>
                    </w:rPr>
                    <w:t>数换监控大屏</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数据驾驶舱</w:t>
                  </w:r>
                </w:p>
              </w:tc>
              <w:tc>
                <w:tcPr>
                  <w:tcW w:type="dxa" w:w="638"/>
                </w:tcPr>
                <w:p>
                  <w:pPr>
                    <w:pStyle w:val="null3"/>
                  </w:pPr>
                  <w:r>
                    <w:rPr>
                      <w:rFonts w:ascii="仿宋_GB2312" w:hAnsi="仿宋_GB2312" w:cs="仿宋_GB2312" w:eastAsia="仿宋_GB2312"/>
                    </w:rPr>
                    <w:t>1套</w:t>
                  </w:r>
                </w:p>
              </w:tc>
            </w:tr>
            <w:tr>
              <w:tc>
                <w:tcPr>
                  <w:tcW w:type="dxa" w:w="638"/>
                  <w:vMerge/>
                </w:tcPr>
                <w:p/>
              </w:tc>
              <w:tc>
                <w:tcPr>
                  <w:tcW w:type="dxa" w:w="1276"/>
                  <w:gridSpan w:val="2"/>
                </w:tcPr>
                <w:p>
                  <w:pPr>
                    <w:pStyle w:val="null3"/>
                  </w:pPr>
                  <w:r>
                    <w:rPr>
                      <w:rFonts w:ascii="仿宋_GB2312" w:hAnsi="仿宋_GB2312" w:cs="仿宋_GB2312" w:eastAsia="仿宋_GB2312"/>
                    </w:rPr>
                    <w:t>数据大屏工具</w:t>
                  </w:r>
                </w:p>
              </w:tc>
              <w:tc>
                <w:tcPr>
                  <w:tcW w:type="dxa" w:w="638"/>
                </w:tcPr>
                <w:p>
                  <w:pPr>
                    <w:pStyle w:val="null3"/>
                  </w:pPr>
                  <w:r>
                    <w:rPr>
                      <w:rFonts w:ascii="仿宋_GB2312" w:hAnsi="仿宋_GB2312" w:cs="仿宋_GB2312" w:eastAsia="仿宋_GB2312"/>
                    </w:rPr>
                    <w:t>1套</w:t>
                  </w:r>
                </w:p>
              </w:tc>
            </w:tr>
            <w:tr>
              <w:tc>
                <w:tcPr>
                  <w:tcW w:type="dxa" w:w="1276"/>
                  <w:gridSpan w:val="2"/>
                  <w:vMerge w:val="restart"/>
                </w:tcPr>
                <w:p>
                  <w:pPr>
                    <w:pStyle w:val="null3"/>
                  </w:pPr>
                  <w:r>
                    <w:rPr>
                      <w:rFonts w:ascii="仿宋_GB2312" w:hAnsi="仿宋_GB2312" w:cs="仿宋_GB2312" w:eastAsia="仿宋_GB2312"/>
                    </w:rPr>
                    <w:t>统一身份认证平台</w:t>
                  </w:r>
                </w:p>
              </w:tc>
              <w:tc>
                <w:tcPr>
                  <w:tcW w:type="dxa" w:w="638"/>
                </w:tcPr>
                <w:p>
                  <w:pPr>
                    <w:pStyle w:val="null3"/>
                  </w:pPr>
                  <w:r>
                    <w:rPr>
                      <w:rFonts w:ascii="仿宋_GB2312" w:hAnsi="仿宋_GB2312" w:cs="仿宋_GB2312" w:eastAsia="仿宋_GB2312"/>
                    </w:rPr>
                    <w:t>统一用户中心</w:t>
                  </w:r>
                </w:p>
              </w:tc>
              <w:tc>
                <w:tcPr>
                  <w:tcW w:type="dxa" w:w="638"/>
                </w:tcPr>
                <w:p>
                  <w:pPr>
                    <w:pStyle w:val="null3"/>
                  </w:pPr>
                  <w:r>
                    <w:rPr>
                      <w:rFonts w:ascii="仿宋_GB2312" w:hAnsi="仿宋_GB2312" w:cs="仿宋_GB2312" w:eastAsia="仿宋_GB2312"/>
                    </w:rPr>
                    <w:t>1套</w:t>
                  </w:r>
                </w:p>
              </w:tc>
            </w:tr>
            <w:tr>
              <w:tc>
                <w:tcPr>
                  <w:tcW w:type="dxa" w:w="1276"/>
                  <w:gridSpan w:val="2"/>
                  <w:vMerge/>
                </w:tcPr>
                <w:p/>
              </w:tc>
              <w:tc>
                <w:tcPr>
                  <w:tcW w:type="dxa" w:w="638"/>
                </w:tcPr>
                <w:p>
                  <w:pPr>
                    <w:pStyle w:val="null3"/>
                  </w:pPr>
                  <w:r>
                    <w:rPr>
                      <w:rFonts w:ascii="仿宋_GB2312" w:hAnsi="仿宋_GB2312" w:cs="仿宋_GB2312" w:eastAsia="仿宋_GB2312"/>
                    </w:rPr>
                    <w:t>统一身份认证中心</w:t>
                  </w:r>
                </w:p>
              </w:tc>
              <w:tc>
                <w:tcPr>
                  <w:tcW w:type="dxa" w:w="638"/>
                </w:tcPr>
                <w:p>
                  <w:pPr>
                    <w:pStyle w:val="null3"/>
                  </w:pPr>
                  <w:r>
                    <w:rPr>
                      <w:rFonts w:ascii="仿宋_GB2312" w:hAnsi="仿宋_GB2312" w:cs="仿宋_GB2312" w:eastAsia="仿宋_GB2312"/>
                    </w:rPr>
                    <w:t>1套</w:t>
                  </w:r>
                </w:p>
              </w:tc>
            </w:tr>
            <w:tr>
              <w:tc>
                <w:tcPr>
                  <w:tcW w:type="dxa" w:w="1276"/>
                  <w:gridSpan w:val="2"/>
                  <w:vMerge/>
                </w:tcPr>
                <w:p/>
              </w:tc>
              <w:tc>
                <w:tcPr>
                  <w:tcW w:type="dxa" w:w="638"/>
                </w:tcPr>
                <w:p>
                  <w:pPr>
                    <w:pStyle w:val="null3"/>
                  </w:pPr>
                  <w:r>
                    <w:rPr>
                      <w:rFonts w:ascii="仿宋_GB2312" w:hAnsi="仿宋_GB2312" w:cs="仿宋_GB2312" w:eastAsia="仿宋_GB2312"/>
                    </w:rPr>
                    <w:t>权限中心</w:t>
                  </w:r>
                </w:p>
              </w:tc>
              <w:tc>
                <w:tcPr>
                  <w:tcW w:type="dxa" w:w="638"/>
                </w:tcPr>
                <w:p>
                  <w:pPr>
                    <w:pStyle w:val="null3"/>
                  </w:pPr>
                  <w:r>
                    <w:rPr>
                      <w:rFonts w:ascii="仿宋_GB2312" w:hAnsi="仿宋_GB2312" w:cs="仿宋_GB2312" w:eastAsia="仿宋_GB2312"/>
                    </w:rPr>
                    <w:t>1套</w:t>
                  </w:r>
                </w:p>
              </w:tc>
            </w:tr>
            <w:tr>
              <w:tc>
                <w:tcPr>
                  <w:tcW w:type="dxa" w:w="1276"/>
                  <w:gridSpan w:val="2"/>
                  <w:vMerge w:val="restart"/>
                </w:tcPr>
                <w:p>
                  <w:pPr>
                    <w:pStyle w:val="null3"/>
                  </w:pPr>
                  <w:r>
                    <w:rPr>
                      <w:rFonts w:ascii="仿宋_GB2312" w:hAnsi="仿宋_GB2312" w:cs="仿宋_GB2312" w:eastAsia="仿宋_GB2312"/>
                    </w:rPr>
                    <w:t>定制化服务</w:t>
                  </w:r>
                </w:p>
              </w:tc>
              <w:tc>
                <w:tcPr>
                  <w:tcW w:type="dxa" w:w="638"/>
                </w:tcPr>
                <w:p>
                  <w:pPr>
                    <w:pStyle w:val="null3"/>
                  </w:pPr>
                  <w:r>
                    <w:rPr>
                      <w:rFonts w:ascii="仿宋_GB2312" w:hAnsi="仿宋_GB2312" w:cs="仿宋_GB2312" w:eastAsia="仿宋_GB2312"/>
                    </w:rPr>
                    <w:t>大数据基座</w:t>
                  </w:r>
                </w:p>
              </w:tc>
              <w:tc>
                <w:tcPr>
                  <w:tcW w:type="dxa" w:w="638"/>
                </w:tcPr>
                <w:p>
                  <w:pPr>
                    <w:pStyle w:val="null3"/>
                  </w:pPr>
                  <w:r>
                    <w:rPr>
                      <w:rFonts w:ascii="仿宋_GB2312" w:hAnsi="仿宋_GB2312" w:cs="仿宋_GB2312" w:eastAsia="仿宋_GB2312"/>
                    </w:rPr>
                    <w:t>1套</w:t>
                  </w:r>
                </w:p>
              </w:tc>
            </w:tr>
            <w:tr>
              <w:tc>
                <w:tcPr>
                  <w:tcW w:type="dxa" w:w="1276"/>
                  <w:gridSpan w:val="2"/>
                  <w:vMerge/>
                </w:tcPr>
                <w:p/>
              </w:tc>
              <w:tc>
                <w:tcPr>
                  <w:tcW w:type="dxa" w:w="638"/>
                </w:tcPr>
                <w:p>
                  <w:pPr>
                    <w:pStyle w:val="null3"/>
                  </w:pPr>
                  <w:r>
                    <w:rPr>
                      <w:rFonts w:ascii="仿宋_GB2312" w:hAnsi="仿宋_GB2312" w:cs="仿宋_GB2312" w:eastAsia="仿宋_GB2312"/>
                    </w:rPr>
                    <w:t>决策分析服务</w:t>
                  </w:r>
                </w:p>
              </w:tc>
              <w:tc>
                <w:tcPr>
                  <w:tcW w:type="dxa" w:w="638"/>
                </w:tcPr>
                <w:p>
                  <w:pPr>
                    <w:pStyle w:val="null3"/>
                  </w:pPr>
                  <w:r>
                    <w:rPr>
                      <w:rFonts w:ascii="仿宋_GB2312" w:hAnsi="仿宋_GB2312" w:cs="仿宋_GB2312" w:eastAsia="仿宋_GB2312"/>
                    </w:rPr>
                    <w:t>1套</w:t>
                  </w:r>
                </w:p>
              </w:tc>
            </w:tr>
            <w:tr>
              <w:tc>
                <w:tcPr>
                  <w:tcW w:type="dxa" w:w="1276"/>
                  <w:gridSpan w:val="2"/>
                  <w:vMerge w:val="restart"/>
                </w:tcPr>
                <w:p>
                  <w:pPr>
                    <w:pStyle w:val="null3"/>
                  </w:pPr>
                  <w:r>
                    <w:rPr>
                      <w:rFonts w:ascii="仿宋_GB2312" w:hAnsi="仿宋_GB2312" w:cs="仿宋_GB2312" w:eastAsia="仿宋_GB2312"/>
                    </w:rPr>
                    <w:t>实施服务</w:t>
                  </w:r>
                </w:p>
              </w:tc>
              <w:tc>
                <w:tcPr>
                  <w:tcW w:type="dxa" w:w="638"/>
                </w:tcPr>
                <w:p>
                  <w:pPr>
                    <w:pStyle w:val="null3"/>
                  </w:pPr>
                  <w:r>
                    <w:rPr>
                      <w:rFonts w:ascii="仿宋_GB2312" w:hAnsi="仿宋_GB2312" w:cs="仿宋_GB2312" w:eastAsia="仿宋_GB2312"/>
                    </w:rPr>
                    <w:t>数据治理服务</w:t>
                  </w:r>
                </w:p>
              </w:tc>
              <w:tc>
                <w:tcPr>
                  <w:tcW w:type="dxa" w:w="638"/>
                </w:tcPr>
                <w:p>
                  <w:pPr>
                    <w:pStyle w:val="null3"/>
                  </w:pPr>
                  <w:r>
                    <w:rPr>
                      <w:rFonts w:ascii="仿宋_GB2312" w:hAnsi="仿宋_GB2312" w:cs="仿宋_GB2312" w:eastAsia="仿宋_GB2312"/>
                    </w:rPr>
                    <w:t>1套</w:t>
                  </w:r>
                </w:p>
              </w:tc>
            </w:tr>
            <w:tr>
              <w:tc>
                <w:tcPr>
                  <w:tcW w:type="dxa" w:w="1276"/>
                  <w:gridSpan w:val="2"/>
                  <w:vMerge/>
                </w:tcPr>
                <w:p/>
              </w:tc>
              <w:tc>
                <w:tcPr>
                  <w:tcW w:type="dxa" w:w="638"/>
                </w:tcPr>
                <w:p>
                  <w:pPr>
                    <w:pStyle w:val="null3"/>
                  </w:pPr>
                  <w:r>
                    <w:rPr>
                      <w:rFonts w:ascii="仿宋_GB2312" w:hAnsi="仿宋_GB2312" w:cs="仿宋_GB2312" w:eastAsia="仿宋_GB2312"/>
                    </w:rPr>
                    <w:t>认证对接服务</w:t>
                  </w:r>
                </w:p>
              </w:tc>
              <w:tc>
                <w:tcPr>
                  <w:tcW w:type="dxa" w:w="638"/>
                </w:tcPr>
                <w:p>
                  <w:pPr>
                    <w:pStyle w:val="null3"/>
                  </w:pPr>
                  <w:r>
                    <w:rPr>
                      <w:rFonts w:ascii="仿宋_GB2312" w:hAnsi="仿宋_GB2312" w:cs="仿宋_GB2312" w:eastAsia="仿宋_GB2312"/>
                    </w:rPr>
                    <w:t>1套</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（一）总体技术要求</w:t>
            </w:r>
          </w:p>
          <w:p>
            <w:pPr>
              <w:pStyle w:val="null3"/>
            </w:pPr>
            <w:r>
              <w:rPr>
                <w:rFonts w:ascii="仿宋_GB2312" w:hAnsi="仿宋_GB2312" w:cs="仿宋_GB2312" w:eastAsia="仿宋_GB2312"/>
              </w:rPr>
              <w:t>1.数据同步模式支持ETL、ELT双模式数据处理，兼容离线批量同步、实时增量同步，断点续传、数据压缩传输，保障数据同步稳定性。</w:t>
            </w:r>
          </w:p>
          <w:p>
            <w:pPr>
              <w:pStyle w:val="null3"/>
            </w:pPr>
            <w:r>
              <w:rPr>
                <w:rFonts w:ascii="仿宋_GB2312" w:hAnsi="仿宋_GB2312" w:cs="仿宋_GB2312" w:eastAsia="仿宋_GB2312"/>
              </w:rPr>
              <w:t>2.数据源兼容JDBC、API接口、文件（Excel/CSV/XML）、消息队列、日志文件等多源接入；兼容MySQL、Oracle、SQL Server、PostgreSQL、MongoDB、Hive、达梦、人大金仓等国内外主流数据库。</w:t>
            </w:r>
          </w:p>
          <w:p>
            <w:pPr>
              <w:pStyle w:val="null3"/>
            </w:pPr>
            <w:r>
              <w:rPr>
                <w:rFonts w:ascii="仿宋_GB2312" w:hAnsi="仿宋_GB2312" w:cs="仿宋_GB2312" w:eastAsia="仿宋_GB2312"/>
              </w:rPr>
              <w:t>3.数据交换性能，在标准硬件配置下（如8核CPU、32GB内存、SSD存储），单表百万级数据同步耗时≤60分钟，增量同步延迟≤500ms。</w:t>
            </w:r>
          </w:p>
          <w:p>
            <w:pPr>
              <w:pStyle w:val="null3"/>
            </w:pPr>
            <w:r>
              <w:rPr>
                <w:rFonts w:ascii="仿宋_GB2312" w:hAnsi="仿宋_GB2312" w:cs="仿宋_GB2312" w:eastAsia="仿宋_GB2312"/>
              </w:rPr>
              <w:t>4.任务调度，定时调度、依赖调度、手动触发调度，任务失败告警、重试机制，可视化监控任务执行状态。</w:t>
            </w:r>
          </w:p>
          <w:p>
            <w:pPr>
              <w:pStyle w:val="null3"/>
            </w:pPr>
            <w:r>
              <w:rPr>
                <w:rFonts w:ascii="仿宋_GB2312" w:hAnsi="仿宋_GB2312" w:cs="仿宋_GB2312" w:eastAsia="仿宋_GB2312"/>
              </w:rPr>
              <w:t>5.存储架构，采用湖仓一体架构，数据湖（对象存储/HDFS）+数据仓库混合存储，PB级数据扩展，冷热数据分层存储。</w:t>
            </w:r>
          </w:p>
          <w:p>
            <w:pPr>
              <w:pStyle w:val="null3"/>
            </w:pPr>
            <w:r>
              <w:rPr>
                <w:rFonts w:ascii="仿宋_GB2312" w:hAnsi="仿宋_GB2312" w:cs="仿宋_GB2312" w:eastAsia="仿宋_GB2312"/>
              </w:rPr>
              <w:t>6.计算引擎，Spark、Flink分布式计算引擎，离线分析响应时间≤10秒，多任务并行计算。</w:t>
            </w:r>
          </w:p>
          <w:p>
            <w:pPr>
              <w:pStyle w:val="null3"/>
            </w:pPr>
            <w:r>
              <w:rPr>
                <w:rFonts w:ascii="仿宋_GB2312" w:hAnsi="仿宋_GB2312" w:cs="仿宋_GB2312" w:eastAsia="仿宋_GB2312"/>
              </w:rPr>
              <w:t>7.服务方式，提供API网关、数据接口、数据订阅、文件导出等服务模式，RESTful、GraphQL标准接口。</w:t>
            </w:r>
          </w:p>
          <w:p>
            <w:pPr>
              <w:pStyle w:val="null3"/>
            </w:pPr>
            <w:r>
              <w:rPr>
                <w:rFonts w:ascii="仿宋_GB2312" w:hAnsi="仿宋_GB2312" w:cs="仿宋_GB2312" w:eastAsia="仿宋_GB2312"/>
              </w:rPr>
              <w:t>8.接口性能，接口平均响应时间≤200ms，并发请求≥1000，接口调用成功率≥99.9%。</w:t>
            </w:r>
          </w:p>
          <w:p>
            <w:pPr>
              <w:pStyle w:val="null3"/>
            </w:pPr>
            <w:r>
              <w:rPr>
                <w:rFonts w:ascii="仿宋_GB2312" w:hAnsi="仿宋_GB2312" w:cs="仿宋_GB2312" w:eastAsia="仿宋_GB2312"/>
              </w:rPr>
              <w:t>9.▲数据平台需支持≥10000个用户同时在线使用，≥2000个用户并发，平均响应时间≤1S，异常类≤2%；库对库操作每秒处理速度≥10000条；文件对库操作每秒处理速度≥8000条；库对文件操作每秒处理速度≥10000条。</w:t>
            </w:r>
          </w:p>
          <w:p>
            <w:pPr>
              <w:pStyle w:val="null3"/>
            </w:pPr>
            <w:r>
              <w:rPr>
                <w:rFonts w:ascii="仿宋_GB2312" w:hAnsi="仿宋_GB2312" w:cs="仿宋_GB2312" w:eastAsia="仿宋_GB2312"/>
              </w:rPr>
              <w:t>10.▲认证平台需支持30000以上用户同时在线，3000用户并发登陆操作，平均响应时间≤0.5秒。</w:t>
            </w:r>
          </w:p>
          <w:p>
            <w:pPr>
              <w:pStyle w:val="null3"/>
            </w:pPr>
            <w:r>
              <w:rPr>
                <w:rFonts w:ascii="仿宋_GB2312" w:hAnsi="仿宋_GB2312" w:cs="仿宋_GB2312" w:eastAsia="仿宋_GB2312"/>
              </w:rPr>
              <w:t>（二）功能与内容要求</w:t>
            </w:r>
          </w:p>
          <w:p>
            <w:pPr>
              <w:pStyle w:val="null3"/>
            </w:pPr>
            <w:r>
              <w:rPr>
                <w:rFonts w:ascii="仿宋_GB2312" w:hAnsi="仿宋_GB2312" w:cs="仿宋_GB2312" w:eastAsia="仿宋_GB2312"/>
              </w:rPr>
              <w:t>1数据中台</w:t>
            </w:r>
          </w:p>
          <w:p>
            <w:pPr>
              <w:pStyle w:val="null3"/>
            </w:pPr>
            <w:r>
              <w:rPr>
                <w:rFonts w:ascii="仿宋_GB2312" w:hAnsi="仿宋_GB2312" w:cs="仿宋_GB2312" w:eastAsia="仿宋_GB2312"/>
              </w:rPr>
              <w:t>1.1数据资产管理</w:t>
            </w:r>
          </w:p>
          <w:p>
            <w:pPr>
              <w:pStyle w:val="null3"/>
            </w:pPr>
            <w:r>
              <w:rPr>
                <w:rFonts w:ascii="仿宋_GB2312" w:hAnsi="仿宋_GB2312" w:cs="仿宋_GB2312" w:eastAsia="仿宋_GB2312"/>
              </w:rPr>
              <w:t>1.1.1信息标准管理</w:t>
            </w:r>
          </w:p>
          <w:p>
            <w:pPr>
              <w:pStyle w:val="null3"/>
            </w:pPr>
            <w:r>
              <w:rPr>
                <w:rFonts w:ascii="仿宋_GB2312" w:hAnsi="仿宋_GB2312" w:cs="仿宋_GB2312" w:eastAsia="仿宋_GB2312"/>
              </w:rPr>
              <w:t>1）参考代码管理：参考代码主要包括国家标准、教育部标准、教育行业标准等内容。</w:t>
            </w:r>
          </w:p>
          <w:p>
            <w:pPr>
              <w:pStyle w:val="null3"/>
            </w:pPr>
            <w:r>
              <w:rPr>
                <w:rFonts w:ascii="仿宋_GB2312" w:hAnsi="仿宋_GB2312" w:cs="仿宋_GB2312" w:eastAsia="仿宋_GB2312"/>
              </w:rPr>
              <w:t>2）资源代码管理：要求取自学校现有业务系统代码，为制定校标的执行代码提供参考依据。</w:t>
            </w:r>
          </w:p>
          <w:p>
            <w:pPr>
              <w:pStyle w:val="null3"/>
            </w:pPr>
            <w:r>
              <w:rPr>
                <w:rFonts w:ascii="仿宋_GB2312" w:hAnsi="仿宋_GB2312" w:cs="仿宋_GB2312" w:eastAsia="仿宋_GB2312"/>
              </w:rPr>
              <w:t>3）执行代码管理：执行代码是学校按照自己的实际需要，引用参考代码和资源代码或者自定义代码，制定符合学校自身需要的校级执行标准代码。</w:t>
            </w:r>
          </w:p>
          <w:p>
            <w:pPr>
              <w:pStyle w:val="null3"/>
            </w:pPr>
            <w:r>
              <w:rPr>
                <w:rFonts w:ascii="仿宋_GB2312" w:hAnsi="仿宋_GB2312" w:cs="仿宋_GB2312" w:eastAsia="仿宋_GB2312"/>
              </w:rPr>
              <w:t>4）代码映射管理：反映执行代码与业务系统代码之间的映射关系。</w:t>
            </w:r>
          </w:p>
          <w:p>
            <w:pPr>
              <w:pStyle w:val="null3"/>
            </w:pPr>
            <w:r>
              <w:rPr>
                <w:rFonts w:ascii="仿宋_GB2312" w:hAnsi="仿宋_GB2312" w:cs="仿宋_GB2312" w:eastAsia="仿宋_GB2312"/>
              </w:rPr>
              <w:t>5）代码版本管理：支持版本对比，可生成对比清单。</w:t>
            </w:r>
          </w:p>
          <w:p>
            <w:pPr>
              <w:pStyle w:val="null3"/>
            </w:pPr>
            <w:r>
              <w:rPr>
                <w:rFonts w:ascii="仿宋_GB2312" w:hAnsi="仿宋_GB2312" w:cs="仿宋_GB2312" w:eastAsia="仿宋_GB2312"/>
              </w:rPr>
              <w:t>6）参考模型管理：提供教育部标准作为参考模型。</w:t>
            </w:r>
          </w:p>
          <w:p>
            <w:pPr>
              <w:pStyle w:val="null3"/>
            </w:pPr>
            <w:r>
              <w:rPr>
                <w:rFonts w:ascii="仿宋_GB2312" w:hAnsi="仿宋_GB2312" w:cs="仿宋_GB2312" w:eastAsia="仿宋_GB2312"/>
              </w:rPr>
              <w:t>7）执行模型管理：展示所有的执行模型内容，支持对数据子集、数据类、数据子类和数据项的增、删、改、查等功能。</w:t>
            </w:r>
          </w:p>
          <w:p>
            <w:pPr>
              <w:pStyle w:val="null3"/>
            </w:pPr>
            <w:r>
              <w:rPr>
                <w:rFonts w:ascii="仿宋_GB2312" w:hAnsi="仿宋_GB2312" w:cs="仿宋_GB2312" w:eastAsia="仿宋_GB2312"/>
              </w:rPr>
              <w:t>8)模型稽核管理，提供执行模型与物理表的表完整性、字段完整性、字段一致性检测。模型稽核配置，可针对定时策略、路由策略、调度过期策略、阻塞处理策略、任务超时时间、失败重试次数、异常联系人及通知方式等进行配置。针对模型稽核结果进行统计，查看标准存在库表不存在或标准不存在库表存在等情况，查看明细数据，并一键修复。模型稽核查看已修复数据（要求演示）。</w:t>
            </w:r>
          </w:p>
          <w:p>
            <w:pPr>
              <w:pStyle w:val="null3"/>
            </w:pPr>
            <w:r>
              <w:rPr>
                <w:rFonts w:ascii="仿宋_GB2312" w:hAnsi="仿宋_GB2312" w:cs="仿宋_GB2312" w:eastAsia="仿宋_GB2312"/>
              </w:rPr>
              <w:t>9）模型版本管理：提供版本对比、删除、下载、查询。支持模型版本导出为excel、word格式的文件。</w:t>
            </w:r>
          </w:p>
          <w:p>
            <w:pPr>
              <w:pStyle w:val="null3"/>
            </w:pPr>
            <w:r>
              <w:rPr>
                <w:rFonts w:ascii="仿宋_GB2312" w:hAnsi="仿宋_GB2312" w:cs="仿宋_GB2312" w:eastAsia="仿宋_GB2312"/>
              </w:rPr>
              <w:t>10)规范文档管理：提供规范文档上传、修改、发布、删除和查看功能。</w:t>
            </w:r>
          </w:p>
          <w:p>
            <w:pPr>
              <w:pStyle w:val="null3"/>
            </w:pPr>
            <w:r>
              <w:rPr>
                <w:rFonts w:ascii="仿宋_GB2312" w:hAnsi="仿宋_GB2312" w:cs="仿宋_GB2312" w:eastAsia="仿宋_GB2312"/>
              </w:rPr>
              <w:t>11)部门文档管理：提供部门文档的上传、删除、版本管理功能。</w:t>
            </w:r>
          </w:p>
          <w:p>
            <w:pPr>
              <w:pStyle w:val="null3"/>
            </w:pPr>
            <w:r>
              <w:rPr>
                <w:rFonts w:ascii="仿宋_GB2312" w:hAnsi="仿宋_GB2312" w:cs="仿宋_GB2312" w:eastAsia="仿宋_GB2312"/>
              </w:rPr>
              <w:t>12)部门文档审核：学校自己制定的规范性文档给校内各部门审核。</w:t>
            </w:r>
          </w:p>
          <w:p>
            <w:pPr>
              <w:pStyle w:val="null3"/>
            </w:pPr>
            <w:r>
              <w:rPr>
                <w:rFonts w:ascii="仿宋_GB2312" w:hAnsi="仿宋_GB2312" w:cs="仿宋_GB2312" w:eastAsia="仿宋_GB2312"/>
              </w:rPr>
              <w:t>1.1.2元数据管理</w:t>
            </w:r>
          </w:p>
          <w:p>
            <w:pPr>
              <w:pStyle w:val="null3"/>
            </w:pPr>
            <w:r>
              <w:rPr>
                <w:rFonts w:ascii="仿宋_GB2312" w:hAnsi="仿宋_GB2312" w:cs="仿宋_GB2312" w:eastAsia="仿宋_GB2312"/>
              </w:rPr>
              <w:t>1)将元数据分为技术元数据、业务元数据、管理元数据三大类。</w:t>
            </w:r>
          </w:p>
          <w:p>
            <w:pPr>
              <w:pStyle w:val="null3"/>
            </w:pPr>
            <w:r>
              <w:rPr>
                <w:rFonts w:ascii="仿宋_GB2312" w:hAnsi="仿宋_GB2312" w:cs="仿宋_GB2312" w:eastAsia="仿宋_GB2312"/>
              </w:rPr>
              <w:t>2)元数据管理映射关系维护，可维护源表与目标表字段对应关系、代码映射及字段转换描述，并自动映射。映射关系导入及导出功能。</w:t>
            </w:r>
          </w:p>
          <w:p>
            <w:pPr>
              <w:pStyle w:val="null3"/>
            </w:pPr>
            <w:r>
              <w:rPr>
                <w:rFonts w:ascii="仿宋_GB2312" w:hAnsi="仿宋_GB2312" w:cs="仿宋_GB2312" w:eastAsia="仿宋_GB2312"/>
              </w:rPr>
              <w:t>3)支持通过元数据映射关系快速生成数据交换转换任务，提交后在交换管理中可同步展示作业列表进行后续维护（要求演示）。</w:t>
            </w:r>
          </w:p>
          <w:p>
            <w:pPr>
              <w:pStyle w:val="null3"/>
            </w:pPr>
            <w:r>
              <w:rPr>
                <w:rFonts w:ascii="仿宋_GB2312" w:hAnsi="仿宋_GB2312" w:cs="仿宋_GB2312" w:eastAsia="仿宋_GB2312"/>
              </w:rPr>
              <w:t>4)元数据管理查看表数据，在未采集业务系统数据的情况下，可提前进行业务系统数据查看。查看元数据建表SQL。</w:t>
            </w:r>
          </w:p>
          <w:p>
            <w:pPr>
              <w:pStyle w:val="null3"/>
            </w:pPr>
            <w:r>
              <w:rPr>
                <w:rFonts w:ascii="仿宋_GB2312" w:hAnsi="仿宋_GB2312" w:cs="仿宋_GB2312" w:eastAsia="仿宋_GB2312"/>
              </w:rPr>
              <w:t>5)为元数据维护确权信息、分级分类信息、数据安全信息及标签等其他信息。</w:t>
            </w:r>
          </w:p>
          <w:p>
            <w:pPr>
              <w:pStyle w:val="null3"/>
            </w:pPr>
            <w:r>
              <w:rPr>
                <w:rFonts w:ascii="仿宋_GB2312" w:hAnsi="仿宋_GB2312" w:cs="仿宋_GB2312" w:eastAsia="仿宋_GB2312"/>
              </w:rPr>
              <w:t>6)元数据的手动采集，立即执行。元数据的自动采集功能，并提供采集任务管理功能，集成任务调度，子父任务编排配置，满足依赖任务按序执行。</w:t>
            </w:r>
          </w:p>
          <w:p>
            <w:pPr>
              <w:pStyle w:val="null3"/>
            </w:pPr>
            <w:r>
              <w:rPr>
                <w:rFonts w:ascii="仿宋_GB2312" w:hAnsi="仿宋_GB2312" w:cs="仿宋_GB2312" w:eastAsia="仿宋_GB2312"/>
              </w:rPr>
              <w:t>7)对变更的元数据进行自动审核，可以查看待审核的元数据详情及影响的API或者交换。用户可以查看审核详情、手动审核入库、配置审核预警、查看入库日志。</w:t>
            </w:r>
          </w:p>
          <w:p>
            <w:pPr>
              <w:pStyle w:val="null3"/>
            </w:pPr>
            <w:r>
              <w:rPr>
                <w:rFonts w:ascii="仿宋_GB2312" w:hAnsi="仿宋_GB2312" w:cs="仿宋_GB2312" w:eastAsia="仿宋_GB2312"/>
              </w:rPr>
              <w:t>8)元数据采集异常时通过邮件、短信、即时通讯软件等消息通知到异常联系人。</w:t>
            </w:r>
          </w:p>
          <w:p>
            <w:pPr>
              <w:pStyle w:val="null3"/>
            </w:pPr>
            <w:r>
              <w:rPr>
                <w:rFonts w:ascii="仿宋_GB2312" w:hAnsi="仿宋_GB2312" w:cs="仿宋_GB2312" w:eastAsia="仿宋_GB2312"/>
              </w:rPr>
              <w:t>9)通过UC矩阵表示数据流向，U代表使用，C代表创建。为了保证数据的一致性，所有字段的来源只有一个，即创建者唯一。</w:t>
            </w:r>
          </w:p>
          <w:p>
            <w:pPr>
              <w:pStyle w:val="null3"/>
            </w:pPr>
            <w:r>
              <w:rPr>
                <w:rFonts w:ascii="仿宋_GB2312" w:hAnsi="仿宋_GB2312" w:cs="仿宋_GB2312" w:eastAsia="仿宋_GB2312"/>
              </w:rPr>
              <w:t>1.1.3权责认定管理</w:t>
            </w:r>
          </w:p>
          <w:p>
            <w:pPr>
              <w:pStyle w:val="null3"/>
            </w:pPr>
            <w:r>
              <w:rPr>
                <w:rFonts w:ascii="仿宋_GB2312" w:hAnsi="仿宋_GB2312" w:cs="仿宋_GB2312" w:eastAsia="仿宋_GB2312"/>
              </w:rPr>
              <w:t>1)通过数据确权功能明确数据权威来源，创建多个确权批次，实现分批、不定期确权。在线维护和发布确权批次，查看批次进度及其中各数据的确权详情。</w:t>
            </w:r>
          </w:p>
          <w:p>
            <w:pPr>
              <w:pStyle w:val="null3"/>
            </w:pPr>
            <w:r>
              <w:rPr>
                <w:rFonts w:ascii="仿宋_GB2312" w:hAnsi="仿宋_GB2312" w:cs="仿宋_GB2312" w:eastAsia="仿宋_GB2312"/>
              </w:rPr>
              <w:t>2)对确权批次任务增、删、改、查。可查看所有确权批次执行百分比、确认数量和比例。配置常态化确权和任务制确权两种模式，常态化确权长期有效，无固定周期，可为字段预设确权单位与安全属性；任务制确权按批次推进。创建批次前校验预设配置，确保确权完整有效。</w:t>
            </w:r>
          </w:p>
          <w:p>
            <w:pPr>
              <w:pStyle w:val="null3"/>
            </w:pPr>
            <w:r>
              <w:rPr>
                <w:rFonts w:ascii="仿宋_GB2312" w:hAnsi="仿宋_GB2312" w:cs="仿宋_GB2312" w:eastAsia="仿宋_GB2312"/>
              </w:rPr>
              <w:t>3)任务制确权不强制要求设置结束时间，可根据实际进展，随时手动关闭或终止任务。</w:t>
            </w:r>
          </w:p>
          <w:p>
            <w:pPr>
              <w:pStyle w:val="null3"/>
            </w:pPr>
            <w:r>
              <w:rPr>
                <w:rFonts w:ascii="仿宋_GB2312" w:hAnsi="仿宋_GB2312" w:cs="仿宋_GB2312" w:eastAsia="仿宋_GB2312"/>
              </w:rPr>
              <w:t>4)提供前置性配置工作，降低业务部门确权时的难度，单独和批量设置数据项的确权应用和确权部门。</w:t>
            </w:r>
          </w:p>
          <w:p>
            <w:pPr>
              <w:pStyle w:val="null3"/>
            </w:pPr>
            <w:r>
              <w:rPr>
                <w:rFonts w:ascii="仿宋_GB2312" w:hAnsi="仿宋_GB2312" w:cs="仿宋_GB2312" w:eastAsia="仿宋_GB2312"/>
              </w:rPr>
              <w:t>5)数据安全属性预设，包括共享程度、共享备注、重要度、敏感程度、安全等级。</w:t>
            </w:r>
          </w:p>
          <w:p>
            <w:pPr>
              <w:pStyle w:val="null3"/>
            </w:pPr>
            <w:r>
              <w:rPr>
                <w:rFonts w:ascii="仿宋_GB2312" w:hAnsi="仿宋_GB2312" w:cs="仿宋_GB2312" w:eastAsia="仿宋_GB2312"/>
              </w:rPr>
              <w:t>6)提供确权结果的明细与统计，按批次、结果、部门等条件筛选查询，可下载明细和统计模板。</w:t>
            </w:r>
          </w:p>
          <w:p>
            <w:pPr>
              <w:pStyle w:val="null3"/>
            </w:pPr>
            <w:r>
              <w:rPr>
                <w:rFonts w:ascii="仿宋_GB2312" w:hAnsi="仿宋_GB2312" w:cs="仿宋_GB2312" w:eastAsia="仿宋_GB2312"/>
              </w:rPr>
              <w:t>7)查看数据子类下各数据项的确权详情，包括确权状态、应确权应用、应确权单位、已确权应用、已确权单位、共享程度、共享备注、重要度、敏感程度、安全等级确认时间、确认人。</w:t>
            </w:r>
          </w:p>
          <w:p>
            <w:pPr>
              <w:pStyle w:val="null3"/>
            </w:pPr>
            <w:r>
              <w:rPr>
                <w:rFonts w:ascii="仿宋_GB2312" w:hAnsi="仿宋_GB2312" w:cs="仿宋_GB2312" w:eastAsia="仿宋_GB2312"/>
              </w:rPr>
              <w:t>8)提供确权变更管理功能，数据子类的确权明细查询并重新确权审核和配置。</w:t>
            </w:r>
          </w:p>
          <w:p>
            <w:pPr>
              <w:pStyle w:val="null3"/>
            </w:pPr>
            <w:r>
              <w:rPr>
                <w:rFonts w:ascii="仿宋_GB2312" w:hAnsi="仿宋_GB2312" w:cs="仿宋_GB2312" w:eastAsia="仿宋_GB2312"/>
              </w:rPr>
              <w:t>9)线下数据确权可导入系统中。</w:t>
            </w:r>
          </w:p>
          <w:p>
            <w:pPr>
              <w:pStyle w:val="null3"/>
            </w:pPr>
            <w:r>
              <w:rPr>
                <w:rFonts w:ascii="仿宋_GB2312" w:hAnsi="仿宋_GB2312" w:cs="仿宋_GB2312" w:eastAsia="仿宋_GB2312"/>
              </w:rPr>
              <w:t>10)查看确权日志，包括数据子类/视图、状态、来源、确认人、所属批次名称、确认时间、确认结束时间。</w:t>
            </w:r>
          </w:p>
          <w:p>
            <w:pPr>
              <w:pStyle w:val="null3"/>
            </w:pPr>
            <w:r>
              <w:rPr>
                <w:rFonts w:ascii="仿宋_GB2312" w:hAnsi="仿宋_GB2312" w:cs="仿宋_GB2312" w:eastAsia="仿宋_GB2312"/>
              </w:rPr>
              <w:t>1.1.4数据交换管理</w:t>
            </w:r>
          </w:p>
          <w:p>
            <w:pPr>
              <w:pStyle w:val="null3"/>
            </w:pPr>
            <w:r>
              <w:rPr>
                <w:rFonts w:ascii="仿宋_GB2312" w:hAnsi="仿宋_GB2312" w:cs="仿宋_GB2312" w:eastAsia="仿宋_GB2312"/>
              </w:rPr>
              <w:t>1)在Web端进行转换任务的配置，提供至少两种配置交换的方式。导航式和拖拽式。</w:t>
            </w:r>
          </w:p>
          <w:p>
            <w:pPr>
              <w:pStyle w:val="null3"/>
            </w:pPr>
            <w:r>
              <w:rPr>
                <w:rFonts w:ascii="仿宋_GB2312" w:hAnsi="仿宋_GB2312" w:cs="仿宋_GB2312" w:eastAsia="仿宋_GB2312"/>
              </w:rPr>
              <w:t>2)导航式引导用户按照引导配置源头到目标表和字段之间的映射关系、同步方式、执行频次等内容。</w:t>
            </w:r>
          </w:p>
          <w:p>
            <w:pPr>
              <w:pStyle w:val="null3"/>
            </w:pPr>
            <w:r>
              <w:rPr>
                <w:rFonts w:ascii="仿宋_GB2312" w:hAnsi="仿宋_GB2312" w:cs="仿宋_GB2312" w:eastAsia="仿宋_GB2312"/>
              </w:rPr>
              <w:t>3)提供多种同步方式，包括全量更新、比对更新、增量同步、全量同步。</w:t>
            </w:r>
          </w:p>
          <w:p>
            <w:pPr>
              <w:pStyle w:val="null3"/>
            </w:pPr>
            <w:r>
              <w:rPr>
                <w:rFonts w:ascii="仿宋_GB2312" w:hAnsi="仿宋_GB2312" w:cs="仿宋_GB2312" w:eastAsia="仿宋_GB2312"/>
              </w:rPr>
              <w:t>4)拖拽式交换能通过web页面实现类kettle、sqoop等设计器效果，进行复杂的数据处理任务配置，包括但不限于数据清洗、转换等操作，满足多样化、高复杂度的数据处理需求。需要提供各种转换要素的图形化组件，至少包括输入、输出、转换、应用、流程、脚本、查询、连接、检验、统计、合并、拆分、比对、去重、排序、行转列、列转行分发等组件库。输入组件包括：文件（excel、csv、json、xml、access、txt等常用文件）、消息队列、接口、FTP、RSS等。</w:t>
            </w:r>
          </w:p>
          <w:p>
            <w:pPr>
              <w:pStyle w:val="null3"/>
            </w:pPr>
            <w:r>
              <w:rPr>
                <w:rFonts w:ascii="仿宋_GB2312" w:hAnsi="仿宋_GB2312" w:cs="仿宋_GB2312" w:eastAsia="仿宋_GB2312"/>
              </w:rPr>
              <w:t>5)支持上传第三方转换任务文件生成转换任务。</w:t>
            </w:r>
          </w:p>
          <w:p>
            <w:pPr>
              <w:pStyle w:val="null3"/>
            </w:pPr>
            <w:r>
              <w:rPr>
                <w:rFonts w:ascii="仿宋_GB2312" w:hAnsi="仿宋_GB2312" w:cs="仿宋_GB2312" w:eastAsia="仿宋_GB2312"/>
              </w:rPr>
              <w:t>6)支持查看转换任务的基本信息、映射信息及执行明细。在完成转换任务配置后，系统可基于配置内容自动生成相应的参考 SQL 语句。</w:t>
            </w:r>
          </w:p>
          <w:p>
            <w:pPr>
              <w:pStyle w:val="null3"/>
            </w:pPr>
            <w:r>
              <w:rPr>
                <w:rFonts w:ascii="仿宋_GB2312" w:hAnsi="仿宋_GB2312" w:cs="仿宋_GB2312" w:eastAsia="仿宋_GB2312"/>
              </w:rPr>
              <w:t>7)转换任务中字段映射关系自动更新，确保数据映射的准确性。</w:t>
            </w:r>
          </w:p>
          <w:p>
            <w:pPr>
              <w:pStyle w:val="null3"/>
            </w:pPr>
            <w:r>
              <w:rPr>
                <w:rFonts w:ascii="仿宋_GB2312" w:hAnsi="仿宋_GB2312" w:cs="仿宋_GB2312" w:eastAsia="仿宋_GB2312"/>
              </w:rPr>
              <w:t>8)在转换任务执行过程中自动进行代码转换，实现数据标准的统一化处理，确保数据在不同系统间流转与应用的规范性和准确性。</w:t>
            </w:r>
          </w:p>
          <w:p>
            <w:pPr>
              <w:pStyle w:val="null3"/>
            </w:pPr>
            <w:r>
              <w:rPr>
                <w:rFonts w:ascii="仿宋_GB2312" w:hAnsi="仿宋_GB2312" w:cs="仿宋_GB2312" w:eastAsia="仿宋_GB2312"/>
              </w:rPr>
              <w:t>9)执行计划灵活配置，可自定义配置定时策略，灵活配置记录日志级别、错误记录保留周期、源表为空时的处理方式。</w:t>
            </w:r>
          </w:p>
          <w:p>
            <w:pPr>
              <w:pStyle w:val="null3"/>
            </w:pPr>
            <w:r>
              <w:rPr>
                <w:rFonts w:ascii="仿宋_GB2312" w:hAnsi="仿宋_GB2312" w:cs="仿宋_GB2312" w:eastAsia="仿宋_GB2312"/>
              </w:rPr>
              <w:t>10)执行计划的配置以及子父任务的编排，满足复杂数据交换场景的需求。提供单机串联、丢弃后续调度、覆盖之前调度 3 种阻塞处理策略。</w:t>
            </w:r>
          </w:p>
          <w:p>
            <w:pPr>
              <w:pStyle w:val="null3"/>
            </w:pPr>
            <w:r>
              <w:rPr>
                <w:rFonts w:ascii="仿宋_GB2312" w:hAnsi="仿宋_GB2312" w:cs="仿宋_GB2312" w:eastAsia="仿宋_GB2312"/>
              </w:rPr>
              <w:t>11)通过站内信将转换任务执行过程中产生的报错信息，以及数据更新量超出预设阈值的相关消息，发送至该转换任务预先设定的联系人，确保相关人员能够及时了解任务执行情况。</w:t>
            </w:r>
          </w:p>
          <w:p>
            <w:pPr>
              <w:pStyle w:val="null3"/>
            </w:pPr>
            <w:r>
              <w:rPr>
                <w:rFonts w:ascii="仿宋_GB2312" w:hAnsi="仿宋_GB2312" w:cs="仿宋_GB2312" w:eastAsia="仿宋_GB2312"/>
              </w:rPr>
              <w:t>12)提供转换任务版本管理功能，支持下载转换任务，查看转换任务的调度总次数、成功次数以及失败次数。提供日志明细查看。</w:t>
            </w:r>
          </w:p>
          <w:p>
            <w:pPr>
              <w:pStyle w:val="null3"/>
            </w:pPr>
            <w:r>
              <w:rPr>
                <w:rFonts w:ascii="仿宋_GB2312" w:hAnsi="仿宋_GB2312" w:cs="仿宋_GB2312" w:eastAsia="仿宋_GB2312"/>
              </w:rPr>
              <w:t>13)定时策略灵活配置，一次执行可按多种方式灵活选择配置，提供定时策略的一站式管理功能，方便用户对定时任务进行动态调整和优化。</w:t>
            </w:r>
          </w:p>
          <w:p>
            <w:pPr>
              <w:pStyle w:val="null3"/>
            </w:pPr>
            <w:r>
              <w:rPr>
                <w:rFonts w:ascii="仿宋_GB2312" w:hAnsi="仿宋_GB2312" w:cs="仿宋_GB2312" w:eastAsia="仿宋_GB2312"/>
              </w:rPr>
              <w:t>14)提供数据交换映射功能，可查看交换作业中元数据的自动映射解析结果及数据在交换过程中的对应关系。</w:t>
            </w:r>
          </w:p>
          <w:p>
            <w:pPr>
              <w:pStyle w:val="null3"/>
            </w:pPr>
            <w:r>
              <w:rPr>
                <w:rFonts w:ascii="仿宋_GB2312" w:hAnsi="仿宋_GB2312" w:cs="仿宋_GB2312" w:eastAsia="仿宋_GB2312"/>
              </w:rPr>
              <w:t>15）提供文件采集，展示任务名称、源库、源表、源字段、目标库等信息，源表上传、本地上传、FTP上传，修改、删除、查看等操作（要求演示）。</w:t>
            </w:r>
          </w:p>
          <w:p>
            <w:pPr>
              <w:pStyle w:val="null3"/>
            </w:pPr>
            <w:r>
              <w:rPr>
                <w:rFonts w:ascii="仿宋_GB2312" w:hAnsi="仿宋_GB2312" w:cs="仿宋_GB2312" w:eastAsia="仿宋_GB2312"/>
              </w:rPr>
              <w:t>1.1.5无源数据采集</w:t>
            </w:r>
          </w:p>
          <w:p>
            <w:pPr>
              <w:pStyle w:val="null3"/>
            </w:pPr>
            <w:r>
              <w:rPr>
                <w:rFonts w:ascii="仿宋_GB2312" w:hAnsi="仿宋_GB2312" w:cs="仿宋_GB2312" w:eastAsia="仿宋_GB2312"/>
              </w:rPr>
              <w:t>1)提供无源数据采集任务管理功能。</w:t>
            </w:r>
          </w:p>
          <w:p>
            <w:pPr>
              <w:pStyle w:val="null3"/>
            </w:pPr>
            <w:r>
              <w:rPr>
                <w:rFonts w:ascii="仿宋_GB2312" w:hAnsi="仿宋_GB2312" w:cs="仿宋_GB2312" w:eastAsia="仿宋_GB2312"/>
              </w:rPr>
              <w:t>2)任务的创建、编辑、启动、终止、废弃等全生命周期的管理，并根据任务状态控制操作权限。</w:t>
            </w:r>
          </w:p>
          <w:p>
            <w:pPr>
              <w:pStyle w:val="null3"/>
            </w:pPr>
            <w:r>
              <w:rPr>
                <w:rFonts w:ascii="仿宋_GB2312" w:hAnsi="仿宋_GB2312" w:cs="仿宋_GB2312" w:eastAsia="仿宋_GB2312"/>
              </w:rPr>
              <w:t>3)对数据进行审核，审核单条或批量操作，可标记有效或无效，并填写意见。</w:t>
            </w:r>
          </w:p>
          <w:p>
            <w:pPr>
              <w:pStyle w:val="null3"/>
            </w:pPr>
            <w:r>
              <w:rPr>
                <w:rFonts w:ascii="仿宋_GB2312" w:hAnsi="仿宋_GB2312" w:cs="仿宋_GB2312" w:eastAsia="仿宋_GB2312"/>
              </w:rPr>
              <w:t>4)采集信息配置支持填写、上传采集模版和取用字段。页面填写时数据项名称可自动引用数据域信息，无需重复填写。取用字段取用执行模型、元数据和国家标准（要求演示）。</w:t>
            </w:r>
          </w:p>
          <w:p>
            <w:pPr>
              <w:pStyle w:val="null3"/>
            </w:pPr>
            <w:r>
              <w:rPr>
                <w:rFonts w:ascii="仿宋_GB2312" w:hAnsi="仿宋_GB2312" w:cs="仿宋_GB2312" w:eastAsia="仿宋_GB2312"/>
              </w:rPr>
              <w:t>5)采集信息配置引用标准代码、表单类型、校验类型和唯一性，数据采集时，需按照配置内容进行数据检测，检测未通过数据无法完成采集。</w:t>
            </w:r>
          </w:p>
          <w:p>
            <w:pPr>
              <w:pStyle w:val="null3"/>
            </w:pPr>
            <w:r>
              <w:rPr>
                <w:rFonts w:ascii="仿宋_GB2312" w:hAnsi="仿宋_GB2312" w:cs="仿宋_GB2312" w:eastAsia="仿宋_GB2312"/>
              </w:rPr>
              <w:t>6)采集任务审核流程自定义，灵活定义审核流程。</w:t>
            </w:r>
          </w:p>
          <w:p>
            <w:pPr>
              <w:pStyle w:val="null3"/>
            </w:pPr>
            <w:r>
              <w:rPr>
                <w:rFonts w:ascii="仿宋_GB2312" w:hAnsi="仿宋_GB2312" w:cs="仿宋_GB2312" w:eastAsia="仿宋_GB2312"/>
              </w:rPr>
              <w:t>1.1.6主数据管理</w:t>
            </w:r>
          </w:p>
          <w:p>
            <w:pPr>
              <w:pStyle w:val="null3"/>
            </w:pPr>
            <w:r>
              <w:rPr>
                <w:rFonts w:ascii="仿宋_GB2312" w:hAnsi="仿宋_GB2312" w:cs="仿宋_GB2312" w:eastAsia="仿宋_GB2312"/>
              </w:rPr>
              <w:t>1)提供对数据集、数据子类内容的管理，权限分配时需到字段级别。</w:t>
            </w:r>
          </w:p>
          <w:p>
            <w:pPr>
              <w:pStyle w:val="null3"/>
            </w:pPr>
            <w:r>
              <w:rPr>
                <w:rFonts w:ascii="仿宋_GB2312" w:hAnsi="仿宋_GB2312" w:cs="仿宋_GB2312" w:eastAsia="仿宋_GB2312"/>
              </w:rPr>
              <w:t>2)对数据内容的增、删、改、查、导入、导出等操作。</w:t>
            </w:r>
          </w:p>
          <w:p>
            <w:pPr>
              <w:pStyle w:val="null3"/>
            </w:pPr>
            <w:r>
              <w:rPr>
                <w:rFonts w:ascii="仿宋_GB2312" w:hAnsi="仿宋_GB2312" w:cs="仿宋_GB2312" w:eastAsia="仿宋_GB2312"/>
              </w:rPr>
              <w:t>1.1.7数据安全管理</w:t>
            </w:r>
          </w:p>
          <w:p>
            <w:pPr>
              <w:pStyle w:val="null3"/>
            </w:pPr>
            <w:r>
              <w:rPr>
                <w:rFonts w:ascii="仿宋_GB2312" w:hAnsi="仿宋_GB2312" w:cs="仿宋_GB2312" w:eastAsia="仿宋_GB2312"/>
              </w:rPr>
              <w:t>1)预置国家规定的数据安全等级、重要度、敏感程度、共享程度及对应的说明，用户自定义编辑说明。</w:t>
            </w:r>
          </w:p>
          <w:p>
            <w:pPr>
              <w:pStyle w:val="null3"/>
            </w:pPr>
            <w:r>
              <w:rPr>
                <w:rFonts w:ascii="仿宋_GB2312" w:hAnsi="仿宋_GB2312" w:cs="仿宋_GB2312" w:eastAsia="仿宋_GB2312"/>
              </w:rPr>
              <w:t>2)将安全等级、共享程度、敏感程度、重要度进行自由组合，生成规则组。规则组启用和停用。</w:t>
            </w:r>
          </w:p>
          <w:p>
            <w:pPr>
              <w:pStyle w:val="null3"/>
            </w:pPr>
            <w:r>
              <w:rPr>
                <w:rFonts w:ascii="仿宋_GB2312" w:hAnsi="仿宋_GB2312" w:cs="仿宋_GB2312" w:eastAsia="仿宋_GB2312"/>
              </w:rPr>
              <w:t>3)规则组检测数据脱敏、应用加密、存储加密。系统自动进行检测，当数据项命中规则组的安全属性设置，且未进行对应的脱敏或加密，系统会自动发出预警。提供发送预警信息的开启和停用，并配置消息推送的方式。</w:t>
            </w:r>
          </w:p>
          <w:p>
            <w:pPr>
              <w:pStyle w:val="null3"/>
            </w:pPr>
            <w:r>
              <w:rPr>
                <w:rFonts w:ascii="仿宋_GB2312" w:hAnsi="仿宋_GB2312" w:cs="仿宋_GB2312" w:eastAsia="仿宋_GB2312"/>
              </w:rPr>
              <w:t>4)能查看预警信息的发送记录，包括消息推送方式、接收人、推送状态、预警时间等。</w:t>
            </w:r>
          </w:p>
          <w:p>
            <w:pPr>
              <w:pStyle w:val="null3"/>
            </w:pPr>
            <w:r>
              <w:rPr>
                <w:rFonts w:ascii="仿宋_GB2312" w:hAnsi="仿宋_GB2312" w:cs="仿宋_GB2312" w:eastAsia="仿宋_GB2312"/>
              </w:rPr>
              <w:t>5)预置常用的数据应用加密算法，及算法的启用和停用。</w:t>
            </w:r>
          </w:p>
          <w:p>
            <w:pPr>
              <w:pStyle w:val="null3"/>
            </w:pPr>
            <w:r>
              <w:rPr>
                <w:rFonts w:ascii="仿宋_GB2312" w:hAnsi="仿宋_GB2312" w:cs="仿宋_GB2312" w:eastAsia="仿宋_GB2312"/>
              </w:rPr>
              <w:t>6)预置10种以上常用的数据应用脱敏方式，能管理脱敏方式。</w:t>
            </w:r>
          </w:p>
          <w:p>
            <w:pPr>
              <w:pStyle w:val="null3"/>
            </w:pPr>
            <w:r>
              <w:rPr>
                <w:rFonts w:ascii="仿宋_GB2312" w:hAnsi="仿宋_GB2312" w:cs="仿宋_GB2312" w:eastAsia="仿宋_GB2312"/>
              </w:rPr>
              <w:t>7)下载验证，验证方式包括邮箱、短信等，防止暂时离开个人电脑，被他人通过系统下载数据。</w:t>
            </w:r>
          </w:p>
          <w:p>
            <w:pPr>
              <w:pStyle w:val="null3"/>
            </w:pPr>
            <w:r>
              <w:rPr>
                <w:rFonts w:ascii="仿宋_GB2312" w:hAnsi="仿宋_GB2312" w:cs="仿宋_GB2312" w:eastAsia="仿宋_GB2312"/>
              </w:rPr>
              <w:t>8)数据API限流，设置单位时间调用次数上限，超限自动限流。并配置分页是否算进限流次数、限流预警等功能。可全局限流，也可根据其特殊需求调整阈值。</w:t>
            </w:r>
          </w:p>
          <w:p>
            <w:pPr>
              <w:pStyle w:val="null3"/>
            </w:pPr>
            <w:r>
              <w:rPr>
                <w:rFonts w:ascii="仿宋_GB2312" w:hAnsi="仿宋_GB2312" w:cs="仿宋_GB2312" w:eastAsia="仿宋_GB2312"/>
              </w:rPr>
              <w:t>9)黑白名单功能，白名单内地址可访问数据，黑名单内地址不可访问数据，保障数据安全。</w:t>
            </w:r>
          </w:p>
          <w:p>
            <w:pPr>
              <w:pStyle w:val="null3"/>
            </w:pPr>
            <w:r>
              <w:rPr>
                <w:rFonts w:ascii="仿宋_GB2312" w:hAnsi="仿宋_GB2312" w:cs="仿宋_GB2312" w:eastAsia="仿宋_GB2312"/>
              </w:rPr>
              <w:t>10)数据脱敏设置，可按字段、模型或部门等维度查询脱敏配置信息。针对设置过脱敏信息的数据项，在发布数据服务和数据服务授权时，可自动带出脱敏信息，当用户授权时未按照脱敏信息进行配置，需进行审核。</w:t>
            </w:r>
          </w:p>
          <w:p>
            <w:pPr>
              <w:pStyle w:val="null3"/>
            </w:pPr>
            <w:r>
              <w:rPr>
                <w:rFonts w:ascii="仿宋_GB2312" w:hAnsi="仿宋_GB2312" w:cs="仿宋_GB2312" w:eastAsia="仿宋_GB2312"/>
              </w:rPr>
              <w:t>11)展示所有数据项的安全分类信息，按字段、模型、部门等维度查询，并配置和修改数据项的存储加密状态。</w:t>
            </w:r>
          </w:p>
          <w:p>
            <w:pPr>
              <w:pStyle w:val="null3"/>
            </w:pPr>
            <w:r>
              <w:rPr>
                <w:rFonts w:ascii="仿宋_GB2312" w:hAnsi="仿宋_GB2312" w:cs="仿宋_GB2312" w:eastAsia="仿宋_GB2312"/>
              </w:rPr>
              <w:t>12)数据水印，水印内容可灵活配置。</w:t>
            </w:r>
          </w:p>
          <w:p>
            <w:pPr>
              <w:pStyle w:val="null3"/>
            </w:pPr>
            <w:r>
              <w:rPr>
                <w:rFonts w:ascii="仿宋_GB2312" w:hAnsi="仿宋_GB2312" w:cs="仿宋_GB2312" w:eastAsia="仿宋_GB2312"/>
              </w:rPr>
              <w:t>13)非校内人员及厂商通过开发者账号申请数据访问。支持设置开发者账号加密方式，根据选择的加密方式自动生成公钥及私钥。</w:t>
            </w:r>
          </w:p>
          <w:p>
            <w:pPr>
              <w:pStyle w:val="null3"/>
            </w:pPr>
            <w:r>
              <w:rPr>
                <w:rFonts w:ascii="仿宋_GB2312" w:hAnsi="仿宋_GB2312" w:cs="仿宋_GB2312" w:eastAsia="仿宋_GB2312"/>
              </w:rPr>
              <w:t>14)▲提供数据备份的管理，可以展示备份概况；可以新增、编辑、查询、删除备份任务。</w:t>
            </w:r>
          </w:p>
          <w:p>
            <w:pPr>
              <w:pStyle w:val="null3"/>
            </w:pPr>
            <w:r>
              <w:rPr>
                <w:rFonts w:ascii="仿宋_GB2312" w:hAnsi="仿宋_GB2312" w:cs="仿宋_GB2312" w:eastAsia="仿宋_GB2312"/>
              </w:rPr>
              <w:t>15)统计备份任务数量，备份文件数量，磁盘使用情况。展示当前已用的任务详情和任务日志。备份任务管理：要求能够对数据表建立备份任务，进行定期备份维护。支持新政、删除、立即执行、启用/停用、修改等基础维护操作，支持查看任务详情和任务日志。备份文件管理：支持备份文件的查询、下载、手动清理、异地备份等操作。备份配置管理：支持备份文件存储、备份磁盘清理、异地备份操作的明细配置。</w:t>
            </w:r>
          </w:p>
          <w:p>
            <w:pPr>
              <w:pStyle w:val="null3"/>
            </w:pPr>
            <w:r>
              <w:rPr>
                <w:rFonts w:ascii="仿宋_GB2312" w:hAnsi="仿宋_GB2312" w:cs="仿宋_GB2312" w:eastAsia="仿宋_GB2312"/>
              </w:rPr>
              <w:t>16)对历史数据的表、字段及记录进行统计，可管理全部历史数据内容。</w:t>
            </w:r>
          </w:p>
          <w:p>
            <w:pPr>
              <w:pStyle w:val="null3"/>
            </w:pPr>
            <w:r>
              <w:rPr>
                <w:rFonts w:ascii="仿宋_GB2312" w:hAnsi="仿宋_GB2312" w:cs="仿宋_GB2312" w:eastAsia="仿宋_GB2312"/>
              </w:rPr>
              <w:t>17)按表维度查询历史数据，可指定时间节点或关键字，查看已配置历史字段的表在对应时刻的数据，仅显示相关字段内容。</w:t>
            </w:r>
          </w:p>
          <w:p>
            <w:pPr>
              <w:pStyle w:val="null3"/>
            </w:pPr>
            <w:r>
              <w:rPr>
                <w:rFonts w:ascii="仿宋_GB2312" w:hAnsi="仿宋_GB2312" w:cs="仿宋_GB2312" w:eastAsia="仿宋_GB2312"/>
              </w:rPr>
              <w:t>1.1.8数据服务管理</w:t>
            </w:r>
          </w:p>
          <w:p>
            <w:pPr>
              <w:pStyle w:val="null3"/>
            </w:pPr>
            <w:r>
              <w:rPr>
                <w:rFonts w:ascii="仿宋_GB2312" w:hAnsi="仿宋_GB2312" w:cs="仿宋_GB2312" w:eastAsia="仿宋_GB2312"/>
              </w:rPr>
              <w:t>1)可灵活创建API接口，涵盖可视化工具与自定义SQL双模式，适配多元开发需求。</w:t>
            </w:r>
          </w:p>
          <w:p>
            <w:pPr>
              <w:pStyle w:val="null3"/>
            </w:pPr>
            <w:r>
              <w:rPr>
                <w:rFonts w:ascii="仿宋_GB2312" w:hAnsi="仿宋_GB2312" w:cs="仿宋_GB2312" w:eastAsia="仿宋_GB2312"/>
              </w:rPr>
              <w:t>2)可视化工具灵活选择数据源，通过拖拽执行模型、执行代码、视图配置组合API。多个执行模型、执行代码、，适配不同数据整合场景需求；主表字段、副表字段动态映射选择，运算条件可灵活配置，跨表字段关联计算与条件过滤，保障数据生成的精准性。在筛选条件中灵活配置通配符、指定查询、逻辑运算，一键生成动态逻辑画布，直观展示数据过滤的逻辑。自动生成API的查询SQL。</w:t>
            </w:r>
          </w:p>
          <w:p>
            <w:pPr>
              <w:pStyle w:val="null3"/>
            </w:pPr>
            <w:r>
              <w:rPr>
                <w:rFonts w:ascii="仿宋_GB2312" w:hAnsi="仿宋_GB2312" w:cs="仿宋_GB2312" w:eastAsia="仿宋_GB2312"/>
              </w:rPr>
              <w:t>3)自定义SQL模式灵活选择数据源；灵活选择执行模型、代码、视图，预览表结构，可一键复制。</w:t>
            </w:r>
          </w:p>
          <w:p>
            <w:pPr>
              <w:pStyle w:val="null3"/>
            </w:pPr>
            <w:r>
              <w:rPr>
                <w:rFonts w:ascii="仿宋_GB2312" w:hAnsi="仿宋_GB2312" w:cs="仿宋_GB2312" w:eastAsia="仿宋_GB2312"/>
              </w:rPr>
              <w:t>4)创建API时，实时预览数据，展示响应时间，一键生成表单结构，可灵活调整接口字段名称，一键过滤重复数据，通过算法匹配展示相似API数量。</w:t>
            </w:r>
          </w:p>
          <w:p>
            <w:pPr>
              <w:pStyle w:val="null3"/>
            </w:pPr>
            <w:r>
              <w:rPr>
                <w:rFonts w:ascii="仿宋_GB2312" w:hAnsi="仿宋_GB2312" w:cs="仿宋_GB2312" w:eastAsia="仿宋_GB2312"/>
              </w:rPr>
              <w:t>5)一键查看API全部字段，管理API的所有字段。支持拖拽的方式对表单中的字段排序。</w:t>
            </w:r>
          </w:p>
          <w:p>
            <w:pPr>
              <w:pStyle w:val="null3"/>
            </w:pPr>
            <w:r>
              <w:rPr>
                <w:rFonts w:ascii="仿宋_GB2312" w:hAnsi="仿宋_GB2312" w:cs="仿宋_GB2312" w:eastAsia="仿宋_GB2312"/>
              </w:rPr>
              <w:t>6)配置参数的灵活配置，比如：所属分类、是否加密、是否限流、是否分页、默认分页行数、API描述、是否置顶等。</w:t>
            </w:r>
          </w:p>
          <w:p>
            <w:pPr>
              <w:pStyle w:val="null3"/>
            </w:pPr>
            <w:r>
              <w:rPr>
                <w:rFonts w:ascii="仿宋_GB2312" w:hAnsi="仿宋_GB2312" w:cs="仿宋_GB2312" w:eastAsia="仿宋_GB2312"/>
              </w:rPr>
              <w:t>7)提供API详情展示、导出API全量清单。</w:t>
            </w:r>
          </w:p>
          <w:p>
            <w:pPr>
              <w:pStyle w:val="null3"/>
            </w:pPr>
            <w:r>
              <w:rPr>
                <w:rFonts w:ascii="仿宋_GB2312" w:hAnsi="仿宋_GB2312" w:cs="仿宋_GB2312" w:eastAsia="仿宋_GB2312"/>
              </w:rPr>
              <w:t>8)提供对已发布API进行实时在线修改，具备版本化升级功能，同时保留旧版本，实现多版本并行运行。</w:t>
            </w:r>
          </w:p>
          <w:p>
            <w:pPr>
              <w:pStyle w:val="null3"/>
            </w:pPr>
            <w:r>
              <w:rPr>
                <w:rFonts w:ascii="仿宋_GB2312" w:hAnsi="仿宋_GB2312" w:cs="仿宋_GB2312" w:eastAsia="仿宋_GB2312"/>
              </w:rPr>
              <w:t>9)对已发布API要有一键测试功能，可实时返回接口访问数据，测试过程不影响已发布API的正常使用。</w:t>
            </w:r>
          </w:p>
          <w:p>
            <w:pPr>
              <w:pStyle w:val="null3"/>
            </w:pPr>
            <w:r>
              <w:rPr>
                <w:rFonts w:ascii="仿宋_GB2312" w:hAnsi="仿宋_GB2312" w:cs="仿宋_GB2312" w:eastAsia="仿宋_GB2312"/>
              </w:rPr>
              <w:t>10)提供API分类管理，查看不同分类数量分布及下钻详情。</w:t>
            </w:r>
          </w:p>
          <w:p>
            <w:pPr>
              <w:pStyle w:val="null3"/>
            </w:pPr>
            <w:r>
              <w:rPr>
                <w:rFonts w:ascii="仿宋_GB2312" w:hAnsi="仿宋_GB2312" w:cs="仿宋_GB2312" w:eastAsia="仿宋_GB2312"/>
              </w:rPr>
              <w:t>11用户API调用申请，审核通过后系统自动授予对应API调用权限。</w:t>
            </w:r>
          </w:p>
          <w:p>
            <w:pPr>
              <w:pStyle w:val="null3"/>
            </w:pPr>
            <w:r>
              <w:rPr>
                <w:rFonts w:ascii="仿宋_GB2312" w:hAnsi="仿宋_GB2312" w:cs="仿宋_GB2312" w:eastAsia="仿宋_GB2312"/>
              </w:rPr>
              <w:t>12)用户提交新增API申请，审核人执行“关联已发布API+审核通过”的合并操作，实现“即关联即生效”的审批模式；若无可关联的已发布API，“先发布新API→再关联→再审核通过”的三步流程，确保关联逻辑的完整性及版本可控性。</w:t>
            </w:r>
          </w:p>
          <w:p>
            <w:pPr>
              <w:pStyle w:val="null3"/>
            </w:pPr>
            <w:r>
              <w:rPr>
                <w:rFonts w:ascii="仿宋_GB2312" w:hAnsi="仿宋_GB2312" w:cs="仿宋_GB2312" w:eastAsia="仿宋_GB2312"/>
              </w:rPr>
              <w:t>13)评分管理功能，查看服务端用户提交的评分及评论内容。</w:t>
            </w:r>
          </w:p>
          <w:p>
            <w:pPr>
              <w:pStyle w:val="null3"/>
            </w:pPr>
            <w:r>
              <w:rPr>
                <w:rFonts w:ascii="仿宋_GB2312" w:hAnsi="仿宋_GB2312" w:cs="仿宋_GB2312" w:eastAsia="仿宋_GB2312"/>
              </w:rPr>
              <w:t>1.1.9数据目录管理</w:t>
            </w:r>
          </w:p>
          <w:p>
            <w:pPr>
              <w:pStyle w:val="null3"/>
            </w:pPr>
            <w:r>
              <w:rPr>
                <w:rFonts w:ascii="仿宋_GB2312" w:hAnsi="仿宋_GB2312" w:cs="仿宋_GB2312" w:eastAsia="仿宋_GB2312"/>
              </w:rPr>
              <w:t>1)数据目录与API接口的动态关联，通过下拉框选择已发布API，自动带出关联部门，支持JSON/XLS/XML/CSV四种文件格式灵活选择与生成，完成数据目录的创建，创建后自动发布至数据目录服务，用户可按需申请（要求演示）。</w:t>
            </w:r>
          </w:p>
          <w:p>
            <w:pPr>
              <w:pStyle w:val="null3"/>
            </w:pPr>
            <w:r>
              <w:rPr>
                <w:rFonts w:ascii="仿宋_GB2312" w:hAnsi="仿宋_GB2312" w:cs="仿宋_GB2312" w:eastAsia="仿宋_GB2312"/>
              </w:rPr>
              <w:t>2)数据目录的在线/离线双模式更新，离线更新频率可配置单次，用户可灵活设置开始时间并选择更新方式。</w:t>
            </w:r>
          </w:p>
          <w:p>
            <w:pPr>
              <w:pStyle w:val="null3"/>
            </w:pPr>
            <w:r>
              <w:rPr>
                <w:rFonts w:ascii="仿宋_GB2312" w:hAnsi="仿宋_GB2312" w:cs="仿宋_GB2312" w:eastAsia="仿宋_GB2312"/>
              </w:rPr>
              <w:t>3)对数据目录进行分类管理。</w:t>
            </w:r>
          </w:p>
          <w:p>
            <w:pPr>
              <w:pStyle w:val="null3"/>
            </w:pPr>
            <w:r>
              <w:rPr>
                <w:rFonts w:ascii="仿宋_GB2312" w:hAnsi="仿宋_GB2312" w:cs="仿宋_GB2312" w:eastAsia="仿宋_GB2312"/>
              </w:rPr>
              <w:t>4)数据目录的多维查询功能。</w:t>
            </w:r>
          </w:p>
          <w:p>
            <w:pPr>
              <w:pStyle w:val="null3"/>
            </w:pPr>
            <w:r>
              <w:rPr>
                <w:rFonts w:ascii="仿宋_GB2312" w:hAnsi="仿宋_GB2312" w:cs="仿宋_GB2312" w:eastAsia="仿宋_GB2312"/>
              </w:rPr>
              <w:t>5)数据目录的灵活授权配置，可查看未配置/已配置用户名单，字段级权限控制及行级权限数据范围设置。</w:t>
            </w:r>
          </w:p>
          <w:p>
            <w:pPr>
              <w:pStyle w:val="null3"/>
            </w:pPr>
            <w:r>
              <w:rPr>
                <w:rFonts w:ascii="仿宋_GB2312" w:hAnsi="仿宋_GB2312" w:cs="仿宋_GB2312" w:eastAsia="仿宋_GB2312"/>
              </w:rPr>
              <w:t>6)数据目录使用申请的流程化管理，用户无权限时可提交申请，经审核通过后自动授权；审核环节可调整脱敏类型/方式/规则。</w:t>
            </w:r>
          </w:p>
          <w:p>
            <w:pPr>
              <w:pStyle w:val="null3"/>
            </w:pPr>
            <w:r>
              <w:rPr>
                <w:rFonts w:ascii="仿宋_GB2312" w:hAnsi="仿宋_GB2312" w:cs="仿宋_GB2312" w:eastAsia="仿宋_GB2312"/>
              </w:rPr>
              <w:t>7)数据目录评分体系的量化管理。</w:t>
            </w:r>
          </w:p>
          <w:p>
            <w:pPr>
              <w:pStyle w:val="null3"/>
            </w:pPr>
            <w:r>
              <w:rPr>
                <w:rFonts w:ascii="仿宋_GB2312" w:hAnsi="仿宋_GB2312" w:cs="仿宋_GB2312" w:eastAsia="仿宋_GB2312"/>
              </w:rPr>
              <w:t>1.1.10数据质量管理</w:t>
            </w:r>
          </w:p>
          <w:p>
            <w:pPr>
              <w:pStyle w:val="null3"/>
            </w:pPr>
            <w:r>
              <w:rPr>
                <w:rFonts w:ascii="仿宋_GB2312" w:hAnsi="仿宋_GB2312" w:cs="仿宋_GB2312" w:eastAsia="仿宋_GB2312"/>
              </w:rPr>
              <w:t>1)对质量作业进行分类管理，对问题数据及检测报告的归类与责任单位定向推送。</w:t>
            </w:r>
          </w:p>
          <w:p>
            <w:pPr>
              <w:pStyle w:val="null3"/>
            </w:pPr>
            <w:r>
              <w:rPr>
                <w:rFonts w:ascii="仿宋_GB2312" w:hAnsi="仿宋_GB2312" w:cs="仿宋_GB2312" w:eastAsia="仿宋_GB2312"/>
              </w:rPr>
              <w:t>2)将作业类别下的检测作业、检测结果及检测报告进行授权，授权灵活配置。</w:t>
            </w:r>
          </w:p>
          <w:p>
            <w:pPr>
              <w:pStyle w:val="null3"/>
            </w:pPr>
            <w:r>
              <w:rPr>
                <w:rFonts w:ascii="仿宋_GB2312" w:hAnsi="仿宋_GB2312" w:cs="仿宋_GB2312" w:eastAsia="仿宋_GB2312"/>
              </w:rPr>
              <w:t>3)基于作业类别构建类别组，实现检测任务的归类管理。</w:t>
            </w:r>
          </w:p>
          <w:p>
            <w:pPr>
              <w:pStyle w:val="null3"/>
            </w:pPr>
            <w:r>
              <w:rPr>
                <w:rFonts w:ascii="仿宋_GB2312" w:hAnsi="仿宋_GB2312" w:cs="仿宋_GB2312" w:eastAsia="仿宋_GB2312"/>
              </w:rPr>
              <w:t>4)灵活定义问题数据的严重程度等级。</w:t>
            </w:r>
          </w:p>
          <w:p>
            <w:pPr>
              <w:pStyle w:val="null3"/>
            </w:pPr>
            <w:r>
              <w:rPr>
                <w:rFonts w:ascii="仿宋_GB2312" w:hAnsi="仿宋_GB2312" w:cs="仿宋_GB2312" w:eastAsia="仿宋_GB2312"/>
              </w:rPr>
              <w:t>5)通过自定义正则表达式创建数据质量检测规则。</w:t>
            </w:r>
          </w:p>
          <w:p>
            <w:pPr>
              <w:pStyle w:val="null3"/>
            </w:pPr>
            <w:r>
              <w:rPr>
                <w:rFonts w:ascii="仿宋_GB2312" w:hAnsi="仿宋_GB2312" w:cs="仿宋_GB2312" w:eastAsia="仿宋_GB2312"/>
              </w:rPr>
              <w:t>6)预置常用的质量规则模版，包含但不限定于完整性分析、参照完整性、唯一键检查、手机号格式正则校验、邮箱格式校验、字符串长度校验、身份证格式校验、日期格式校验等，并提供可扩展的自定义正则表达式检测能力。</w:t>
            </w:r>
          </w:p>
          <w:p>
            <w:pPr>
              <w:pStyle w:val="null3"/>
            </w:pPr>
            <w:r>
              <w:rPr>
                <w:rFonts w:ascii="仿宋_GB2312" w:hAnsi="仿宋_GB2312" w:cs="仿宋_GB2312" w:eastAsia="仿宋_GB2312"/>
              </w:rPr>
              <w:t>7)数据质量检测规则并行检测或串行检测。</w:t>
            </w:r>
          </w:p>
          <w:p>
            <w:pPr>
              <w:pStyle w:val="null3"/>
            </w:pPr>
            <w:r>
              <w:rPr>
                <w:rFonts w:ascii="仿宋_GB2312" w:hAnsi="仿宋_GB2312" w:cs="仿宋_GB2312" w:eastAsia="仿宋_GB2312"/>
              </w:rPr>
              <w:t>8)对业务源头库、数据湖、数据中心或数据仓库等任何数据源进行数据质量配置，针对一个字段配置不同规则，并一个数据质量任务配置多个字段多个检测规则。</w:t>
            </w:r>
          </w:p>
          <w:p>
            <w:pPr>
              <w:pStyle w:val="null3"/>
            </w:pPr>
            <w:r>
              <w:rPr>
                <w:rFonts w:ascii="仿宋_GB2312" w:hAnsi="仿宋_GB2312" w:cs="仿宋_GB2312" w:eastAsia="仿宋_GB2312"/>
              </w:rPr>
              <w:t>9)支持针对一个质量作业执行并行检测和串行检测。</w:t>
            </w:r>
          </w:p>
          <w:p>
            <w:pPr>
              <w:pStyle w:val="null3"/>
            </w:pPr>
            <w:r>
              <w:rPr>
                <w:rFonts w:ascii="仿宋_GB2312" w:hAnsi="仿宋_GB2312" w:cs="仿宋_GB2312" w:eastAsia="仿宋_GB2312"/>
              </w:rPr>
              <w:t>10)根据配置的数据质量检测规则和执行计划，自动进行数据质量扫描。可查看检测结果、问题率及具体的问题明细。</w:t>
            </w:r>
          </w:p>
          <w:p>
            <w:pPr>
              <w:pStyle w:val="null3"/>
            </w:pPr>
            <w:r>
              <w:rPr>
                <w:rFonts w:ascii="仿宋_GB2312" w:hAnsi="仿宋_GB2312" w:cs="仿宋_GB2312" w:eastAsia="仿宋_GB2312"/>
              </w:rPr>
              <w:t>11)根据检测结果，生成数据质量报告，数据质量报告可按不同的时间周期形成分析报告和质量报告，要求系统内预置不少于6种数据质量模板。</w:t>
            </w:r>
          </w:p>
          <w:p>
            <w:pPr>
              <w:pStyle w:val="null3"/>
            </w:pPr>
            <w:r>
              <w:rPr>
                <w:rFonts w:ascii="仿宋_GB2312" w:hAnsi="仿宋_GB2312" w:cs="仿宋_GB2312" w:eastAsia="仿宋_GB2312"/>
              </w:rPr>
              <w:t>1.1.11湖仓一体化管理</w:t>
            </w:r>
          </w:p>
          <w:p>
            <w:pPr>
              <w:pStyle w:val="null3"/>
            </w:pPr>
            <w:r>
              <w:rPr>
                <w:rFonts w:ascii="仿宋_GB2312" w:hAnsi="仿宋_GB2312" w:cs="仿宋_GB2312" w:eastAsia="仿宋_GB2312"/>
              </w:rPr>
              <w:t>1)基于主流数据库数据类型管理，包括但不限于 Oracle、MySQL、Kingbase、Doris的常见基础数据类型。</w:t>
            </w:r>
          </w:p>
          <w:p>
            <w:pPr>
              <w:pStyle w:val="null3"/>
            </w:pPr>
            <w:r>
              <w:rPr>
                <w:rFonts w:ascii="仿宋_GB2312" w:hAnsi="仿宋_GB2312" w:cs="仿宋_GB2312" w:eastAsia="仿宋_GB2312"/>
              </w:rPr>
              <w:t>2)▲提供公共属性、数仓模型、指标计算、指标发布的管理。</w:t>
            </w:r>
          </w:p>
          <w:p>
            <w:pPr>
              <w:pStyle w:val="null3"/>
            </w:pPr>
            <w:r>
              <w:rPr>
                <w:rFonts w:ascii="仿宋_GB2312" w:hAnsi="仿宋_GB2312" w:cs="仿宋_GB2312" w:eastAsia="仿宋_GB2312"/>
              </w:rPr>
              <w:t>3)用户自定义数据类型，可进行新增、修改、删除和查询操作。数据域的新增、修改、删除和查询操作。</w:t>
            </w:r>
          </w:p>
          <w:p>
            <w:pPr>
              <w:pStyle w:val="null3"/>
            </w:pPr>
            <w:r>
              <w:rPr>
                <w:rFonts w:ascii="仿宋_GB2312" w:hAnsi="仿宋_GB2312" w:cs="仿宋_GB2312" w:eastAsia="仿宋_GB2312"/>
              </w:rPr>
              <w:t>4)系统内置包含参考标准所有数据项的数据域。</w:t>
            </w:r>
          </w:p>
          <w:p>
            <w:pPr>
              <w:pStyle w:val="null3"/>
            </w:pPr>
            <w:r>
              <w:rPr>
                <w:rFonts w:ascii="仿宋_GB2312" w:hAnsi="仿宋_GB2312" w:cs="仿宋_GB2312" w:eastAsia="仿宋_GB2312"/>
              </w:rPr>
              <w:t>5)系统预置所有数据域的安全属性信息（安全等级、共享程度、重要程度、敏感程度）。</w:t>
            </w:r>
          </w:p>
          <w:p>
            <w:pPr>
              <w:pStyle w:val="null3"/>
            </w:pPr>
            <w:r>
              <w:rPr>
                <w:rFonts w:ascii="仿宋_GB2312" w:hAnsi="仿宋_GB2312" w:cs="仿宋_GB2312" w:eastAsia="仿宋_GB2312"/>
              </w:rPr>
              <w:t>6)数仓模型管理，系统内置常用的数据维度（业务系统、贴源层、数据中心、数据仓库）。</w:t>
            </w:r>
          </w:p>
          <w:p>
            <w:pPr>
              <w:pStyle w:val="null3"/>
            </w:pPr>
            <w:r>
              <w:rPr>
                <w:rFonts w:ascii="仿宋_GB2312" w:hAnsi="仿宋_GB2312" w:cs="仿宋_GB2312" w:eastAsia="仿宋_GB2312"/>
              </w:rPr>
              <w:t>7)管理第三方业务系统的数据源，查看业务系统中的表和视图。业务系统数据表查看表结构、表数据、索引、外键、数据库代码等信息。</w:t>
            </w:r>
          </w:p>
          <w:p>
            <w:pPr>
              <w:pStyle w:val="null3"/>
            </w:pPr>
            <w:r>
              <w:rPr>
                <w:rFonts w:ascii="仿宋_GB2312" w:hAnsi="仿宋_GB2312" w:cs="仿宋_GB2312" w:eastAsia="仿宋_GB2312"/>
              </w:rPr>
              <w:t>8)数据库代码oracle和mysql数据库，查看新建表、删除表、新建索引、删除索引、新增外键、删除外键等语句，并一键复制。</w:t>
            </w:r>
          </w:p>
          <w:p>
            <w:pPr>
              <w:pStyle w:val="null3"/>
            </w:pPr>
            <w:r>
              <w:rPr>
                <w:rFonts w:ascii="仿宋_GB2312" w:hAnsi="仿宋_GB2312" w:cs="仿宋_GB2312" w:eastAsia="仿宋_GB2312"/>
              </w:rPr>
              <w:t>9)主题域模式，系统可维护主题域，并业务系统数据按照主题域模型进行管理。</w:t>
            </w:r>
          </w:p>
          <w:p>
            <w:pPr>
              <w:pStyle w:val="null3"/>
            </w:pPr>
            <w:r>
              <w:rPr>
                <w:rFonts w:ascii="仿宋_GB2312" w:hAnsi="仿宋_GB2312" w:cs="仿宋_GB2312" w:eastAsia="仿宋_GB2312"/>
              </w:rPr>
              <w:t>10)按表/视图或主题域切换展示，可按英文名或注释切换显示，提供模糊搜索。</w:t>
            </w:r>
          </w:p>
          <w:p>
            <w:pPr>
              <w:pStyle w:val="null3"/>
            </w:pPr>
            <w:r>
              <w:rPr>
                <w:rFonts w:ascii="仿宋_GB2312" w:hAnsi="仿宋_GB2312" w:cs="仿宋_GB2312" w:eastAsia="仿宋_GB2312"/>
              </w:rPr>
              <w:t>11)查看视图SQL及数据。</w:t>
            </w:r>
          </w:p>
          <w:p>
            <w:pPr>
              <w:pStyle w:val="null3"/>
            </w:pPr>
            <w:r>
              <w:rPr>
                <w:rFonts w:ascii="仿宋_GB2312" w:hAnsi="仿宋_GB2312" w:cs="仿宋_GB2312" w:eastAsia="仿宋_GB2312"/>
              </w:rPr>
              <w:t>12)自定义SQL进行单表或多表查询业务系统数据，无需数据库工具即可快速查看业务系统数据。</w:t>
            </w:r>
          </w:p>
          <w:p>
            <w:pPr>
              <w:pStyle w:val="null3"/>
            </w:pPr>
            <w:r>
              <w:rPr>
                <w:rFonts w:ascii="仿宋_GB2312" w:hAnsi="仿宋_GB2312" w:cs="仿宋_GB2312" w:eastAsia="仿宋_GB2312"/>
              </w:rPr>
              <w:t>13)业务系统数据的贴源层管理，按照数据源分类展示入湖业务系统信息。</w:t>
            </w:r>
          </w:p>
          <w:p>
            <w:pPr>
              <w:pStyle w:val="null3"/>
            </w:pPr>
            <w:r>
              <w:rPr>
                <w:rFonts w:ascii="仿宋_GB2312" w:hAnsi="仿宋_GB2312" w:cs="仿宋_GB2312" w:eastAsia="仿宋_GB2312"/>
              </w:rPr>
              <w:t>14)选择应用和数据源进行单表或批量入湖，可进行多选进行整个业务系统全库入湖，也可对业务系统下的单张表或多张表进行入湖。</w:t>
            </w:r>
          </w:p>
          <w:p>
            <w:pPr>
              <w:pStyle w:val="null3"/>
            </w:pPr>
            <w:r>
              <w:rPr>
                <w:rFonts w:ascii="仿宋_GB2312" w:hAnsi="仿宋_GB2312" w:cs="仿宋_GB2312" w:eastAsia="仿宋_GB2312"/>
              </w:rPr>
              <w:t>15)入湖方式全量更新、增量同步及全量同步，自动分配定时策略，同时单个或批量手动调整定时策略。</w:t>
            </w:r>
          </w:p>
          <w:p>
            <w:pPr>
              <w:pStyle w:val="null3"/>
            </w:pPr>
            <w:r>
              <w:rPr>
                <w:rFonts w:ascii="仿宋_GB2312" w:hAnsi="仿宋_GB2312" w:cs="仿宋_GB2312" w:eastAsia="仿宋_GB2312"/>
              </w:rPr>
              <w:t>16)提供入湖日志，多维度展示，可查看各阶段详细日志与进度。</w:t>
            </w:r>
          </w:p>
          <w:p>
            <w:pPr>
              <w:pStyle w:val="null3"/>
            </w:pPr>
            <w:r>
              <w:rPr>
                <w:rFonts w:ascii="仿宋_GB2312" w:hAnsi="仿宋_GB2312" w:cs="仿宋_GB2312" w:eastAsia="仿宋_GB2312"/>
              </w:rPr>
              <w:t>17)创建主题域，允许用户自定义代码和名称，同数据源可分配或迁移表，重置和删除贴源表。</w:t>
            </w:r>
          </w:p>
          <w:p>
            <w:pPr>
              <w:pStyle w:val="null3"/>
            </w:pPr>
            <w:r>
              <w:rPr>
                <w:rFonts w:ascii="仿宋_GB2312" w:hAnsi="仿宋_GB2312" w:cs="仿宋_GB2312" w:eastAsia="仿宋_GB2312"/>
              </w:rPr>
              <w:t>18)树形结构及表名/注释切换显示，提供模糊搜索。</w:t>
            </w:r>
          </w:p>
          <w:p>
            <w:pPr>
              <w:pStyle w:val="null3"/>
            </w:pPr>
            <w:r>
              <w:rPr>
                <w:rFonts w:ascii="仿宋_GB2312" w:hAnsi="仿宋_GB2312" w:cs="仿宋_GB2312" w:eastAsia="仿宋_GB2312"/>
              </w:rPr>
              <w:t>19)源库与贴源表结构比对、源数据查看，自定义SQL及跨表查询，并可查看关联的转换任务和质量检测作业。</w:t>
            </w:r>
          </w:p>
          <w:p>
            <w:pPr>
              <w:pStyle w:val="null3"/>
            </w:pPr>
            <w:r>
              <w:rPr>
                <w:rFonts w:ascii="仿宋_GB2312" w:hAnsi="仿宋_GB2312" w:cs="仿宋_GB2312" w:eastAsia="仿宋_GB2312"/>
              </w:rPr>
              <w:t>20)对数据中心库的数据表和视图信息进行查看和管理，并模糊搜索功能。</w:t>
            </w:r>
          </w:p>
          <w:p>
            <w:pPr>
              <w:pStyle w:val="null3"/>
            </w:pPr>
            <w:r>
              <w:rPr>
                <w:rFonts w:ascii="仿宋_GB2312" w:hAnsi="仿宋_GB2312" w:cs="仿宋_GB2312" w:eastAsia="仿宋_GB2312"/>
              </w:rPr>
              <w:t>21)查看数据中心下的视图内容及表数据，默认展示全量数据，通过自定义SQL进行当前表或跨表的高级查询。</w:t>
            </w:r>
          </w:p>
          <w:p>
            <w:pPr>
              <w:pStyle w:val="null3"/>
            </w:pPr>
            <w:r>
              <w:rPr>
                <w:rFonts w:ascii="仿宋_GB2312" w:hAnsi="仿宋_GB2312" w:cs="仿宋_GB2312" w:eastAsia="仿宋_GB2312"/>
              </w:rPr>
              <w:t>22)对非内置数据源对应的应用进行管理，可展示其数据仓库层的表和视图。</w:t>
            </w:r>
          </w:p>
          <w:p>
            <w:pPr>
              <w:pStyle w:val="null3"/>
            </w:pPr>
            <w:r>
              <w:rPr>
                <w:rFonts w:ascii="仿宋_GB2312" w:hAnsi="仿宋_GB2312" w:cs="仿宋_GB2312" w:eastAsia="仿宋_GB2312"/>
              </w:rPr>
              <w:t>23)对数据仓库进行数据建模，并选择数据域，选择数据域后，数据类型、长度等属性可自动带出。</w:t>
            </w:r>
          </w:p>
          <w:p>
            <w:pPr>
              <w:pStyle w:val="null3"/>
            </w:pPr>
            <w:r>
              <w:rPr>
                <w:rFonts w:ascii="仿宋_GB2312" w:hAnsi="仿宋_GB2312" w:cs="仿宋_GB2312" w:eastAsia="仿宋_GB2312"/>
              </w:rPr>
              <w:t>24)内置转换任务的管理，提供任务信息查看、执行策略配置、定时计划设置等功能。</w:t>
            </w:r>
          </w:p>
          <w:p>
            <w:pPr>
              <w:pStyle w:val="null3"/>
            </w:pPr>
            <w:r>
              <w:rPr>
                <w:rFonts w:ascii="仿宋_GB2312" w:hAnsi="仿宋_GB2312" w:cs="仿宋_GB2312" w:eastAsia="仿宋_GB2312"/>
              </w:rPr>
              <w:t>25)子父任务编排执行，执行记录查看及手动执行任务操作。</w:t>
            </w:r>
          </w:p>
          <w:p>
            <w:pPr>
              <w:pStyle w:val="null3"/>
            </w:pPr>
            <w:r>
              <w:rPr>
                <w:rFonts w:ascii="仿宋_GB2312" w:hAnsi="仿宋_GB2312" w:cs="仿宋_GB2312" w:eastAsia="仿宋_GB2312"/>
              </w:rPr>
              <w:t>26)通过页面手动配置或自定义SQL语句，从数据仓库中提取数据资产相关的统计指标，并在页面展示。</w:t>
            </w:r>
          </w:p>
          <w:p>
            <w:pPr>
              <w:pStyle w:val="null3"/>
            </w:pPr>
            <w:r>
              <w:rPr>
                <w:rFonts w:ascii="仿宋_GB2312" w:hAnsi="仿宋_GB2312" w:cs="仿宋_GB2312" w:eastAsia="仿宋_GB2312"/>
              </w:rPr>
              <w:t>1.1.12日志管理</w:t>
            </w:r>
          </w:p>
          <w:p>
            <w:pPr>
              <w:pStyle w:val="null3"/>
            </w:pPr>
            <w:r>
              <w:rPr>
                <w:rFonts w:ascii="仿宋_GB2312" w:hAnsi="仿宋_GB2312" w:cs="仿宋_GB2312" w:eastAsia="仿宋_GB2312"/>
              </w:rPr>
              <w:t>1)对各个模块记录运转日志，对系统操作日志进行记录展示。</w:t>
            </w:r>
          </w:p>
          <w:p>
            <w:pPr>
              <w:pStyle w:val="null3"/>
            </w:pPr>
            <w:r>
              <w:rPr>
                <w:rFonts w:ascii="仿宋_GB2312" w:hAnsi="仿宋_GB2312" w:cs="仿宋_GB2312" w:eastAsia="仿宋_GB2312"/>
              </w:rPr>
              <w:t>2)提供数据交换执行日志、作业执行日志、文件采集日志、元数据采集日志。</w:t>
            </w:r>
          </w:p>
          <w:p>
            <w:pPr>
              <w:pStyle w:val="null3"/>
            </w:pPr>
            <w:r>
              <w:rPr>
                <w:rFonts w:ascii="仿宋_GB2312" w:hAnsi="仿宋_GB2312" w:cs="仿宋_GB2312" w:eastAsia="仿宋_GB2312"/>
              </w:rPr>
              <w:t>3)提供API调用日志、数据目录下载日志、下载主数据操作日志、数据备份任务日志、异地备份日志、磁盘清理日志、指标计算日志、数据仓库操作日志、消息日志。</w:t>
            </w:r>
          </w:p>
          <w:p>
            <w:pPr>
              <w:pStyle w:val="null3"/>
            </w:pPr>
            <w:r>
              <w:rPr>
                <w:rFonts w:ascii="仿宋_GB2312" w:hAnsi="仿宋_GB2312" w:cs="仿宋_GB2312" w:eastAsia="仿宋_GB2312"/>
              </w:rPr>
              <w:t>1.1.13导航服务</w:t>
            </w:r>
          </w:p>
          <w:p>
            <w:pPr>
              <w:pStyle w:val="null3"/>
            </w:pPr>
            <w:r>
              <w:rPr>
                <w:rFonts w:ascii="仿宋_GB2312" w:hAnsi="仿宋_GB2312" w:cs="仿宋_GB2312" w:eastAsia="仿宋_GB2312"/>
              </w:rPr>
              <w:t>1)将运维流程梳理为场景化引导服务。包括：创建校标、采集元数据、采集有源数据、采集无源数据、发起数据确权、开放数据、提升数据质量、保障数据安全、统一权限管理、数据溯源。</w:t>
            </w:r>
          </w:p>
          <w:p>
            <w:pPr>
              <w:pStyle w:val="null3"/>
            </w:pPr>
            <w:r>
              <w:rPr>
                <w:rFonts w:ascii="仿宋_GB2312" w:hAnsi="仿宋_GB2312" w:cs="仿宋_GB2312" w:eastAsia="仿宋_GB2312"/>
              </w:rPr>
              <w:t>1.2数据资产服务</w:t>
            </w:r>
          </w:p>
          <w:p>
            <w:pPr>
              <w:pStyle w:val="null3"/>
            </w:pPr>
            <w:r>
              <w:rPr>
                <w:rFonts w:ascii="仿宋_GB2312" w:hAnsi="仿宋_GB2312" w:cs="仿宋_GB2312" w:eastAsia="仿宋_GB2312"/>
              </w:rPr>
              <w:t>1.2.1数据工作台</w:t>
            </w:r>
          </w:p>
          <w:p>
            <w:pPr>
              <w:pStyle w:val="null3"/>
            </w:pPr>
            <w:r>
              <w:rPr>
                <w:rFonts w:ascii="仿宋_GB2312" w:hAnsi="仿宋_GB2312" w:cs="仿宋_GB2312" w:eastAsia="仿宋_GB2312"/>
              </w:rPr>
              <w:t>1)统计当前登录用户确认的问题率超过阈值的数据质量作业数量，下钻展示数据质量作业详情及相关统计信息，下载检测结果。</w:t>
            </w:r>
          </w:p>
          <w:p>
            <w:pPr>
              <w:pStyle w:val="null3"/>
            </w:pPr>
            <w:r>
              <w:rPr>
                <w:rFonts w:ascii="仿宋_GB2312" w:hAnsi="仿宋_GB2312" w:cs="仿宋_GB2312" w:eastAsia="仿宋_GB2312"/>
              </w:rPr>
              <w:t>2)统计当前登录用户的所有待办事项数量，下钻至消息中心查看详细列表，并对每条待办进行立即办理、删除、修改状态等操作。</w:t>
            </w:r>
          </w:p>
          <w:p>
            <w:pPr>
              <w:pStyle w:val="null3"/>
            </w:pPr>
            <w:r>
              <w:rPr>
                <w:rFonts w:ascii="仿宋_GB2312" w:hAnsi="仿宋_GB2312" w:cs="仿宋_GB2312" w:eastAsia="仿宋_GB2312"/>
              </w:rPr>
              <w:t>3)统计当前登录用户已申请的数据服务和数据目录数量，可查看所有申请的详细信息。对已通过申请的数据进行下载、提交数据使用反馈，以及对已办结申请进行重新申请操作。</w:t>
            </w:r>
          </w:p>
          <w:p>
            <w:pPr>
              <w:pStyle w:val="null3"/>
            </w:pPr>
            <w:r>
              <w:rPr>
                <w:rFonts w:ascii="仿宋_GB2312" w:hAnsi="仿宋_GB2312" w:cs="仿宋_GB2312" w:eastAsia="仿宋_GB2312"/>
              </w:rPr>
              <w:t>4)统计当前登录用户收藏的数据标准、数据服务、数据目录、主题查询和文档的数量，可查看所有收藏的详细信息。并下载、取消收藏、重新申请等操作。</w:t>
            </w:r>
          </w:p>
          <w:p>
            <w:pPr>
              <w:pStyle w:val="null3"/>
            </w:pPr>
            <w:r>
              <w:rPr>
                <w:rFonts w:ascii="仿宋_GB2312" w:hAnsi="仿宋_GB2312" w:cs="仿宋_GB2312" w:eastAsia="仿宋_GB2312"/>
              </w:rPr>
              <w:t>5)提供常用功能快捷入口，自定义配置。</w:t>
            </w:r>
          </w:p>
          <w:p>
            <w:pPr>
              <w:pStyle w:val="null3"/>
            </w:pPr>
            <w:r>
              <w:rPr>
                <w:rFonts w:ascii="仿宋_GB2312" w:hAnsi="仿宋_GB2312" w:cs="仿宋_GB2312" w:eastAsia="仿宋_GB2312"/>
              </w:rPr>
              <w:t>6)展示当前登录用户最常访问的功能模块，并提供快速进入入口。</w:t>
            </w:r>
          </w:p>
          <w:p>
            <w:pPr>
              <w:pStyle w:val="null3"/>
            </w:pPr>
            <w:r>
              <w:rPr>
                <w:rFonts w:ascii="仿宋_GB2312" w:hAnsi="仿宋_GB2312" w:cs="仿宋_GB2312" w:eastAsia="仿宋_GB2312"/>
              </w:rPr>
              <w:t>7)展示与当前登录用户相关以及全校的系统数据信息。</w:t>
            </w:r>
          </w:p>
          <w:p>
            <w:pPr>
              <w:pStyle w:val="null3"/>
            </w:pPr>
            <w:r>
              <w:rPr>
                <w:rFonts w:ascii="仿宋_GB2312" w:hAnsi="仿宋_GB2312" w:cs="仿宋_GB2312" w:eastAsia="仿宋_GB2312"/>
              </w:rPr>
              <w:t>8)以日历形式展示当前用户所有待办任务事项。可灵活切换角色。</w:t>
            </w:r>
          </w:p>
          <w:p>
            <w:pPr>
              <w:pStyle w:val="null3"/>
            </w:pPr>
            <w:r>
              <w:rPr>
                <w:rFonts w:ascii="仿宋_GB2312" w:hAnsi="仿宋_GB2312" w:cs="仿宋_GB2312" w:eastAsia="仿宋_GB2312"/>
              </w:rPr>
              <w:t>9)展示所有待确权任务，确权明细列表可查看进度并进行确权操作，下载确权结果。</w:t>
            </w:r>
          </w:p>
          <w:p>
            <w:pPr>
              <w:pStyle w:val="null3"/>
            </w:pPr>
            <w:r>
              <w:rPr>
                <w:rFonts w:ascii="仿宋_GB2312" w:hAnsi="仿宋_GB2312" w:cs="仿宋_GB2312" w:eastAsia="仿宋_GB2312"/>
              </w:rPr>
              <w:t>10)展示数据质量问题率超阈值的作业信息，可直接下载问题数据明细，并查看所有超阈值作业的详情。</w:t>
            </w:r>
          </w:p>
          <w:p>
            <w:pPr>
              <w:pStyle w:val="null3"/>
            </w:pPr>
            <w:r>
              <w:rPr>
                <w:rFonts w:ascii="仿宋_GB2312" w:hAnsi="仿宋_GB2312" w:cs="仿宋_GB2312" w:eastAsia="仿宋_GB2312"/>
              </w:rPr>
              <w:t>11)展示和当前用户相关的提醒消息，可查看所有提醒信息。</w:t>
            </w:r>
          </w:p>
          <w:p>
            <w:pPr>
              <w:pStyle w:val="null3"/>
            </w:pPr>
            <w:r>
              <w:rPr>
                <w:rFonts w:ascii="仿宋_GB2312" w:hAnsi="仿宋_GB2312" w:cs="仿宋_GB2312" w:eastAsia="仿宋_GB2312"/>
              </w:rPr>
              <w:t>1.2.2数据看板</w:t>
            </w:r>
          </w:p>
          <w:p>
            <w:pPr>
              <w:pStyle w:val="null3"/>
            </w:pPr>
            <w:r>
              <w:rPr>
                <w:rFonts w:ascii="仿宋_GB2312" w:hAnsi="仿宋_GB2312" w:cs="仿宋_GB2312" w:eastAsia="仿宋_GB2312"/>
              </w:rPr>
              <w:t>1)查看执行模型总体概况统计、执行代码总体概况统计。</w:t>
            </w:r>
          </w:p>
          <w:p>
            <w:pPr>
              <w:pStyle w:val="null3"/>
            </w:pPr>
            <w:r>
              <w:rPr>
                <w:rFonts w:ascii="仿宋_GB2312" w:hAnsi="仿宋_GB2312" w:cs="仿宋_GB2312" w:eastAsia="仿宋_GB2312"/>
              </w:rPr>
              <w:t>2)实时统计并展示数据资源目录的总体概况、最受欢迎资源目录TOP10榜单。</w:t>
            </w:r>
          </w:p>
          <w:p>
            <w:pPr>
              <w:pStyle w:val="null3"/>
            </w:pPr>
            <w:r>
              <w:rPr>
                <w:rFonts w:ascii="仿宋_GB2312" w:hAnsi="仿宋_GB2312" w:cs="仿宋_GB2312" w:eastAsia="仿宋_GB2312"/>
              </w:rPr>
              <w:t>3)实时统计并展示数据服务的总体概况、最受欢迎数据服务TOP10榜单。</w:t>
            </w:r>
          </w:p>
          <w:p>
            <w:pPr>
              <w:pStyle w:val="null3"/>
            </w:pPr>
            <w:r>
              <w:rPr>
                <w:rFonts w:ascii="仿宋_GB2312" w:hAnsi="仿宋_GB2312" w:cs="仿宋_GB2312" w:eastAsia="仿宋_GB2312"/>
              </w:rPr>
              <w:t>4)对数据覆盖率进行动态统计。</w:t>
            </w:r>
          </w:p>
          <w:p>
            <w:pPr>
              <w:pStyle w:val="null3"/>
            </w:pPr>
            <w:r>
              <w:rPr>
                <w:rFonts w:ascii="仿宋_GB2312" w:hAnsi="仿宋_GB2312" w:cs="仿宋_GB2312" w:eastAsia="仿宋_GB2312"/>
              </w:rPr>
              <w:t>5)灵活统计最近一周每日的数据交换使用量、API调用次数、数据下载次数，实时反映数据活跃度变化。</w:t>
            </w:r>
          </w:p>
          <w:p>
            <w:pPr>
              <w:pStyle w:val="null3"/>
            </w:pPr>
            <w:r>
              <w:rPr>
                <w:rFonts w:ascii="仿宋_GB2312" w:hAnsi="仿宋_GB2312" w:cs="仿宋_GB2312" w:eastAsia="仿宋_GB2312"/>
              </w:rPr>
              <w:t>6)按周、月、年三种维度灵活统计并展示人工维护、数据交换每日的数据更新总条数。</w:t>
            </w:r>
          </w:p>
          <w:p>
            <w:pPr>
              <w:pStyle w:val="null3"/>
            </w:pPr>
            <w:r>
              <w:rPr>
                <w:rFonts w:ascii="仿宋_GB2312" w:hAnsi="仿宋_GB2312" w:cs="仿宋_GB2312" w:eastAsia="仿宋_GB2312"/>
              </w:rPr>
              <w:t>7)灵活展示数据覆盖率、数据活跃度、数据更新频次三个维度TOP10的执行模型。</w:t>
            </w:r>
          </w:p>
          <w:p>
            <w:pPr>
              <w:pStyle w:val="null3"/>
            </w:pPr>
            <w:r>
              <w:rPr>
                <w:rFonts w:ascii="仿宋_GB2312" w:hAnsi="仿宋_GB2312" w:cs="仿宋_GB2312" w:eastAsia="仿宋_GB2312"/>
              </w:rPr>
              <w:t>8)查看数据质量总体概况，展示问题率、问题严重等级分布。</w:t>
            </w:r>
          </w:p>
          <w:p>
            <w:pPr>
              <w:pStyle w:val="null3"/>
            </w:pPr>
            <w:r>
              <w:rPr>
                <w:rFonts w:ascii="仿宋_GB2312" w:hAnsi="仿宋_GB2312" w:cs="仿宋_GB2312" w:eastAsia="仿宋_GB2312"/>
              </w:rPr>
              <w:t>9)查看质量检测作业统计概况。</w:t>
            </w:r>
          </w:p>
          <w:p>
            <w:pPr>
              <w:pStyle w:val="null3"/>
            </w:pPr>
            <w:r>
              <w:rPr>
                <w:rFonts w:ascii="仿宋_GB2312" w:hAnsi="仿宋_GB2312" w:cs="仿宋_GB2312" w:eastAsia="仿宋_GB2312"/>
              </w:rPr>
              <w:t>10)展示检测明细统计，涵盖检测情况、检测规则、质量概况、严重程度分布以及问题处理状态。</w:t>
            </w:r>
          </w:p>
          <w:p>
            <w:pPr>
              <w:pStyle w:val="null3"/>
            </w:pPr>
            <w:r>
              <w:rPr>
                <w:rFonts w:ascii="仿宋_GB2312" w:hAnsi="仿宋_GB2312" w:cs="仿宋_GB2312" w:eastAsia="仿宋_GB2312"/>
              </w:rPr>
              <w:t>11)动态展示数据子类质量得分排名，清晰展示各子类的排名、数据子类名称、质量得分、检测数据总量及问题数据量。</w:t>
            </w:r>
          </w:p>
          <w:p>
            <w:pPr>
              <w:pStyle w:val="null3"/>
            </w:pPr>
            <w:r>
              <w:rPr>
                <w:rFonts w:ascii="仿宋_GB2312" w:hAnsi="仿宋_GB2312" w:cs="仿宋_GB2312" w:eastAsia="仿宋_GB2312"/>
              </w:rPr>
              <w:t>1.2.3数据地图</w:t>
            </w:r>
          </w:p>
          <w:p>
            <w:pPr>
              <w:pStyle w:val="null3"/>
            </w:pPr>
            <w:r>
              <w:rPr>
                <w:rFonts w:ascii="仿宋_GB2312" w:hAnsi="仿宋_GB2312" w:cs="仿宋_GB2312" w:eastAsia="仿宋_GB2312"/>
              </w:rPr>
              <w:t>展示数据资产及数据治理情况。记录并展示数据产生、数据采集/存储、数据治理、数据应用的全过程；</w:t>
            </w:r>
          </w:p>
          <w:p>
            <w:pPr>
              <w:pStyle w:val="null3"/>
            </w:pPr>
            <w:r>
              <w:rPr>
                <w:rFonts w:ascii="仿宋_GB2312" w:hAnsi="仿宋_GB2312" w:cs="仿宋_GB2312" w:eastAsia="仿宋_GB2312"/>
              </w:rPr>
              <w:t>1）▲可以展示用户所在部门数据地图和全校数据地图信息。</w:t>
            </w:r>
          </w:p>
          <w:p>
            <w:pPr>
              <w:pStyle w:val="null3"/>
            </w:pPr>
            <w:r>
              <w:rPr>
                <w:rFonts w:ascii="仿宋_GB2312" w:hAnsi="仿宋_GB2312" w:cs="仿宋_GB2312" w:eastAsia="仿宋_GB2312"/>
              </w:rPr>
              <w:t>2)可切换查看部门（用户所属部门或负责岗位部门）地图和学校地图两大模块，查看本单位数据流入部门数、数据流入应用数；</w:t>
            </w:r>
          </w:p>
          <w:p>
            <w:pPr>
              <w:pStyle w:val="null3"/>
            </w:pPr>
            <w:r>
              <w:rPr>
                <w:rFonts w:ascii="仿宋_GB2312" w:hAnsi="仿宋_GB2312" w:cs="仿宋_GB2312" w:eastAsia="仿宋_GB2312"/>
              </w:rPr>
              <w:t>3)多层级图形化展示数据的全生命周期：该单位建设的信息化应用明细，采集到的元数据表和资源代码明细，通过以上元数据表和资源代码映射到数据中心的执行模型及所涉及的业务领域、执行代码及所涉及的业务领域明细，以上执行模型/执行代码进行服务治理、质量治理、安全治理；最终服务到的应用清单。</w:t>
            </w:r>
          </w:p>
          <w:p>
            <w:pPr>
              <w:pStyle w:val="null3"/>
            </w:pPr>
            <w:r>
              <w:rPr>
                <w:rFonts w:ascii="仿宋_GB2312" w:hAnsi="仿宋_GB2312" w:cs="仿宋_GB2312" w:eastAsia="仿宋_GB2312"/>
              </w:rPr>
              <w:t>1.2.4模型公示服务</w:t>
            </w:r>
          </w:p>
          <w:p>
            <w:pPr>
              <w:pStyle w:val="null3"/>
            </w:pPr>
            <w:r>
              <w:rPr>
                <w:rFonts w:ascii="仿宋_GB2312" w:hAnsi="仿宋_GB2312" w:cs="仿宋_GB2312" w:eastAsia="仿宋_GB2312"/>
              </w:rPr>
              <w:t>1)公示学校最新版本已执行的模型标准，按业务域进行展示。</w:t>
            </w:r>
          </w:p>
          <w:p>
            <w:pPr>
              <w:pStyle w:val="null3"/>
            </w:pPr>
            <w:r>
              <w:rPr>
                <w:rFonts w:ascii="仿宋_GB2312" w:hAnsi="仿宋_GB2312" w:cs="仿宋_GB2312" w:eastAsia="仿宋_GB2312"/>
              </w:rPr>
              <w:t>2)模型标准数据总览统计，查看全校及所属部门的数据子集、数据类、数据子类、数据项的数量等。</w:t>
            </w:r>
          </w:p>
          <w:p>
            <w:pPr>
              <w:pStyle w:val="null3"/>
            </w:pPr>
            <w:r>
              <w:rPr>
                <w:rFonts w:ascii="仿宋_GB2312" w:hAnsi="仿宋_GB2312" w:cs="仿宋_GB2312" w:eastAsia="仿宋_GB2312"/>
              </w:rPr>
              <w:t>3)提供下载功能，可下载多个模型子集下的执行模型。</w:t>
            </w:r>
          </w:p>
          <w:p>
            <w:pPr>
              <w:pStyle w:val="null3"/>
            </w:pPr>
            <w:r>
              <w:rPr>
                <w:rFonts w:ascii="仿宋_GB2312" w:hAnsi="仿宋_GB2312" w:cs="仿宋_GB2312" w:eastAsia="仿宋_GB2312"/>
              </w:rPr>
              <w:t>4)展示数据子类的元数据信息，引用信息、数据溯源、UC矩阵、ER图、采标明细（要求演示）。</w:t>
            </w:r>
          </w:p>
          <w:p>
            <w:pPr>
              <w:pStyle w:val="null3"/>
            </w:pPr>
            <w:r>
              <w:rPr>
                <w:rFonts w:ascii="仿宋_GB2312" w:hAnsi="仿宋_GB2312" w:cs="仿宋_GB2312" w:eastAsia="仿宋_GB2312"/>
              </w:rPr>
              <w:t>5)元数据包括技术元数据、业务元数据和管理元数据。其中技术元数据展示包括数据项、中文名称、数据类型、长度、长度类型、键值5类型、引用标准代码、关联表等信息。业务元数据展示数据项、中文名称、有无数据、表单类型、是否可空、是否业务主键、校验类型、是否脱敏、脱敏类型、脱敏方式、脱敏规则、是否加密、加密方式、质量异常率、质量检测规则数、API引用数、标签等信息。管理元数据展示数据项、中文名称、确权状态、应确权应用、应确权单位、时间确权应用、实际确权单位、共享程度、共享备注、重要度、安全等级、敏感程度、确认时间、确认人、来源应用、来源部门、来源表、来源字段、是否入历史库、是否备份、本地备份频次、异地备份频次等信息。</w:t>
            </w:r>
          </w:p>
          <w:p>
            <w:pPr>
              <w:pStyle w:val="null3"/>
            </w:pPr>
            <w:r>
              <w:rPr>
                <w:rFonts w:ascii="仿宋_GB2312" w:hAnsi="仿宋_GB2312" w:cs="仿宋_GB2312" w:eastAsia="仿宋_GB2312"/>
              </w:rPr>
              <w:t>6)展示数据子类的引用信息，用户可直接申请使用API和数据资源目录，无需跳转。</w:t>
            </w:r>
          </w:p>
          <w:p>
            <w:pPr>
              <w:pStyle w:val="null3"/>
            </w:pPr>
            <w:r>
              <w:rPr>
                <w:rFonts w:ascii="仿宋_GB2312" w:hAnsi="仿宋_GB2312" w:cs="仿宋_GB2312" w:eastAsia="仿宋_GB2312"/>
              </w:rPr>
              <w:t>7)提供数据溯源功能，展示数据源头和去向，包括API和数据交换两种方式的数据血缘及影响分析，可查看数据交换任务的最近执行状态、启用状态及关联的代码映射详情。</w:t>
            </w:r>
          </w:p>
          <w:p>
            <w:pPr>
              <w:pStyle w:val="null3"/>
            </w:pPr>
            <w:r>
              <w:rPr>
                <w:rFonts w:ascii="仿宋_GB2312" w:hAnsi="仿宋_GB2312" w:cs="仿宋_GB2312" w:eastAsia="仿宋_GB2312"/>
              </w:rPr>
              <w:t>8)提供矩阵展示数据通过实际流向（数据交换）、规划流向（规划映射）、API等方式的产生和使用情况。</w:t>
            </w:r>
          </w:p>
          <w:p>
            <w:pPr>
              <w:pStyle w:val="null3"/>
            </w:pPr>
            <w:r>
              <w:rPr>
                <w:rFonts w:ascii="仿宋_GB2312" w:hAnsi="仿宋_GB2312" w:cs="仿宋_GB2312" w:eastAsia="仿宋_GB2312"/>
              </w:rPr>
              <w:t>9)提供ER图，展示表之间的外键关系。</w:t>
            </w:r>
          </w:p>
          <w:p>
            <w:pPr>
              <w:pStyle w:val="null3"/>
            </w:pPr>
            <w:r>
              <w:rPr>
                <w:rFonts w:ascii="仿宋_GB2312" w:hAnsi="仿宋_GB2312" w:cs="仿宋_GB2312" w:eastAsia="仿宋_GB2312"/>
              </w:rPr>
              <w:t>10)提供采标明细，展示业务系统的相关表采用执行校标的情况，差异内容高亮显示，并仅显示差异项。</w:t>
            </w:r>
          </w:p>
          <w:p>
            <w:pPr>
              <w:pStyle w:val="null3"/>
            </w:pPr>
            <w:r>
              <w:rPr>
                <w:rFonts w:ascii="仿宋_GB2312" w:hAnsi="仿宋_GB2312" w:cs="仿宋_GB2312" w:eastAsia="仿宋_GB2312"/>
              </w:rPr>
              <w:t>11)展示全校参考模型数量及详细信息，并可查看模型的统计信息。</w:t>
            </w:r>
          </w:p>
          <w:p>
            <w:pPr>
              <w:pStyle w:val="null3"/>
            </w:pPr>
            <w:r>
              <w:rPr>
                <w:rFonts w:ascii="仿宋_GB2312" w:hAnsi="仿宋_GB2312" w:cs="仿宋_GB2312" w:eastAsia="仿宋_GB2312"/>
              </w:rPr>
              <w:t>12)查看模型采标率，展示已采集元数据的业务系统采标情况，包括全校总采标率、采标与未采标模型占比、近一年每月采标率较高的系统、当年采标率前5的业务系统。</w:t>
            </w:r>
          </w:p>
          <w:p>
            <w:pPr>
              <w:pStyle w:val="null3"/>
            </w:pPr>
            <w:r>
              <w:rPr>
                <w:rFonts w:ascii="仿宋_GB2312" w:hAnsi="仿宋_GB2312" w:cs="仿宋_GB2312" w:eastAsia="仿宋_GB2312"/>
              </w:rPr>
              <w:t>1.2.5代码（字典）公示服务</w:t>
            </w:r>
          </w:p>
          <w:p>
            <w:pPr>
              <w:pStyle w:val="null3"/>
            </w:pPr>
            <w:r>
              <w:rPr>
                <w:rFonts w:ascii="仿宋_GB2312" w:hAnsi="仿宋_GB2312" w:cs="仿宋_GB2312" w:eastAsia="仿宋_GB2312"/>
              </w:rPr>
              <w:t>1)▲代码标准公示支持查看代码标准公示信息、采标率详情信息、全校排名信息，可下载学校执行代码、国家标准代码。</w:t>
            </w:r>
          </w:p>
          <w:p>
            <w:pPr>
              <w:pStyle w:val="null3"/>
            </w:pPr>
            <w:r>
              <w:rPr>
                <w:rFonts w:ascii="仿宋_GB2312" w:hAnsi="仿宋_GB2312" w:cs="仿宋_GB2312" w:eastAsia="仿宋_GB2312"/>
              </w:rPr>
              <w:t>2)对代码加入购物车下载（excel、word）、收藏、版本对比等操作。</w:t>
            </w:r>
          </w:p>
          <w:p>
            <w:pPr>
              <w:pStyle w:val="null3"/>
            </w:pPr>
            <w:r>
              <w:rPr>
                <w:rFonts w:ascii="仿宋_GB2312" w:hAnsi="仿宋_GB2312" w:cs="仿宋_GB2312" w:eastAsia="仿宋_GB2312"/>
              </w:rPr>
              <w:t>3)可以查看代码基本信息，采标明细。</w:t>
            </w:r>
          </w:p>
          <w:p>
            <w:pPr>
              <w:pStyle w:val="null3"/>
            </w:pPr>
            <w:r>
              <w:rPr>
                <w:rFonts w:ascii="仿宋_GB2312" w:hAnsi="仿宋_GB2312" w:cs="仿宋_GB2312" w:eastAsia="仿宋_GB2312"/>
              </w:rPr>
              <w:t>4)展示热门代码类排名TOP10。</w:t>
            </w:r>
          </w:p>
          <w:p>
            <w:pPr>
              <w:pStyle w:val="null3"/>
            </w:pPr>
            <w:r>
              <w:rPr>
                <w:rFonts w:ascii="仿宋_GB2312" w:hAnsi="仿宋_GB2312" w:cs="仿宋_GB2312" w:eastAsia="仿宋_GB2312"/>
              </w:rPr>
              <w:t>5)查询不同版本，包含历史版本的代码表；查询代码表及代码项的参标信息、参标率、参考标准。</w:t>
            </w:r>
          </w:p>
          <w:p>
            <w:pPr>
              <w:pStyle w:val="null3"/>
            </w:pPr>
            <w:r>
              <w:rPr>
                <w:rFonts w:ascii="仿宋_GB2312" w:hAnsi="仿宋_GB2312" w:cs="仿宋_GB2312" w:eastAsia="仿宋_GB2312"/>
              </w:rPr>
              <w:t>6)代码采标率：查看全执行代码的采标率、按月展示不同业务系统的采标率。</w:t>
            </w:r>
          </w:p>
          <w:p>
            <w:pPr>
              <w:pStyle w:val="null3"/>
            </w:pPr>
            <w:r>
              <w:rPr>
                <w:rFonts w:ascii="仿宋_GB2312" w:hAnsi="仿宋_GB2312" w:cs="仿宋_GB2312" w:eastAsia="仿宋_GB2312"/>
              </w:rPr>
              <w:t>7)下载当前用户所在部门的业务系统的采标明细excel表。</w:t>
            </w:r>
          </w:p>
          <w:p>
            <w:pPr>
              <w:pStyle w:val="null3"/>
            </w:pPr>
            <w:r>
              <w:rPr>
                <w:rFonts w:ascii="仿宋_GB2312" w:hAnsi="仿宋_GB2312" w:cs="仿宋_GB2312" w:eastAsia="仿宋_GB2312"/>
              </w:rPr>
              <w:t>1.2.6数据目录服务</w:t>
            </w:r>
          </w:p>
          <w:p>
            <w:pPr>
              <w:pStyle w:val="null3"/>
            </w:pPr>
            <w:r>
              <w:rPr>
                <w:rFonts w:ascii="仿宋_GB2312" w:hAnsi="仿宋_GB2312" w:cs="仿宋_GB2312" w:eastAsia="仿宋_GB2312"/>
              </w:rPr>
              <w:t>1)将数据中心数据以资源目录形式在服务端展示，数据目录中包含数据项信息、数据信息以及生成的不同格式（XML\CSV\HTML\JSON）文件的数据集。</w:t>
            </w:r>
          </w:p>
          <w:p>
            <w:pPr>
              <w:pStyle w:val="null3"/>
            </w:pPr>
            <w:r>
              <w:rPr>
                <w:rFonts w:ascii="仿宋_GB2312" w:hAnsi="仿宋_GB2312" w:cs="仿宋_GB2312" w:eastAsia="仿宋_GB2312"/>
              </w:rPr>
              <w:t>2)数据目录的查看、收藏、申请、数据文件下载、反馈、评分功能。</w:t>
            </w:r>
          </w:p>
          <w:p>
            <w:pPr>
              <w:pStyle w:val="null3"/>
            </w:pPr>
            <w:r>
              <w:rPr>
                <w:rFonts w:ascii="仿宋_GB2312" w:hAnsi="仿宋_GB2312" w:cs="仿宋_GB2312" w:eastAsia="仿宋_GB2312"/>
              </w:rPr>
              <w:t>3)用户在找不到自己需要的数据资源目录时，能够直接填写需求信息，上传申请盖章文件，在线申请符合需求的资源目录。</w:t>
            </w:r>
          </w:p>
          <w:p>
            <w:pPr>
              <w:pStyle w:val="null3"/>
            </w:pPr>
            <w:r>
              <w:rPr>
                <w:rFonts w:ascii="仿宋_GB2312" w:hAnsi="仿宋_GB2312" w:cs="仿宋_GB2312" w:eastAsia="仿宋_GB2312"/>
              </w:rPr>
              <w:t>4)查询主题数据目录的申请记录及进度状态跟踪；实现对申请记录进行撤回、催办。</w:t>
            </w:r>
          </w:p>
          <w:p>
            <w:pPr>
              <w:pStyle w:val="null3"/>
            </w:pPr>
            <w:r>
              <w:rPr>
                <w:rFonts w:ascii="仿宋_GB2312" w:hAnsi="仿宋_GB2312" w:cs="仿宋_GB2312" w:eastAsia="仿宋_GB2312"/>
              </w:rPr>
              <w:t>5)数据目录按主题、关联部门、关联系统、状态和关键词多维度筛选。</w:t>
            </w:r>
          </w:p>
          <w:p>
            <w:pPr>
              <w:pStyle w:val="null3"/>
            </w:pPr>
            <w:r>
              <w:rPr>
                <w:rFonts w:ascii="仿宋_GB2312" w:hAnsi="仿宋_GB2312" w:cs="仿宋_GB2312" w:eastAsia="仿宋_GB2312"/>
              </w:rPr>
              <w:t>6)实时展示已发布数据目录总量；一键展示已收藏的数据目录。</w:t>
            </w:r>
          </w:p>
          <w:p>
            <w:pPr>
              <w:pStyle w:val="null3"/>
            </w:pPr>
            <w:r>
              <w:rPr>
                <w:rFonts w:ascii="仿宋_GB2312" w:hAnsi="仿宋_GB2312" w:cs="仿宋_GB2312" w:eastAsia="仿宋_GB2312"/>
              </w:rPr>
              <w:t>7)卡片/列表双模式切换展示，内容包含数据目录名称、所属主题、数据量、数据返回格式、发布时间、更新时间、查看次数、收藏次等核心指标。</w:t>
            </w:r>
          </w:p>
          <w:p>
            <w:pPr>
              <w:pStyle w:val="null3"/>
            </w:pPr>
            <w:r>
              <w:rPr>
                <w:rFonts w:ascii="仿宋_GB2312" w:hAnsi="仿宋_GB2312" w:cs="仿宋_GB2312" w:eastAsia="仿宋_GB2312"/>
              </w:rPr>
              <w:t>8)查看数据目录的基本信息、请求参数、数据项信息。其中数据项信息包含数据项名称、数据项别名、中文名称、使用权限、类型、脱敏类型、脱敏方式、分类分级信息等。</w:t>
            </w:r>
          </w:p>
          <w:p>
            <w:pPr>
              <w:pStyle w:val="null3"/>
            </w:pPr>
            <w:r>
              <w:rPr>
                <w:rFonts w:ascii="仿宋_GB2312" w:hAnsi="仿宋_GB2312" w:cs="仿宋_GB2312" w:eastAsia="仿宋_GB2312"/>
              </w:rPr>
              <w:t>9)数据目录动态更新，数据项新增后，重新发起申请流程，适配业务迭代需求。</w:t>
            </w:r>
          </w:p>
          <w:p>
            <w:pPr>
              <w:pStyle w:val="null3"/>
            </w:pPr>
            <w:r>
              <w:rPr>
                <w:rFonts w:ascii="仿宋_GB2312" w:hAnsi="仿宋_GB2312" w:cs="仿宋_GB2312" w:eastAsia="仿宋_GB2312"/>
              </w:rPr>
              <w:t>1.2.7API目录服务</w:t>
            </w:r>
          </w:p>
          <w:p>
            <w:pPr>
              <w:pStyle w:val="null3"/>
            </w:pPr>
            <w:r>
              <w:rPr>
                <w:rFonts w:ascii="仿宋_GB2312" w:hAnsi="仿宋_GB2312" w:cs="仿宋_GB2312" w:eastAsia="仿宋_GB2312"/>
              </w:rPr>
              <w:t>1)将组装的数据以API接口的形式发布到服务平台，供用户申请，自定义授权给第三方开发者使用。</w:t>
            </w:r>
          </w:p>
          <w:p>
            <w:pPr>
              <w:pStyle w:val="null3"/>
            </w:pPr>
            <w:r>
              <w:rPr>
                <w:rFonts w:ascii="仿宋_GB2312" w:hAnsi="仿宋_GB2312" w:cs="仿宋_GB2312" w:eastAsia="仿宋_GB2312"/>
              </w:rPr>
              <w:t>2)▲API 目录,可以实现对数据服务API进行查询展示、收藏、下载、调用、申请、评分操作。</w:t>
            </w:r>
          </w:p>
          <w:p>
            <w:pPr>
              <w:pStyle w:val="null3"/>
            </w:pPr>
            <w:r>
              <w:rPr>
                <w:rFonts w:ascii="仿宋_GB2312" w:hAnsi="仿宋_GB2312" w:cs="仿宋_GB2312" w:eastAsia="仿宋_GB2312"/>
              </w:rPr>
              <w:t>3)API服务的多版本集中整合，切换查看。</w:t>
            </w:r>
          </w:p>
          <w:p>
            <w:pPr>
              <w:pStyle w:val="null3"/>
            </w:pPr>
            <w:r>
              <w:rPr>
                <w:rFonts w:ascii="仿宋_GB2312" w:hAnsi="仿宋_GB2312" w:cs="仿宋_GB2312" w:eastAsia="仿宋_GB2312"/>
              </w:rPr>
              <w:t>4)能够在线申请符合需求的数据服务。</w:t>
            </w:r>
          </w:p>
          <w:p>
            <w:pPr>
              <w:pStyle w:val="null3"/>
            </w:pPr>
            <w:r>
              <w:rPr>
                <w:rFonts w:ascii="仿宋_GB2312" w:hAnsi="仿宋_GB2312" w:cs="仿宋_GB2312" w:eastAsia="仿宋_GB2312"/>
              </w:rPr>
              <w:t>5)由业务员直接将申请通过的API给第三方开发者授权使用。</w:t>
            </w:r>
          </w:p>
          <w:p>
            <w:pPr>
              <w:pStyle w:val="null3"/>
            </w:pPr>
            <w:r>
              <w:rPr>
                <w:rFonts w:ascii="仿宋_GB2312" w:hAnsi="仿宋_GB2312" w:cs="仿宋_GB2312" w:eastAsia="仿宋_GB2312"/>
              </w:rPr>
              <w:t>6)实现申请记录的多维操作（撤回/催办/审批进度查询），按审核状态、API名称灵活筛选，动态追踪申请全流程。</w:t>
            </w:r>
          </w:p>
          <w:p>
            <w:pPr>
              <w:pStyle w:val="null3"/>
            </w:pPr>
            <w:r>
              <w:rPr>
                <w:rFonts w:ascii="仿宋_GB2312" w:hAnsi="仿宋_GB2312" w:cs="仿宋_GB2312" w:eastAsia="仿宋_GB2312"/>
              </w:rPr>
              <w:t>7)单次数据服务申请通过后，可向多个开发者账号重复授权，避免重复申请，提供开发者账号全生命周期管理，支持集成授权服务、记录查询、密码重置、文档下载功能。</w:t>
            </w:r>
          </w:p>
          <w:p>
            <w:pPr>
              <w:pStyle w:val="null3"/>
            </w:pPr>
            <w:r>
              <w:rPr>
                <w:rFonts w:ascii="仿宋_GB2312" w:hAnsi="仿宋_GB2312" w:cs="仿宋_GB2312" w:eastAsia="仿宋_GB2312"/>
              </w:rPr>
              <w:t>8)提供快速授权：选择API及字段后自动应用默认脱敏规则，无需审核即可调用。</w:t>
            </w:r>
          </w:p>
          <w:p>
            <w:pPr>
              <w:pStyle w:val="null3"/>
            </w:pPr>
            <w:r>
              <w:rPr>
                <w:rFonts w:ascii="仿宋_GB2312" w:hAnsi="仿宋_GB2312" w:cs="仿宋_GB2312" w:eastAsia="仿宋_GB2312"/>
              </w:rPr>
              <w:t>9)提供安全授权：自定义字段脱敏类型/方式/规则，掩码/哈希/加密等不低于10种脱敏方式及全掩码/自定义规则双模式，一键筛选未授权字段。提供引用授权，同用户体系下，可引用其他账号已授权API并自动过滤重复服务，实现一次授权，全局复用。</w:t>
            </w:r>
          </w:p>
          <w:p>
            <w:pPr>
              <w:pStyle w:val="null3"/>
            </w:pPr>
            <w:r>
              <w:rPr>
                <w:rFonts w:ascii="仿宋_GB2312" w:hAnsi="仿宋_GB2312" w:cs="仿宋_GB2312" w:eastAsia="仿宋_GB2312"/>
              </w:rPr>
              <w:t>10)实时展示已发布API总量。</w:t>
            </w:r>
          </w:p>
          <w:p>
            <w:pPr>
              <w:pStyle w:val="null3"/>
            </w:pPr>
            <w:r>
              <w:rPr>
                <w:rFonts w:ascii="仿宋_GB2312" w:hAnsi="仿宋_GB2312" w:cs="仿宋_GB2312" w:eastAsia="仿宋_GB2312"/>
              </w:rPr>
              <w:t>1.2.8主题查询服务</w:t>
            </w:r>
          </w:p>
          <w:p>
            <w:pPr>
              <w:pStyle w:val="null3"/>
            </w:pPr>
            <w:r>
              <w:rPr>
                <w:rFonts w:ascii="仿宋_GB2312" w:hAnsi="仿宋_GB2312" w:cs="仿宋_GB2312" w:eastAsia="仿宋_GB2312"/>
              </w:rPr>
              <w:t>1)简单查询：用户在服务平台对查询权限范围内数据进行查询、收藏、下载；按部门维度归类、按模型三层结构维度归类；支持通过表中英文名模糊查询；支持复杂筛选条件配置，保存筛选条件和排序条件；翻译数据与原始数据切换查看。</w:t>
            </w:r>
          </w:p>
          <w:p>
            <w:pPr>
              <w:pStyle w:val="null3"/>
            </w:pPr>
            <w:r>
              <w:rPr>
                <w:rFonts w:ascii="仿宋_GB2312" w:hAnsi="仿宋_GB2312" w:cs="仿宋_GB2312" w:eastAsia="仿宋_GB2312"/>
              </w:rPr>
              <w:t>2)复合查询：是对表进行组合，在管理平台通过SQL语句自定义查询符合条件的数据，开放给服务平台用户查询，可对符合条件的数据进行收藏、下载。</w:t>
            </w:r>
          </w:p>
          <w:p>
            <w:pPr>
              <w:pStyle w:val="null3"/>
            </w:pPr>
            <w:r>
              <w:rPr>
                <w:rFonts w:ascii="仿宋_GB2312" w:hAnsi="仿宋_GB2312" w:cs="仿宋_GB2312" w:eastAsia="仿宋_GB2312"/>
              </w:rPr>
              <w:t>1.2.9数据质量服务</w:t>
            </w:r>
          </w:p>
          <w:p>
            <w:pPr>
              <w:pStyle w:val="null3"/>
            </w:pPr>
            <w:r>
              <w:rPr>
                <w:rFonts w:ascii="仿宋_GB2312" w:hAnsi="仿宋_GB2312" w:cs="仿宋_GB2312" w:eastAsia="仿宋_GB2312"/>
              </w:rPr>
              <w:t>1)展示当前用户所属部门的数据质量检测信息，要求包括以下内容：总表数、总数据项数、总数据量，检测表数、检测数据项数、问题数据量、问题率，各问题等级占比，质量/异常/告警作业数，质量及问题报告数等整体质量情况。</w:t>
            </w:r>
          </w:p>
          <w:p>
            <w:pPr>
              <w:pStyle w:val="null3"/>
            </w:pPr>
            <w:r>
              <w:rPr>
                <w:rFonts w:ascii="仿宋_GB2312" w:hAnsi="仿宋_GB2312" w:cs="仿宋_GB2312" w:eastAsia="仿宋_GB2312"/>
              </w:rPr>
              <w:t>2)检测明细应包括：检测表数、检测数据项数、检查数据量、检测维度与规则数、问题表及数据项数、问题数据量，按等级划分的数量，以及已解决、未解决、新增问题数据量等详细指标。</w:t>
            </w:r>
          </w:p>
          <w:p>
            <w:pPr>
              <w:pStyle w:val="null3"/>
            </w:pPr>
            <w:r>
              <w:rPr>
                <w:rFonts w:ascii="仿宋_GB2312" w:hAnsi="仿宋_GB2312" w:cs="仿宋_GB2312" w:eastAsia="仿宋_GB2312"/>
              </w:rPr>
              <w:t>3)展示数据子类质量得分排名。</w:t>
            </w:r>
          </w:p>
          <w:p>
            <w:pPr>
              <w:pStyle w:val="null3"/>
            </w:pPr>
            <w:r>
              <w:rPr>
                <w:rFonts w:ascii="仿宋_GB2312" w:hAnsi="仿宋_GB2312" w:cs="仿宋_GB2312" w:eastAsia="仿宋_GB2312"/>
              </w:rPr>
              <w:t>4)若用户管理多个部门，可切换部门，并可选择不同时间段查看对应的质量统计数据。</w:t>
            </w:r>
          </w:p>
          <w:p>
            <w:pPr>
              <w:pStyle w:val="null3"/>
            </w:pPr>
            <w:r>
              <w:rPr>
                <w:rFonts w:ascii="仿宋_GB2312" w:hAnsi="仿宋_GB2312" w:cs="仿宋_GB2312" w:eastAsia="仿宋_GB2312"/>
              </w:rPr>
              <w:t>5)根据用户权限，按作业类别和类别组两种形式展示数据质量报告，包括分析报告和问题报告。</w:t>
            </w:r>
          </w:p>
          <w:p>
            <w:pPr>
              <w:pStyle w:val="null3"/>
            </w:pPr>
            <w:r>
              <w:rPr>
                <w:rFonts w:ascii="仿宋_GB2312" w:hAnsi="仿宋_GB2312" w:cs="仿宋_GB2312" w:eastAsia="仿宋_GB2312"/>
              </w:rPr>
              <w:t>6)查看周报、月报、半年报、年报等周期，提供多种模板切换。</w:t>
            </w:r>
          </w:p>
          <w:p>
            <w:pPr>
              <w:pStyle w:val="null3"/>
            </w:pPr>
            <w:r>
              <w:rPr>
                <w:rFonts w:ascii="仿宋_GB2312" w:hAnsi="仿宋_GB2312" w:cs="仿宋_GB2312" w:eastAsia="仿宋_GB2312"/>
              </w:rPr>
              <w:t>7)用户可下载报告，Word、Excel格式，并在线预览，预览时显示水印。</w:t>
            </w:r>
          </w:p>
          <w:p>
            <w:pPr>
              <w:pStyle w:val="null3"/>
            </w:pPr>
            <w:r>
              <w:rPr>
                <w:rFonts w:ascii="仿宋_GB2312" w:hAnsi="仿宋_GB2312" w:cs="仿宋_GB2312" w:eastAsia="仿宋_GB2312"/>
              </w:rPr>
              <w:t>8)展示与用户相关的数据质量作业，可按作业类别或类别组分类查看，查看作业所属类别、执行状态、问题率等信息，并可下载问题明细。</w:t>
            </w:r>
          </w:p>
          <w:p>
            <w:pPr>
              <w:pStyle w:val="null3"/>
            </w:pPr>
            <w:r>
              <w:rPr>
                <w:rFonts w:ascii="仿宋_GB2312" w:hAnsi="仿宋_GB2312" w:cs="仿宋_GB2312" w:eastAsia="仿宋_GB2312"/>
              </w:rPr>
              <w:t>9)展示作业配置详情，统计作业评分、问题率、各规则问题数据项数、历史检测次数、总数据项数、检测数据量，提供近15日评分趋势图，以及整改情况和表状态等信息。</w:t>
            </w:r>
          </w:p>
          <w:p>
            <w:pPr>
              <w:pStyle w:val="null3"/>
            </w:pPr>
            <w:r>
              <w:rPr>
                <w:rFonts w:ascii="仿宋_GB2312" w:hAnsi="仿宋_GB2312" w:cs="仿宋_GB2312" w:eastAsia="仿宋_GB2312"/>
              </w:rPr>
              <w:t>1.2.10数据确权服务</w:t>
            </w:r>
          </w:p>
          <w:p>
            <w:pPr>
              <w:pStyle w:val="null3"/>
            </w:pPr>
            <w:r>
              <w:rPr>
                <w:rFonts w:ascii="仿宋_GB2312" w:hAnsi="仿宋_GB2312" w:cs="仿宋_GB2312" w:eastAsia="仿宋_GB2312"/>
              </w:rPr>
              <w:t>1)展示用户所在部门相关的确权信息，包括确权率、应确权数据子类、应确权数据项、待确权数据子类、待确权数据项、已确权数据子类、已确权数据项以及确权结果。</w:t>
            </w:r>
          </w:p>
          <w:p>
            <w:pPr>
              <w:pStyle w:val="null3"/>
            </w:pPr>
            <w:r>
              <w:rPr>
                <w:rFonts w:ascii="仿宋_GB2312" w:hAnsi="仿宋_GB2312" w:cs="仿宋_GB2312" w:eastAsia="仿宋_GB2312"/>
              </w:rPr>
              <w:t>2)▲可以实现对数据资源生产单位（部门、系统）、共享属性（无条件共享、有条件共享、不共享）进行确认。</w:t>
            </w:r>
          </w:p>
          <w:p>
            <w:pPr>
              <w:pStyle w:val="null3"/>
            </w:pPr>
            <w:r>
              <w:rPr>
                <w:rFonts w:ascii="仿宋_GB2312" w:hAnsi="仿宋_GB2312" w:cs="仿宋_GB2312" w:eastAsia="仿宋_GB2312"/>
              </w:rPr>
              <w:t>3)任务批次按状态过滤，或通过任务名称、批次号模糊查询，可下载任务信息。</w:t>
            </w:r>
          </w:p>
          <w:p>
            <w:pPr>
              <w:pStyle w:val="null3"/>
            </w:pPr>
            <w:r>
              <w:rPr>
                <w:rFonts w:ascii="仿宋_GB2312" w:hAnsi="仿宋_GB2312" w:cs="仿宋_GB2312" w:eastAsia="仿宋_GB2312"/>
              </w:rPr>
              <w:t>4)单表或多表批量确权，提升数据确权效率。</w:t>
            </w:r>
          </w:p>
          <w:p>
            <w:pPr>
              <w:pStyle w:val="null3"/>
            </w:pPr>
            <w:r>
              <w:rPr>
                <w:rFonts w:ascii="仿宋_GB2312" w:hAnsi="仿宋_GB2312" w:cs="仿宋_GB2312" w:eastAsia="仿宋_GB2312"/>
              </w:rPr>
              <w:t>5)单个数据项逐一确权。</w:t>
            </w:r>
          </w:p>
          <w:p>
            <w:pPr>
              <w:pStyle w:val="null3"/>
            </w:pPr>
            <w:r>
              <w:rPr>
                <w:rFonts w:ascii="仿宋_GB2312" w:hAnsi="仿宋_GB2312" w:cs="仿宋_GB2312" w:eastAsia="仿宋_GB2312"/>
              </w:rPr>
              <w:t>6)查看确权记录，记录包括确认用户、数据项名、确权操作、敏感程度、确认时间等。</w:t>
            </w:r>
          </w:p>
          <w:p>
            <w:pPr>
              <w:pStyle w:val="null3"/>
            </w:pPr>
            <w:r>
              <w:rPr>
                <w:rFonts w:ascii="仿宋_GB2312" w:hAnsi="仿宋_GB2312" w:cs="仿宋_GB2312" w:eastAsia="仿宋_GB2312"/>
              </w:rPr>
              <w:t>7)确权结果的查询与下载。</w:t>
            </w:r>
          </w:p>
          <w:p>
            <w:pPr>
              <w:pStyle w:val="null3"/>
            </w:pPr>
            <w:r>
              <w:rPr>
                <w:rFonts w:ascii="仿宋_GB2312" w:hAnsi="仿宋_GB2312" w:cs="仿宋_GB2312" w:eastAsia="仿宋_GB2312"/>
              </w:rPr>
              <w:t>8)当确权数据为非本单位产生时，填写确权意见。</w:t>
            </w:r>
          </w:p>
          <w:p>
            <w:pPr>
              <w:pStyle w:val="null3"/>
            </w:pPr>
            <w:r>
              <w:rPr>
                <w:rFonts w:ascii="仿宋_GB2312" w:hAnsi="仿宋_GB2312" w:cs="仿宋_GB2312" w:eastAsia="仿宋_GB2312"/>
              </w:rPr>
              <w:t>9)申请重新确权，经审核后释放原确权数据，由管理员将任务重新下发至新归属部门处理。</w:t>
            </w:r>
          </w:p>
          <w:p>
            <w:pPr>
              <w:pStyle w:val="null3"/>
            </w:pPr>
            <w:r>
              <w:rPr>
                <w:rFonts w:ascii="仿宋_GB2312" w:hAnsi="仿宋_GB2312" w:cs="仿宋_GB2312" w:eastAsia="仿宋_GB2312"/>
              </w:rPr>
              <w:t>10)系统“一人多岗”，允许用户在同一账号内完成不同岗位的确权与确认工作，简化流程，提升效率。</w:t>
            </w:r>
          </w:p>
          <w:p>
            <w:pPr>
              <w:pStyle w:val="null3"/>
            </w:pPr>
            <w:r>
              <w:rPr>
                <w:rFonts w:ascii="仿宋_GB2312" w:hAnsi="仿宋_GB2312" w:cs="仿宋_GB2312" w:eastAsia="仿宋_GB2312"/>
              </w:rPr>
              <w:t>1.2.11无源数据采集服务</w:t>
            </w:r>
          </w:p>
          <w:p>
            <w:pPr>
              <w:pStyle w:val="null3"/>
            </w:pPr>
            <w:r>
              <w:rPr>
                <w:rFonts w:ascii="仿宋_GB2312" w:hAnsi="仿宋_GB2312" w:cs="仿宋_GB2312" w:eastAsia="仿宋_GB2312"/>
              </w:rPr>
              <w:t>1)无源数据的在线采集，包括常态化采集与任务制采集两种模式。</w:t>
            </w:r>
          </w:p>
          <w:p>
            <w:pPr>
              <w:pStyle w:val="null3"/>
            </w:pPr>
            <w:r>
              <w:rPr>
                <w:rFonts w:ascii="仿宋_GB2312" w:hAnsi="仿宋_GB2312" w:cs="仿宋_GB2312" w:eastAsia="仿宋_GB2312"/>
              </w:rPr>
              <w:t>2)统计常态化采集当前所有表更新情况，包括全部表数量、已更新表数量和未更新表数量。</w:t>
            </w:r>
          </w:p>
          <w:p>
            <w:pPr>
              <w:pStyle w:val="null3"/>
            </w:pPr>
            <w:r>
              <w:rPr>
                <w:rFonts w:ascii="仿宋_GB2312" w:hAnsi="仿宋_GB2312" w:cs="仿宋_GB2312" w:eastAsia="仿宋_GB2312"/>
              </w:rPr>
              <w:t>3)用户进入常态化采集页面后，可查看有权限维护或审核的表，为各表设置更新周期并接收更新提醒。</w:t>
            </w:r>
          </w:p>
          <w:p>
            <w:pPr>
              <w:pStyle w:val="null3"/>
            </w:pPr>
            <w:r>
              <w:rPr>
                <w:rFonts w:ascii="仿宋_GB2312" w:hAnsi="仿宋_GB2312" w:cs="仿宋_GB2312" w:eastAsia="仿宋_GB2312"/>
              </w:rPr>
              <w:t>4)查看表的统计信息（包括数据项数量、数据量、覆盖率、上次更新时间、下次更新时间、是否需要审批和具体的审核流程等），具备查询权限的用户可查看并筛选数据内容。</w:t>
            </w:r>
          </w:p>
          <w:p>
            <w:pPr>
              <w:pStyle w:val="null3"/>
            </w:pPr>
            <w:r>
              <w:rPr>
                <w:rFonts w:ascii="仿宋_GB2312" w:hAnsi="仿宋_GB2312" w:cs="仿宋_GB2312" w:eastAsia="仿宋_GB2312"/>
              </w:rPr>
              <w:t>5)数据维护在线编辑和模板批量上传，并可查看更新记录。</w:t>
            </w:r>
          </w:p>
          <w:p>
            <w:pPr>
              <w:pStyle w:val="null3"/>
            </w:pPr>
            <w:r>
              <w:rPr>
                <w:rFonts w:ascii="仿宋_GB2312" w:hAnsi="仿宋_GB2312" w:cs="仿宋_GB2312" w:eastAsia="仿宋_GB2312"/>
              </w:rPr>
              <w:t>6)具备审核权限的用户查看所有待审核表，查阅待审数据并执行审核操作。</w:t>
            </w:r>
          </w:p>
          <w:p>
            <w:pPr>
              <w:pStyle w:val="null3"/>
            </w:pPr>
            <w:r>
              <w:rPr>
                <w:rFonts w:ascii="仿宋_GB2312" w:hAnsi="仿宋_GB2312" w:cs="仿宋_GB2312" w:eastAsia="仿宋_GB2312"/>
              </w:rPr>
              <w:t>7)统计任务制采集不同状态下的表数量，包括全部表数量、进行中表数量、已结束表数量和已废弃表数量。</w:t>
            </w:r>
          </w:p>
          <w:p>
            <w:pPr>
              <w:pStyle w:val="null3"/>
            </w:pPr>
            <w:r>
              <w:rPr>
                <w:rFonts w:ascii="仿宋_GB2312" w:hAnsi="仿宋_GB2312" w:cs="仿宋_GB2312" w:eastAsia="仿宋_GB2312"/>
              </w:rPr>
              <w:t>8)采集人员可处理待办任务，进行数据查看、维护、上传，查看流程并撤回审核中数据；审核人员可查看待审任务，筛选排序后审核，通过后数据入库。</w:t>
            </w:r>
          </w:p>
          <w:p>
            <w:pPr>
              <w:pStyle w:val="null3"/>
            </w:pPr>
            <w:r>
              <w:rPr>
                <w:rFonts w:ascii="仿宋_GB2312" w:hAnsi="仿宋_GB2312" w:cs="仿宋_GB2312" w:eastAsia="仿宋_GB2312"/>
              </w:rPr>
              <w:t>9)查看最新审核记录，对未审核数据可删除或编辑，并提供草稿箱功能。</w:t>
            </w:r>
          </w:p>
          <w:p>
            <w:pPr>
              <w:pStyle w:val="null3"/>
            </w:pPr>
            <w:r>
              <w:rPr>
                <w:rFonts w:ascii="仿宋_GB2312" w:hAnsi="仿宋_GB2312" w:cs="仿宋_GB2312" w:eastAsia="仿宋_GB2312"/>
              </w:rPr>
              <w:t>1.3数据资产监控</w:t>
            </w:r>
          </w:p>
          <w:p>
            <w:pPr>
              <w:pStyle w:val="null3"/>
            </w:pPr>
            <w:r>
              <w:rPr>
                <w:rFonts w:ascii="仿宋_GB2312" w:hAnsi="仿宋_GB2312" w:cs="仿宋_GB2312" w:eastAsia="仿宋_GB2312"/>
              </w:rPr>
              <w:t>1.3.1数据资产监控大屏</w:t>
            </w:r>
          </w:p>
          <w:p>
            <w:pPr>
              <w:pStyle w:val="null3"/>
            </w:pPr>
            <w:r>
              <w:rPr>
                <w:rFonts w:ascii="仿宋_GB2312" w:hAnsi="仿宋_GB2312" w:cs="仿宋_GB2312" w:eastAsia="仿宋_GB2312"/>
              </w:rPr>
              <w:t>1)对数据资产中心数据、基础环境进行统计监控，包含：集成统计信息、全景地图概览、数据内容监控概览、信息标准监控概览、数据目录监控概览、数据质量监控概览、数据服务监控概览、实时操作日志提醒、数据交换预警、数据质量预警、数据目录预警、数据目录预警。</w:t>
            </w:r>
          </w:p>
          <w:p>
            <w:pPr>
              <w:pStyle w:val="null3"/>
            </w:pPr>
            <w:r>
              <w:rPr>
                <w:rFonts w:ascii="仿宋_GB2312" w:hAnsi="仿宋_GB2312" w:cs="仿宋_GB2312" w:eastAsia="仿宋_GB2312"/>
              </w:rPr>
              <w:t>2)数据全景地图监控大屏，展示各业务系统与数据中心的数据交互关系；包含数据流向、全链分析、影响分析、血缘分析、表影响力排行、影响列表。</w:t>
            </w:r>
          </w:p>
          <w:p>
            <w:pPr>
              <w:pStyle w:val="null3"/>
            </w:pPr>
            <w:r>
              <w:rPr>
                <w:rFonts w:ascii="仿宋_GB2312" w:hAnsi="仿宋_GB2312" w:cs="仿宋_GB2312" w:eastAsia="仿宋_GB2312"/>
              </w:rPr>
              <w:t>3)数据流向：记录业务系统生产的数据总量，记录数据交换作业流入到数据中心个数，记录API从数据中心取数据的数据交互关系；</w:t>
            </w:r>
          </w:p>
          <w:p>
            <w:pPr>
              <w:pStyle w:val="null3"/>
            </w:pPr>
            <w:r>
              <w:rPr>
                <w:rFonts w:ascii="仿宋_GB2312" w:hAnsi="仿宋_GB2312" w:cs="仿宋_GB2312" w:eastAsia="仿宋_GB2312"/>
              </w:rPr>
              <w:t>4)全链分析：切换不同数据库查看每个表每个字段的从哪儿来到哪儿去，精确到字段级。</w:t>
            </w:r>
          </w:p>
          <w:p>
            <w:pPr>
              <w:pStyle w:val="null3"/>
            </w:pPr>
            <w:r>
              <w:rPr>
                <w:rFonts w:ascii="仿宋_GB2312" w:hAnsi="仿宋_GB2312" w:cs="仿宋_GB2312" w:eastAsia="仿宋_GB2312"/>
              </w:rPr>
              <w:t>5)统计展现信息标准模块数据内容；包括：信息标准数量、信息标准排名、信息标准每年的更新趋势、业务系统每月的采标率趋势和排名、数据资产规范文档的访问排名。</w:t>
            </w:r>
          </w:p>
          <w:p>
            <w:pPr>
              <w:pStyle w:val="null3"/>
            </w:pPr>
            <w:r>
              <w:rPr>
                <w:rFonts w:ascii="仿宋_GB2312" w:hAnsi="仿宋_GB2312" w:cs="仿宋_GB2312" w:eastAsia="仿宋_GB2312"/>
              </w:rPr>
              <w:t>6)数据目录监控，对数据目录收藏、下载、使用进行统计分析。</w:t>
            </w:r>
          </w:p>
          <w:p>
            <w:pPr>
              <w:pStyle w:val="null3"/>
            </w:pPr>
            <w:r>
              <w:rPr>
                <w:rFonts w:ascii="仿宋_GB2312" w:hAnsi="仿宋_GB2312" w:cs="仿宋_GB2312" w:eastAsia="仿宋_GB2312"/>
              </w:rPr>
              <w:t>7)数据服务监控，数据服务调用统计，突出异常调用信息，以及收藏、下载、使用进行统计分析。</w:t>
            </w:r>
          </w:p>
          <w:p>
            <w:pPr>
              <w:pStyle w:val="null3"/>
            </w:pPr>
            <w:r>
              <w:rPr>
                <w:rFonts w:ascii="仿宋_GB2312" w:hAnsi="仿宋_GB2312" w:cs="仿宋_GB2312" w:eastAsia="仿宋_GB2312"/>
              </w:rPr>
              <w:t>8)数据内容监控，对数据中心数据的变化进行监控统计。包含：每月的数据覆盖率变化趋势及环比、表的覆盖率排行及增减变化、业务系统贡献率变化趋势及环比、系统的贡献率排行及增减变化等。</w:t>
            </w:r>
          </w:p>
          <w:p>
            <w:pPr>
              <w:pStyle w:val="null3"/>
            </w:pPr>
            <w:r>
              <w:rPr>
                <w:rFonts w:ascii="仿宋_GB2312" w:hAnsi="仿宋_GB2312" w:cs="仿宋_GB2312" w:eastAsia="仿宋_GB2312"/>
              </w:rPr>
              <w:t>9)数据交换监控，多维度展现数据中心与业务系统对接情况。包括各业务系统交换作业概况，各业务系统交换作业执行情况，节点数量以及状态监控，交换作业数以及当前执行情况监控，中心库数据流量变化等。</w:t>
            </w:r>
          </w:p>
          <w:p>
            <w:pPr>
              <w:pStyle w:val="null3"/>
            </w:pPr>
            <w:r>
              <w:rPr>
                <w:rFonts w:ascii="仿宋_GB2312" w:hAnsi="仿宋_GB2312" w:cs="仿宋_GB2312" w:eastAsia="仿宋_GB2312"/>
              </w:rPr>
              <w:t>10）数据质量监控，各业务系统问题数据占比，数据总览：检测库、表、字段、数据数量、问题库、数据质量评分、作业数等统计数据，各业务系统评分趋势、业务系统不同等级问题数据统计、业务系统问题率排名，数据健康状态等。</w:t>
            </w:r>
          </w:p>
          <w:p>
            <w:pPr>
              <w:pStyle w:val="null3"/>
            </w:pPr>
            <w:r>
              <w:rPr>
                <w:rFonts w:ascii="仿宋_GB2312" w:hAnsi="仿宋_GB2312" w:cs="仿宋_GB2312" w:eastAsia="仿宋_GB2312"/>
              </w:rPr>
              <w:t>1.3.2数据驾驶舱</w:t>
            </w:r>
          </w:p>
          <w:p>
            <w:pPr>
              <w:pStyle w:val="null3"/>
            </w:pPr>
            <w:r>
              <w:rPr>
                <w:rFonts w:ascii="仿宋_GB2312" w:hAnsi="仿宋_GB2312" w:cs="仿宋_GB2312" w:eastAsia="仿宋_GB2312"/>
              </w:rPr>
              <w:t>1)部门管理员首页：展示数据资产中心数据信息，包括：数据总量、数据表总量、数据目录数、数据服务数、下载次数、调用次数；还有最新信息通知、文档下载提醒。</w:t>
            </w:r>
          </w:p>
          <w:p>
            <w:pPr>
              <w:pStyle w:val="null3"/>
            </w:pPr>
            <w:r>
              <w:rPr>
                <w:rFonts w:ascii="仿宋_GB2312" w:hAnsi="仿宋_GB2312" w:cs="仿宋_GB2312" w:eastAsia="仿宋_GB2312"/>
              </w:rPr>
              <w:t>2)校领导首页：统计展示数据资产总量、数据子类数量，有数据子类以及无数据子类数量以及对应的环比/同比数量，环比/同比值，趋势，数据流向图、质量报告统计等统计数据。</w:t>
            </w:r>
          </w:p>
          <w:p>
            <w:pPr>
              <w:pStyle w:val="null3"/>
            </w:pPr>
            <w:r>
              <w:rPr>
                <w:rFonts w:ascii="仿宋_GB2312" w:hAnsi="仿宋_GB2312" w:cs="仿宋_GB2312" w:eastAsia="仿宋_GB2312"/>
              </w:rPr>
              <w:t>1.4数据大屏工具</w:t>
            </w:r>
          </w:p>
          <w:p>
            <w:pPr>
              <w:pStyle w:val="null3"/>
            </w:pPr>
            <w:r>
              <w:rPr>
                <w:rFonts w:ascii="仿宋_GB2312" w:hAnsi="仿宋_GB2312" w:cs="仿宋_GB2312" w:eastAsia="仿宋_GB2312"/>
              </w:rPr>
              <w:t>要求能够支持数据大屏、数据报表等页面类型的自定义设计，其中数据报表要求采用网格式布局，可实现移动端自适应效果。</w:t>
            </w:r>
          </w:p>
          <w:p>
            <w:pPr>
              <w:pStyle w:val="null3"/>
            </w:pPr>
            <w:r>
              <w:rPr>
                <w:rFonts w:ascii="仿宋_GB2312" w:hAnsi="仿宋_GB2312" w:cs="仿宋_GB2312" w:eastAsia="仿宋_GB2312"/>
              </w:rPr>
              <w:t>1.4.1数据大屏设计端</w:t>
            </w:r>
          </w:p>
          <w:p>
            <w:pPr>
              <w:pStyle w:val="null3"/>
            </w:pPr>
            <w:r>
              <w:rPr>
                <w:rFonts w:ascii="仿宋_GB2312" w:hAnsi="仿宋_GB2312" w:cs="仿宋_GB2312" w:eastAsia="仿宋_GB2312"/>
              </w:rPr>
              <w:t>1）数据大屏设计端要求页面支持可视化配置方式，支持设置大屏的全局属性</w:t>
            </w:r>
          </w:p>
          <w:p>
            <w:pPr>
              <w:pStyle w:val="null3"/>
            </w:pPr>
            <w:r>
              <w:rPr>
                <w:rFonts w:ascii="仿宋_GB2312" w:hAnsi="仿宋_GB2312" w:cs="仿宋_GB2312" w:eastAsia="仿宋_GB2312"/>
              </w:rPr>
              <w:t xml:space="preserve">2）支持在设计器中提供丰富的组件，用户可通过低代码方式自由设计、搭建大屏页面。组件库的内容包括：图表、文字、媒体、指标、表格、远程组件、自定义组件等组件大类。 </w:t>
            </w:r>
          </w:p>
          <w:p>
            <w:pPr>
              <w:pStyle w:val="null3"/>
            </w:pPr>
            <w:r>
              <w:rPr>
                <w:rFonts w:ascii="仿宋_GB2312" w:hAnsi="仿宋_GB2312" w:cs="仿宋_GB2312" w:eastAsia="仿宋_GB2312"/>
              </w:rPr>
              <w:t>3）组件属性配置：支持配置组件的基本属性，包括颜色、边框、文字、轴线、图例、数值等样式属性。</w:t>
            </w:r>
          </w:p>
          <w:p>
            <w:pPr>
              <w:pStyle w:val="null3"/>
            </w:pPr>
            <w:r>
              <w:rPr>
                <w:rFonts w:ascii="仿宋_GB2312" w:hAnsi="仿宋_GB2312" w:cs="仿宋_GB2312" w:eastAsia="仿宋_GB2312"/>
              </w:rPr>
              <w:t>4）组件数据配置：支持为组件配置并在大屏页面上展示实时数据，支持设置自动刷新时间。可配置的数据类型包括静态数据、API数据、SQL数据、数据集四种。组件事件配置：支持为组件添加多种类型的触发事件，要求触发事件包括：点击触发事件、值改变触发事件、失焦触发事件。根据触发结果，要求提供五种事件类型，包括：隐藏/显示、级联、页面跳转、弹窗、导出。</w:t>
            </w:r>
          </w:p>
          <w:p>
            <w:pPr>
              <w:pStyle w:val="null3"/>
            </w:pPr>
            <w:r>
              <w:rPr>
                <w:rFonts w:ascii="仿宋_GB2312" w:hAnsi="仿宋_GB2312" w:cs="仿宋_GB2312" w:eastAsia="仿宋_GB2312"/>
              </w:rPr>
              <w:t>1.4.2数据大屏管理中心</w:t>
            </w:r>
          </w:p>
          <w:p>
            <w:pPr>
              <w:pStyle w:val="null3"/>
            </w:pPr>
            <w:r>
              <w:rPr>
                <w:rFonts w:ascii="仿宋_GB2312" w:hAnsi="仿宋_GB2312" w:cs="仿宋_GB2312" w:eastAsia="仿宋_GB2312"/>
              </w:rPr>
              <w:t>1）大屏管理，提供大屏的查询功能，支持大屏的编辑、删除、复制、导出、预览等操作。</w:t>
            </w:r>
          </w:p>
          <w:p>
            <w:pPr>
              <w:pStyle w:val="null3"/>
            </w:pPr>
            <w:r>
              <w:rPr>
                <w:rFonts w:ascii="仿宋_GB2312" w:hAnsi="仿宋_GB2312" w:cs="仿宋_GB2312" w:eastAsia="仿宋_GB2312"/>
              </w:rPr>
              <w:t>2）数据源管理，支持新增数据源，可填写数据源的名称，数据库驱动类型，数据库用户名密码，数据库地址以及备注信息，支持数据源连接测试。</w:t>
            </w:r>
          </w:p>
          <w:p>
            <w:pPr>
              <w:pStyle w:val="null3"/>
            </w:pPr>
            <w:r>
              <w:rPr>
                <w:rFonts w:ascii="仿宋_GB2312" w:hAnsi="仿宋_GB2312" w:cs="仿宋_GB2312" w:eastAsia="仿宋_GB2312"/>
              </w:rPr>
              <w:t>3）支持对数据源列表进行查看和管理。可向用户展示所有创建的数据源的信息，也可以删除、编辑、复制 信息。</w:t>
            </w:r>
          </w:p>
          <w:p>
            <w:pPr>
              <w:pStyle w:val="null3"/>
            </w:pPr>
            <w:r>
              <w:rPr>
                <w:rFonts w:ascii="仿宋_GB2312" w:hAnsi="仿宋_GB2312" w:cs="仿宋_GB2312" w:eastAsia="仿宋_GB2312"/>
              </w:rPr>
              <w:t>2.统一身份认证平台</w:t>
            </w:r>
          </w:p>
          <w:p>
            <w:pPr>
              <w:pStyle w:val="null3"/>
            </w:pPr>
            <w:r>
              <w:rPr>
                <w:rFonts w:ascii="仿宋_GB2312" w:hAnsi="仿宋_GB2312" w:cs="仿宋_GB2312" w:eastAsia="仿宋_GB2312"/>
              </w:rPr>
              <w:t>2.1用户中心</w:t>
            </w:r>
          </w:p>
          <w:p>
            <w:pPr>
              <w:pStyle w:val="null3"/>
            </w:pPr>
            <w:r>
              <w:rPr>
                <w:rFonts w:ascii="仿宋_GB2312" w:hAnsi="仿宋_GB2312" w:cs="仿宋_GB2312" w:eastAsia="仿宋_GB2312"/>
              </w:rPr>
              <w:t>1)字典管理，能够维护数据字典，预设字典类型需包括地区、证件类型、国家、性别、民族等通用字典；并且有父级字典的功能设置来满足不同字典的应用需求。</w:t>
            </w:r>
          </w:p>
          <w:p>
            <w:pPr>
              <w:pStyle w:val="null3"/>
            </w:pPr>
            <w:r>
              <w:rPr>
                <w:rFonts w:ascii="仿宋_GB2312" w:hAnsi="仿宋_GB2312" w:cs="仿宋_GB2312" w:eastAsia="仿宋_GB2312"/>
              </w:rPr>
              <w:t>2)身份管理，提供对身份类型的维护，常用的身份包括专科生、本科生、教职工、访客等。身份类型可与用户组关联。</w:t>
            </w:r>
          </w:p>
          <w:p>
            <w:pPr>
              <w:pStyle w:val="null3"/>
            </w:pPr>
            <w:r>
              <w:rPr>
                <w:rFonts w:ascii="仿宋_GB2312" w:hAnsi="仿宋_GB2312" w:cs="仿宋_GB2312" w:eastAsia="仿宋_GB2312"/>
              </w:rPr>
              <w:t>3)组织机构管理，支持不限层级的多级组织机构模型。支持组织机构源头数据同步、批量导入及自定义维护功能。并能通过接口方式向外推送组织机构信息。</w:t>
            </w:r>
          </w:p>
          <w:p>
            <w:pPr>
              <w:pStyle w:val="null3"/>
            </w:pPr>
            <w:r>
              <w:rPr>
                <w:rFonts w:ascii="仿宋_GB2312" w:hAnsi="仿宋_GB2312" w:cs="仿宋_GB2312" w:eastAsia="仿宋_GB2312"/>
              </w:rPr>
              <w:t>4)▲人员管理，支持一人多账号管理（账号含行政机构、身份、状态、有效期等信息）；账户信息新增 / 导入 / 数据同步时可自动检测并合并同一人名下的多个账户；支持对无账号人员信息进行查询、批量导入、导出、添加等操作。</w:t>
            </w:r>
          </w:p>
          <w:p>
            <w:pPr>
              <w:pStyle w:val="null3"/>
            </w:pPr>
            <w:r>
              <w:rPr>
                <w:rFonts w:ascii="仿宋_GB2312" w:hAnsi="仿宋_GB2312" w:cs="仿宋_GB2312" w:eastAsia="仿宋_GB2312"/>
              </w:rPr>
              <w:t>5)支持模糊匹配查询。对查询出的人员，展示关键属性，方便快速确认信息。支持高级查询功能，根据复杂筛选条件精确匹配单个账户。可以对账户进行添加、修改、删除、冻结/解冻、修改密码、设置过期时间、锁定/解锁、注销、激活等操作。</w:t>
            </w:r>
          </w:p>
          <w:p>
            <w:pPr>
              <w:pStyle w:val="null3"/>
            </w:pPr>
            <w:r>
              <w:rPr>
                <w:rFonts w:ascii="仿宋_GB2312" w:hAnsi="仿宋_GB2312" w:cs="仿宋_GB2312" w:eastAsia="仿宋_GB2312"/>
              </w:rPr>
              <w:t>6)能够查询人员关联的所有账号详情、社交账号的绑定情况、所属用户组信息及授权情况。提供无账号人员信息的管理，可对这些人员信息进行维护、查询、批量导入和导出，也可以对这些人员添加或同步校内账号。</w:t>
            </w:r>
          </w:p>
          <w:p>
            <w:pPr>
              <w:pStyle w:val="null3"/>
            </w:pPr>
            <w:r>
              <w:rPr>
                <w:rFonts w:ascii="仿宋_GB2312" w:hAnsi="仿宋_GB2312" w:cs="仿宋_GB2312" w:eastAsia="仿宋_GB2312"/>
              </w:rPr>
              <w:t>7)账号周期管理，可以对账号周期性任务信息进行管理，包括任务名称、人员范围、处理时间、处理方式、通知方式、通知内容等（要求演示）。</w:t>
            </w:r>
          </w:p>
          <w:p>
            <w:pPr>
              <w:pStyle w:val="null3"/>
            </w:pPr>
            <w:r>
              <w:rPr>
                <w:rFonts w:ascii="仿宋_GB2312" w:hAnsi="仿宋_GB2312" w:cs="仿宋_GB2312" w:eastAsia="仿宋_GB2312"/>
              </w:rPr>
              <w:t>8)用户组管理，提供对用户分组管理与维护，能够将用户逐个或通过批量导入的方式关联到指定用户组，方便统一授权。用户组新增人员的方式支持手动添加或调用API，可通过调用API地址控制用户组下账号信息的动态变更。自动变更频率以小时为单位也可以手动执行，需提供API接口详细的配置说明。</w:t>
            </w:r>
          </w:p>
          <w:p>
            <w:pPr>
              <w:pStyle w:val="null3"/>
            </w:pPr>
            <w:r>
              <w:rPr>
                <w:rFonts w:ascii="仿宋_GB2312" w:hAnsi="仿宋_GB2312" w:cs="仿宋_GB2312" w:eastAsia="仿宋_GB2312"/>
              </w:rPr>
              <w:t>9)岗位管理，提供岗位管理功能，能够建立岗位、组织机构和账号三元关系，岗位要求带有数据权限的用户组形式存在，该用户组中的用户能够关联组织机构中的其它部门，解决一人多岗、双肩挑场景下事务审批、数据权限等常见问题。</w:t>
            </w:r>
          </w:p>
          <w:p>
            <w:pPr>
              <w:pStyle w:val="null3"/>
            </w:pPr>
            <w:r>
              <w:rPr>
                <w:rFonts w:ascii="仿宋_GB2312" w:hAnsi="仿宋_GB2312" w:cs="仿宋_GB2312" w:eastAsia="仿宋_GB2312"/>
              </w:rPr>
              <w:t>10)▲岗位用户组管理：可对岗位用户组信息进行管理，岗位分类包括基本岗、通用岗、专用岗。</w:t>
            </w:r>
          </w:p>
          <w:p>
            <w:pPr>
              <w:pStyle w:val="null3"/>
            </w:pPr>
            <w:r>
              <w:rPr>
                <w:rFonts w:ascii="仿宋_GB2312" w:hAnsi="仿宋_GB2312" w:cs="仿宋_GB2312" w:eastAsia="仿宋_GB2312"/>
              </w:rPr>
              <w:t>11)社群管理，提供非行政组织机构人员的管理，可以基于业务关系对人员和群组进行关联。支持创建多个社群，每个社群以组织机构树的形式进行分级管理，人员可通过导入或者添加的方式重复分配到不同社群下的组织机构节点上。</w:t>
            </w:r>
          </w:p>
          <w:p>
            <w:pPr>
              <w:pStyle w:val="null3"/>
            </w:pPr>
            <w:r>
              <w:rPr>
                <w:rFonts w:ascii="仿宋_GB2312" w:hAnsi="仿宋_GB2312" w:cs="仿宋_GB2312" w:eastAsia="仿宋_GB2312"/>
              </w:rPr>
              <w:t>12)标签管理，提供对账号、岗位、部门三个维度标签管理，分别关联人员账号、岗位组和行政机构，能够对标签名称增、删、改以及查看标签所关联的信息。</w:t>
            </w:r>
          </w:p>
          <w:p>
            <w:pPr>
              <w:pStyle w:val="null3"/>
            </w:pPr>
            <w:r>
              <w:rPr>
                <w:rFonts w:ascii="仿宋_GB2312" w:hAnsi="仿宋_GB2312" w:cs="仿宋_GB2312" w:eastAsia="仿宋_GB2312"/>
              </w:rPr>
              <w:t>13)账号风险管理，系统检测到不符合安全策略的登录行为会自动锁定登录ID，能够查询被冻结、锁定、注销的账号的日志信息，并支持批量导出。可以对冻结的账号进行解冻；对锁定的账号进行解锁；对注销的账号进行删除操作。</w:t>
            </w:r>
          </w:p>
          <w:p>
            <w:pPr>
              <w:pStyle w:val="null3"/>
            </w:pPr>
            <w:r>
              <w:rPr>
                <w:rFonts w:ascii="仿宋_GB2312" w:hAnsi="仿宋_GB2312" w:cs="仿宋_GB2312" w:eastAsia="仿宋_GB2312"/>
              </w:rPr>
              <w:t>14)账号激活审核，支持对账号激活的申请记录查询和在线审批。</w:t>
            </w:r>
          </w:p>
          <w:p>
            <w:pPr>
              <w:pStyle w:val="null3"/>
            </w:pPr>
            <w:r>
              <w:rPr>
                <w:rFonts w:ascii="仿宋_GB2312" w:hAnsi="仿宋_GB2312" w:cs="仿宋_GB2312" w:eastAsia="仿宋_GB2312"/>
              </w:rPr>
              <w:t>15)账号申诉审核，提供账号申诉功能，申诉类型需覆盖账号解冻、安全手机不可用、安全邮箱不可用、重置密码业务，能够对每日申诉次数做限制。系统能够自动审核“申诉材料”失败后转人工审核，能对申诉材料进行维护，包括联系手机、联系邮箱、最近一次登录终端信息及自定义其他材料。能手动关闭自动审核功能，人工审核时可通过对联系手机、联系邮箱的加密进行隐私保护（要求演示）。</w:t>
            </w:r>
          </w:p>
          <w:p>
            <w:pPr>
              <w:pStyle w:val="null3"/>
            </w:pPr>
            <w:r>
              <w:rPr>
                <w:rFonts w:ascii="仿宋_GB2312" w:hAnsi="仿宋_GB2312" w:cs="仿宋_GB2312" w:eastAsia="仿宋_GB2312"/>
              </w:rPr>
              <w:t>16)用户统计分析</w:t>
            </w:r>
          </w:p>
          <w:p>
            <w:pPr>
              <w:pStyle w:val="null3"/>
            </w:pPr>
            <w:r>
              <w:rPr>
                <w:rFonts w:ascii="仿宋_GB2312" w:hAnsi="仿宋_GB2312" w:cs="仿宋_GB2312" w:eastAsia="仿宋_GB2312"/>
              </w:rPr>
              <w:t>呈现用户数据概览，包括总人数、无账号人数、男/女性人数及占比、总帐号数、任意三类身份账号数及各自占比、年度新增账号数和新增人数。支持图形化展示账号状态、激活状态、锁定状态、组织机构、身份、失效期等六个指标维度的分布情况，能够呈现账号明细并支持下载。</w:t>
            </w:r>
          </w:p>
          <w:p>
            <w:pPr>
              <w:pStyle w:val="null3"/>
            </w:pPr>
            <w:r>
              <w:rPr>
                <w:rFonts w:ascii="仿宋_GB2312" w:hAnsi="仿宋_GB2312" w:cs="仿宋_GB2312" w:eastAsia="仿宋_GB2312"/>
              </w:rPr>
              <w:t>2.2统一身份认证中心</w:t>
            </w:r>
          </w:p>
          <w:p>
            <w:pPr>
              <w:pStyle w:val="null3"/>
            </w:pPr>
            <w:r>
              <w:rPr>
                <w:rFonts w:ascii="仿宋_GB2312" w:hAnsi="仿宋_GB2312" w:cs="仿宋_GB2312" w:eastAsia="仿宋_GB2312"/>
              </w:rPr>
              <w:t>2.2.1认证登录服务</w:t>
            </w:r>
          </w:p>
          <w:p>
            <w:pPr>
              <w:pStyle w:val="null3"/>
            </w:pPr>
            <w:r>
              <w:rPr>
                <w:rFonts w:ascii="仿宋_GB2312" w:hAnsi="仿宋_GB2312" w:cs="仿宋_GB2312" w:eastAsia="仿宋_GB2312"/>
              </w:rPr>
              <w:t>1)提供用户登录页面，实现一次登录即可访问所有相关的应用系统和服务。</w:t>
            </w:r>
          </w:p>
          <w:p>
            <w:pPr>
              <w:pStyle w:val="null3"/>
            </w:pPr>
            <w:r>
              <w:rPr>
                <w:rFonts w:ascii="仿宋_GB2312" w:hAnsi="仿宋_GB2312" w:cs="仿宋_GB2312" w:eastAsia="仿宋_GB2312"/>
              </w:rPr>
              <w:t>2)提供多种主流的登录方式，包括账号密码登录，手机验证码登录、手机扫二维码登录、 第三方联合登录（社交账号）。</w:t>
            </w:r>
          </w:p>
          <w:p>
            <w:pPr>
              <w:pStyle w:val="null3"/>
            </w:pPr>
            <w:r>
              <w:rPr>
                <w:rFonts w:ascii="仿宋_GB2312" w:hAnsi="仿宋_GB2312" w:cs="仿宋_GB2312" w:eastAsia="仿宋_GB2312"/>
              </w:rPr>
              <w:t>3)支持用户自定义将学工号/教工号、证件号、手机号码、邮箱作为账号登录，开启方式管理员可维护。</w:t>
            </w:r>
          </w:p>
          <w:p>
            <w:pPr>
              <w:pStyle w:val="null3"/>
            </w:pPr>
            <w:r>
              <w:rPr>
                <w:rFonts w:ascii="仿宋_GB2312" w:hAnsi="仿宋_GB2312" w:cs="仿宋_GB2312" w:eastAsia="仿宋_GB2312"/>
              </w:rPr>
              <w:t>4)账号/密码登录认证时具有密码可见功能。密码即将到期时能够提醒用户。</w:t>
            </w:r>
          </w:p>
          <w:p>
            <w:pPr>
              <w:pStyle w:val="null3"/>
            </w:pPr>
            <w:r>
              <w:rPr>
                <w:rFonts w:ascii="仿宋_GB2312" w:hAnsi="仿宋_GB2312" w:cs="仿宋_GB2312" w:eastAsia="仿宋_GB2312"/>
              </w:rPr>
              <w:t>5)支持一人多账号，每个账号对应不同的身份、状态和有效期等属性，满足不同身份登录系统的使用场景，比如：同一个用户既有学生账号又有老师账号。能把任意身份账号设置为默认登录账号。</w:t>
            </w:r>
          </w:p>
          <w:p>
            <w:pPr>
              <w:pStyle w:val="null3"/>
            </w:pPr>
            <w:r>
              <w:rPr>
                <w:rFonts w:ascii="仿宋_GB2312" w:hAnsi="仿宋_GB2312" w:cs="仿宋_GB2312" w:eastAsia="仿宋_GB2312"/>
              </w:rPr>
              <w:t>6)同一账号登录密码输错多次，应要求输入图形验证码进行辅助认证。</w:t>
            </w:r>
          </w:p>
          <w:p>
            <w:pPr>
              <w:pStyle w:val="null3"/>
            </w:pPr>
            <w:r>
              <w:rPr>
                <w:rFonts w:ascii="仿宋_GB2312" w:hAnsi="仿宋_GB2312" w:cs="仿宋_GB2312" w:eastAsia="仿宋_GB2312"/>
              </w:rPr>
              <w:t>7)登录认证时要求自动进行弱密码检测，如检测结果为弱密码则强制要求更改密码才能登录。</w:t>
            </w:r>
          </w:p>
          <w:p>
            <w:pPr>
              <w:pStyle w:val="null3"/>
            </w:pPr>
            <w:r>
              <w:rPr>
                <w:rFonts w:ascii="仿宋_GB2312" w:hAnsi="仿宋_GB2312" w:cs="仿宋_GB2312" w:eastAsia="仿宋_GB2312"/>
              </w:rPr>
              <w:t>8)支持双因子认证功能，即当账号密码登录时，系统自动检测到存在安全隐患会增加一次认证环节。认证方式需支持安全手机和安全邮箱，管理员可配置触发双因子认证的策略。</w:t>
            </w:r>
          </w:p>
          <w:p>
            <w:pPr>
              <w:pStyle w:val="null3"/>
            </w:pPr>
            <w:r>
              <w:rPr>
                <w:rFonts w:ascii="仿宋_GB2312" w:hAnsi="仿宋_GB2312" w:cs="仿宋_GB2312" w:eastAsia="仿宋_GB2312"/>
              </w:rPr>
              <w:t>9)支持通过预留的安全手机、安全邮箱、密保安全问题三种方式自助找回密码。</w:t>
            </w:r>
          </w:p>
          <w:p>
            <w:pPr>
              <w:pStyle w:val="null3"/>
            </w:pPr>
            <w:r>
              <w:rPr>
                <w:rFonts w:ascii="仿宋_GB2312" w:hAnsi="仿宋_GB2312" w:cs="仿宋_GB2312" w:eastAsia="仿宋_GB2312"/>
              </w:rPr>
              <w:t>10)提供手机接收动态验证码登录，支持微信、企业微信、支付宝、QQ、钉钉等第三方社交账号授权绑定的方式登录。</w:t>
            </w:r>
          </w:p>
          <w:p>
            <w:pPr>
              <w:pStyle w:val="null3"/>
            </w:pPr>
            <w:r>
              <w:rPr>
                <w:rFonts w:ascii="仿宋_GB2312" w:hAnsi="仿宋_GB2312" w:cs="仿宋_GB2312" w:eastAsia="仿宋_GB2312"/>
              </w:rPr>
              <w:t>11)新用户可自助激活账号，通过将证件号、学号/工号、姓名中的任意一个作为激活验证条件，激活流程需包括填写信息、信息校验、绑定手机/邮箱、设置密码、激活结果五部分，激活过程支持人工审核。</w:t>
            </w:r>
          </w:p>
          <w:p>
            <w:pPr>
              <w:pStyle w:val="null3"/>
            </w:pPr>
            <w:r>
              <w:rPr>
                <w:rFonts w:ascii="仿宋_GB2312" w:hAnsi="仿宋_GB2312" w:cs="仿宋_GB2312" w:eastAsia="仿宋_GB2312"/>
              </w:rPr>
              <w:t>2.2.2认证管理</w:t>
            </w:r>
          </w:p>
          <w:p>
            <w:pPr>
              <w:pStyle w:val="null3"/>
            </w:pPr>
            <w:r>
              <w:rPr>
                <w:rFonts w:ascii="仿宋_GB2312" w:hAnsi="仿宋_GB2312" w:cs="仿宋_GB2312" w:eastAsia="仿宋_GB2312"/>
              </w:rPr>
              <w:t>1)登录方式配置，提供对账号（教工号/学工号）+密码，预留手机号+密码、电子邮箱+密码、证件号+密码等多种登录方式的管理。能够对登录框占位符的提示语进行配置。</w:t>
            </w:r>
          </w:p>
          <w:p>
            <w:pPr>
              <w:pStyle w:val="null3"/>
            </w:pPr>
            <w:r>
              <w:rPr>
                <w:rFonts w:ascii="仿宋_GB2312" w:hAnsi="仿宋_GB2312" w:cs="仿宋_GB2312" w:eastAsia="仿宋_GB2312"/>
              </w:rPr>
              <w:t>管理员能配置是否启用其他登录方式，包括手机动态码登录等。</w:t>
            </w:r>
          </w:p>
          <w:p>
            <w:pPr>
              <w:pStyle w:val="null3"/>
            </w:pPr>
            <w:r>
              <w:rPr>
                <w:rFonts w:ascii="仿宋_GB2312" w:hAnsi="仿宋_GB2312" w:cs="仿宋_GB2312" w:eastAsia="仿宋_GB2312"/>
              </w:rPr>
              <w:t>提供启用第三方社交账号登录的管理，包括微信、QQ、支付宝、企业微信、钉钉等，并提供对接参数配置。</w:t>
            </w:r>
          </w:p>
          <w:p>
            <w:pPr>
              <w:pStyle w:val="null3"/>
            </w:pPr>
            <w:r>
              <w:rPr>
                <w:rFonts w:ascii="仿宋_GB2312" w:hAnsi="仿宋_GB2312" w:cs="仿宋_GB2312" w:eastAsia="仿宋_GB2312"/>
              </w:rPr>
              <w:t>支持将账号密码、扫码登录中的任意一种设置为优先登录方式。</w:t>
            </w:r>
          </w:p>
          <w:p>
            <w:pPr>
              <w:pStyle w:val="null3"/>
            </w:pPr>
            <w:r>
              <w:rPr>
                <w:rFonts w:ascii="仿宋_GB2312" w:hAnsi="仿宋_GB2312" w:cs="仿宋_GB2312" w:eastAsia="仿宋_GB2312"/>
              </w:rPr>
              <w:t>2)安全认证配置，提供找回密码过程中的安全验证配置。可根据提供证件号码、姓名简单验证。也可通过组合两种以上的验证方式辅助验证：</w:t>
            </w:r>
          </w:p>
          <w:p>
            <w:pPr>
              <w:pStyle w:val="null3"/>
            </w:pPr>
            <w:r>
              <w:rPr>
                <w:rFonts w:ascii="仿宋_GB2312" w:hAnsi="仿宋_GB2312" w:cs="仿宋_GB2312" w:eastAsia="仿宋_GB2312"/>
              </w:rPr>
              <w:t>3)账号激活配置，要求根据证件号、姓名、账号配置自助激活账号时所需的验证信息。激活账号的方式可选择预留手机号或预留邮箱获取验证码、中的任意一种自助方式，也可以通过上传证件照人工审核。激活的过程要求提供绑定安全手机或者安全邮箱的功能。</w:t>
            </w:r>
          </w:p>
          <w:p>
            <w:pPr>
              <w:pStyle w:val="null3"/>
            </w:pPr>
            <w:r>
              <w:rPr>
                <w:rFonts w:ascii="仿宋_GB2312" w:hAnsi="仿宋_GB2312" w:cs="仿宋_GB2312" w:eastAsia="仿宋_GB2312"/>
              </w:rPr>
              <w:t>4)安全策略配置，提供登录频率检测和配置，对于同一账号或IP在短时间内尝试连续登录的次数做出限定，超过登录阈值则锁定账号。提供账号锁定设置功能，认证密码输入错误超过“账号锁定阈值”的情况下锁定账号。</w:t>
            </w:r>
          </w:p>
          <w:p>
            <w:pPr>
              <w:pStyle w:val="null3"/>
            </w:pPr>
            <w:r>
              <w:rPr>
                <w:rFonts w:ascii="仿宋_GB2312" w:hAnsi="仿宋_GB2312" w:cs="仿宋_GB2312" w:eastAsia="仿宋_GB2312"/>
              </w:rPr>
              <w:t>5)密码策略设置，提供对弱密码检测规则的配置，可配置检测规则包括密码安全分数、密码策略、密码有效期以及是否弱密码库的密码。提供密码规则的配置，包括新旧密码允许重复的间隔次数、密码长度、密码组合规则、密码有效期，能够在密码即将到达失效期的时候发出提醒。</w:t>
            </w:r>
          </w:p>
          <w:p>
            <w:pPr>
              <w:pStyle w:val="null3"/>
            </w:pPr>
            <w:r>
              <w:rPr>
                <w:rFonts w:ascii="仿宋_GB2312" w:hAnsi="仿宋_GB2312" w:cs="仿宋_GB2312" w:eastAsia="仿宋_GB2312"/>
              </w:rPr>
              <w:t>6)认证对接配置，为集成认证系统的应用提供接入注册。应用系统通过配置便可接入认证系统，可配置的信息需包括应用域、应用代码、应用名称、应用描述、访问地址、匹配地址、单点注销地址、是否启用、是否启用单点登录、是否启用ID Token；提供对CAS、SAML2、Oauth2等认证接入协议的选项支持。</w:t>
            </w:r>
          </w:p>
          <w:p>
            <w:pPr>
              <w:pStyle w:val="null3"/>
            </w:pPr>
            <w:r>
              <w:rPr>
                <w:rFonts w:ascii="仿宋_GB2312" w:hAnsi="仿宋_GB2312" w:cs="仿宋_GB2312" w:eastAsia="仿宋_GB2312"/>
              </w:rPr>
              <w:t>7)安全验证对接应用配置</w:t>
            </w:r>
          </w:p>
          <w:p>
            <w:pPr>
              <w:pStyle w:val="null3"/>
            </w:pPr>
            <w:r>
              <w:rPr>
                <w:rFonts w:ascii="仿宋_GB2312" w:hAnsi="仿宋_GB2312" w:cs="仿宋_GB2312" w:eastAsia="仿宋_GB2312"/>
              </w:rPr>
              <w:t>提供标准的安全验证接口以及对接配置管理页面，第三方厂商可以通过开发前端页面后，调用认证提供的安全验证接口完成身份验证业务（要求提供真实系统截图）。</w:t>
            </w:r>
          </w:p>
          <w:p>
            <w:pPr>
              <w:pStyle w:val="null3"/>
            </w:pPr>
            <w:r>
              <w:rPr>
                <w:rFonts w:ascii="仿宋_GB2312" w:hAnsi="仿宋_GB2312" w:cs="仿宋_GB2312" w:eastAsia="仿宋_GB2312"/>
              </w:rPr>
              <w:t>支持调用的验证方式包括两类，第一类为基础信息验证，包括姓名、账号、证件号三个信息字段的校验；第二类为身份验证，包括安全手机、安全邮箱、安全问题、预留手机、预留邮箱、身份证扫描、钉钉、微信、企业微信、QQ等第三方验证方式，可任意选择其中一种或几种验证方式来实现安全验证业务。</w:t>
            </w:r>
          </w:p>
          <w:p>
            <w:pPr>
              <w:pStyle w:val="null3"/>
            </w:pPr>
            <w:r>
              <w:rPr>
                <w:rFonts w:ascii="仿宋_GB2312" w:hAnsi="仿宋_GB2312" w:cs="仿宋_GB2312" w:eastAsia="仿宋_GB2312"/>
              </w:rPr>
              <w:t>8)登录页面配置，提供对PC/H5服务端登录页面的配置，提供至少3种登录页样式可供选择，能够自定义主题色和“登录公告”内容，“登录公告”需支持固定区域显示和弹窗呈现两种方式。</w:t>
            </w:r>
          </w:p>
          <w:p>
            <w:pPr>
              <w:pStyle w:val="null3"/>
            </w:pPr>
            <w:r>
              <w:rPr>
                <w:rFonts w:ascii="仿宋_GB2312" w:hAnsi="仿宋_GB2312" w:cs="仿宋_GB2312" w:eastAsia="仿宋_GB2312"/>
              </w:rPr>
              <w:t>提供PC端登录页logo图片、背景图片的上传，多张背景图支持幻灯片形式切换。提供Favicon、网址标题、版权信息、专属App下载地址、忘记密码地址、账号激活地址、自定义链接的维护。支持一定时间内保持账号免登录，免登陆周期可配置。</w:t>
            </w:r>
          </w:p>
          <w:p>
            <w:pPr>
              <w:pStyle w:val="null3"/>
            </w:pPr>
            <w:r>
              <w:rPr>
                <w:rFonts w:ascii="仿宋_GB2312" w:hAnsi="仿宋_GB2312" w:cs="仿宋_GB2312" w:eastAsia="仿宋_GB2312"/>
              </w:rPr>
              <w:t>9)信息完善配置</w:t>
            </w:r>
          </w:p>
          <w:p>
            <w:pPr>
              <w:pStyle w:val="null3"/>
            </w:pPr>
            <w:r>
              <w:rPr>
                <w:rFonts w:ascii="仿宋_GB2312" w:hAnsi="仿宋_GB2312" w:cs="仿宋_GB2312" w:eastAsia="仿宋_GB2312"/>
              </w:rPr>
              <w:t>账号首次登录自动进行信息检测，凡是未检测过的账号都会触发“用户信息完善”功能，完成一次信息完善后状态变更为已检测。</w:t>
            </w:r>
          </w:p>
          <w:p>
            <w:pPr>
              <w:pStyle w:val="null3"/>
            </w:pPr>
            <w:r>
              <w:rPr>
                <w:rFonts w:ascii="仿宋_GB2312" w:hAnsi="仿宋_GB2312" w:cs="仿宋_GB2312" w:eastAsia="仿宋_GB2312"/>
              </w:rPr>
              <w:t>提供用户信息完善的配置，管理员可以配置用户登录认证后必须强制完善的信息项，至少包括安全手机、安全邮箱、微信等。</w:t>
            </w:r>
          </w:p>
          <w:p>
            <w:pPr>
              <w:pStyle w:val="null3"/>
            </w:pPr>
            <w:r>
              <w:rPr>
                <w:rFonts w:ascii="仿宋_GB2312" w:hAnsi="仿宋_GB2312" w:cs="仿宋_GB2312" w:eastAsia="仿宋_GB2312"/>
              </w:rPr>
              <w:t>管理员可以配置是否开启针对移动端登录后的强制实名认证，实名认证的方式至少包括预留手机号、账号密码、手持证件照、证件号等四种方式。</w:t>
            </w:r>
          </w:p>
          <w:p>
            <w:pPr>
              <w:pStyle w:val="null3"/>
            </w:pPr>
            <w:r>
              <w:rPr>
                <w:rFonts w:ascii="仿宋_GB2312" w:hAnsi="仿宋_GB2312" w:cs="仿宋_GB2312" w:eastAsia="仿宋_GB2312"/>
              </w:rPr>
              <w:t>10) 双因子认证，提供双因子认证方式和触发策略的配置，可配置不同的认证方式和触发策略。双因子认证方式和触发策略的配置，可对PC端与移动端端分别配置不同的认证方式和触发策略，分别配置后可验证效果。（要求演示）</w:t>
            </w:r>
          </w:p>
          <w:p>
            <w:pPr>
              <w:pStyle w:val="null3"/>
            </w:pPr>
            <w:r>
              <w:rPr>
                <w:rFonts w:ascii="仿宋_GB2312" w:hAnsi="仿宋_GB2312" w:cs="仿宋_GB2312" w:eastAsia="仿宋_GB2312"/>
              </w:rPr>
              <w:t>11)认证方式须支持安全手机、安全邮箱获取验证码登录。触发策略应包含：①用户登录IP异常、频繁登录被拦截后首次登录需采用账号/密码。②采用账号密码登录时，强制触发双因子认证。通过微信、企业微信、钉钉APP （绑定后）上的扫一扫功能扫码跳授权页面完成二次验证。</w:t>
            </w:r>
          </w:p>
          <w:p>
            <w:pPr>
              <w:pStyle w:val="null3"/>
            </w:pPr>
            <w:r>
              <w:rPr>
                <w:rFonts w:ascii="仿宋_GB2312" w:hAnsi="仿宋_GB2312" w:cs="仿宋_GB2312" w:eastAsia="仿宋_GB2312"/>
              </w:rPr>
              <w:t>12)二次认证，能够对指定应用或系统开启二次认证（即再认证一次），管理员可配置二次认证的方式与触发策略，二次认证方式须支持安全手机、安全邮箱获取验证码登录。</w:t>
            </w:r>
          </w:p>
          <w:p>
            <w:pPr>
              <w:pStyle w:val="null3"/>
            </w:pPr>
            <w:r>
              <w:rPr>
                <w:rFonts w:ascii="仿宋_GB2312" w:hAnsi="仿宋_GB2312" w:cs="仿宋_GB2312" w:eastAsia="仿宋_GB2312"/>
              </w:rPr>
              <w:t>13)帮助指南配置，用户在使用忘记密码、账号激活、密码检测信息完善流程的页面中需提供“帮助指南”，且可供管理员配置。</w:t>
            </w:r>
          </w:p>
          <w:p>
            <w:pPr>
              <w:pStyle w:val="null3"/>
            </w:pPr>
            <w:r>
              <w:rPr>
                <w:rFonts w:ascii="仿宋_GB2312" w:hAnsi="仿宋_GB2312" w:cs="仿宋_GB2312" w:eastAsia="仿宋_GB2312"/>
              </w:rPr>
              <w:t>14)消息模板配置，提供认证相关的所有消息模板内容的配置，通过对接学校消息平台进行消息推送，包括查询账号、完善信息、激活账号、找回密码、绑定/修改安全邮箱、修改安全手机、修改安全问题、绑定/解绑社交账号等操作时的消息推送。</w:t>
            </w:r>
          </w:p>
          <w:p>
            <w:pPr>
              <w:pStyle w:val="null3"/>
            </w:pPr>
            <w:r>
              <w:rPr>
                <w:rFonts w:ascii="仿宋_GB2312" w:hAnsi="仿宋_GB2312" w:cs="仿宋_GB2312" w:eastAsia="仿宋_GB2312"/>
              </w:rPr>
              <w:t>15)认证统计分析，统计当天登陆人数、当前用户上线率、登录成功率、当前在线人数和在线率、当天登录人数以及近三天异常登录人数。支持以PDF格式生成认证统计分析报告。</w:t>
            </w:r>
          </w:p>
          <w:p>
            <w:pPr>
              <w:pStyle w:val="null3"/>
            </w:pPr>
            <w:r>
              <w:rPr>
                <w:rFonts w:ascii="仿宋_GB2312" w:hAnsi="仿宋_GB2312" w:cs="仿宋_GB2312" w:eastAsia="仿宋_GB2312"/>
              </w:rPr>
              <w:t>统计用户正常登录情况，以曲线图对趋势进行统计，包括日环比、周同比的对比统计，统计维度支持按账号、次数。以环形图或柱形图分终端、组织机构、身份类型统计占比情况，包括日环比、周同比的对比统计，统计维度需按账号、次数分别展示。</w:t>
            </w:r>
          </w:p>
          <w:p>
            <w:pPr>
              <w:pStyle w:val="null3"/>
            </w:pPr>
            <w:r>
              <w:rPr>
                <w:rFonts w:ascii="仿宋_GB2312" w:hAnsi="仿宋_GB2312" w:cs="仿宋_GB2312" w:eastAsia="仿宋_GB2312"/>
              </w:rPr>
              <w:t>通过趋势统计呈现历史登录异常人数在不同时间范围内的数据波动，通过占比统计从终端类型、异常类型两个维度呈现历史登录异常人数占比分布。</w:t>
            </w:r>
          </w:p>
          <w:p>
            <w:pPr>
              <w:pStyle w:val="null3"/>
            </w:pPr>
            <w:r>
              <w:rPr>
                <w:rFonts w:ascii="仿宋_GB2312" w:hAnsi="仿宋_GB2312" w:cs="仿宋_GB2312" w:eastAsia="仿宋_GB2312"/>
              </w:rPr>
              <w:t>按账号或访问次数通过柱状图呈现应用访问统计，维度分终端类型与组织机构统计。</w:t>
            </w:r>
          </w:p>
          <w:p>
            <w:pPr>
              <w:pStyle w:val="null3"/>
            </w:pPr>
            <w:r>
              <w:rPr>
                <w:rFonts w:ascii="仿宋_GB2312" w:hAnsi="仿宋_GB2312" w:cs="仿宋_GB2312" w:eastAsia="仿宋_GB2312"/>
              </w:rPr>
              <w:t>以上认证统计数据均能在线查看明细并导出Excel。</w:t>
            </w:r>
          </w:p>
          <w:p>
            <w:pPr>
              <w:pStyle w:val="null3"/>
            </w:pPr>
            <w:r>
              <w:rPr>
                <w:rFonts w:ascii="仿宋_GB2312" w:hAnsi="仿宋_GB2312" w:cs="仿宋_GB2312" w:eastAsia="仿宋_GB2312"/>
              </w:rPr>
              <w:t>16)日志管理</w:t>
            </w:r>
          </w:p>
          <w:p>
            <w:pPr>
              <w:pStyle w:val="null3"/>
            </w:pPr>
            <w:r>
              <w:rPr>
                <w:rFonts w:ascii="仿宋_GB2312" w:hAnsi="仿宋_GB2312" w:cs="仿宋_GB2312" w:eastAsia="仿宋_GB2312"/>
              </w:rPr>
              <w:t>利用可视化web界面查看用户在系统内的操作，提供登录日志的记录查询和在线记录的查看，存储登录结果及异常登录的IP，能查询并导出账号的在线时长。提供认证管理端、个人中心及应用访问的操作日志查询与导出。</w:t>
            </w:r>
          </w:p>
          <w:p>
            <w:pPr>
              <w:pStyle w:val="null3"/>
            </w:pPr>
            <w:r>
              <w:rPr>
                <w:rFonts w:ascii="仿宋_GB2312" w:hAnsi="仿宋_GB2312" w:cs="仿宋_GB2312" w:eastAsia="仿宋_GB2312"/>
              </w:rPr>
              <w:t>17）提供应用访问策略的配置，可为一个应用或多个应用设置专属访问策略，可根据指定人员、指定时段、指定网段的方式，控制其允许或禁止访问。（要求演示）</w:t>
            </w:r>
          </w:p>
          <w:p>
            <w:pPr>
              <w:pStyle w:val="null3"/>
            </w:pPr>
            <w:r>
              <w:rPr>
                <w:rFonts w:ascii="仿宋_GB2312" w:hAnsi="仿宋_GB2312" w:cs="仿宋_GB2312" w:eastAsia="仿宋_GB2312"/>
              </w:rPr>
              <w:t>2.3权限中心</w:t>
            </w:r>
          </w:p>
          <w:p>
            <w:pPr>
              <w:pStyle w:val="null3"/>
            </w:pPr>
            <w:r>
              <w:rPr>
                <w:rFonts w:ascii="仿宋_GB2312" w:hAnsi="仿宋_GB2312" w:cs="仿宋_GB2312" w:eastAsia="仿宋_GB2312"/>
              </w:rPr>
              <w:t>提供对角色、应用的统一授权管理中心，通过业务权限关联到角色进行管理，为角色分配用户或用户组。</w:t>
            </w:r>
          </w:p>
          <w:p>
            <w:pPr>
              <w:pStyle w:val="null3"/>
            </w:pPr>
            <w:r>
              <w:rPr>
                <w:rFonts w:ascii="仿宋_GB2312" w:hAnsi="仿宋_GB2312" w:cs="仿宋_GB2312" w:eastAsia="仿宋_GB2312"/>
              </w:rPr>
              <w:t>1)应用角色管理，提供对角色的授权，任一角色必须创建在某一应用或业务系统下，应用或业务系统读取用户信息时同时获取其相关的角色信息，并根据角色关联的权限确定用户所具备的权限。可关联用户或用户组，能够自定义授权有效期。</w:t>
            </w:r>
          </w:p>
          <w:p>
            <w:pPr>
              <w:pStyle w:val="null3"/>
            </w:pPr>
            <w:r>
              <w:rPr>
                <w:rFonts w:ascii="仿宋_GB2312" w:hAnsi="仿宋_GB2312" w:cs="仿宋_GB2312" w:eastAsia="仿宋_GB2312"/>
              </w:rPr>
              <w:t>2)角色组管理，提供角色组管理，角色组不直接与应用或系统相关联，支持将跨应用的不同角色放入角色组中，以便于统一快速授权。</w:t>
            </w:r>
          </w:p>
          <w:p>
            <w:pPr>
              <w:pStyle w:val="null3"/>
            </w:pPr>
            <w:r>
              <w:rPr>
                <w:rFonts w:ascii="仿宋_GB2312" w:hAnsi="仿宋_GB2312" w:cs="仿宋_GB2312" w:eastAsia="仿宋_GB2312"/>
              </w:rPr>
              <w:t>授权方式与角色相同，可关联用户或用户组。角色组中的用户会继承组内所有角色具有的权限。</w:t>
            </w:r>
          </w:p>
          <w:p>
            <w:pPr>
              <w:pStyle w:val="null3"/>
            </w:pPr>
            <w:r>
              <w:rPr>
                <w:rFonts w:ascii="仿宋_GB2312" w:hAnsi="仿宋_GB2312" w:cs="仿宋_GB2312" w:eastAsia="仿宋_GB2312"/>
              </w:rPr>
              <w:t>3)用户授权管理，支持对账户/角色授权，能够为单个/批量用户授予多个应用角色或角色组权限。授权的方式主要包括三种：按用户授权、按角色/角色组授权、导入文件的方式统一授权。能够自定义授权有效期。</w:t>
            </w:r>
          </w:p>
          <w:p>
            <w:pPr>
              <w:pStyle w:val="null3"/>
            </w:pPr>
            <w:r>
              <w:rPr>
                <w:rFonts w:ascii="仿宋_GB2312" w:hAnsi="仿宋_GB2312" w:cs="仿宋_GB2312" w:eastAsia="仿宋_GB2312"/>
              </w:rPr>
              <w:t>提供授权日志的查询功能，能够根据授权操作的起止时间查询每一次授权操作详情。</w:t>
            </w:r>
          </w:p>
          <w:p>
            <w:pPr>
              <w:pStyle w:val="null3"/>
            </w:pPr>
            <w:r>
              <w:rPr>
                <w:rFonts w:ascii="仿宋_GB2312" w:hAnsi="仿宋_GB2312" w:cs="仿宋_GB2312" w:eastAsia="仿宋_GB2312"/>
              </w:rPr>
              <w:t>4)用户组授权管理，提供对单个用户组或多个用户组的批量授权，可根据角色组或应用角色授权，可以自定义授权有效期，并能查看用户组当前授权情况。</w:t>
            </w:r>
          </w:p>
          <w:p>
            <w:pPr>
              <w:pStyle w:val="null3"/>
            </w:pPr>
            <w:r>
              <w:rPr>
                <w:rFonts w:ascii="仿宋_GB2312" w:hAnsi="仿宋_GB2312" w:cs="仿宋_GB2312" w:eastAsia="仿宋_GB2312"/>
              </w:rPr>
              <w:t>5)分级授权管理，提供对角色组或应用角色的分级授权管理，支持对下发权限人员的管理、各人员的授权权限设置和管理权限设置。系统管理员可以设置下级管理员，支持多层级的分级管理。分级权限设置可以面向最终的应用访问的用户进行授权；也可以将自身具备的权限分配给下级管理员。</w:t>
            </w:r>
          </w:p>
          <w:p>
            <w:pPr>
              <w:pStyle w:val="null3"/>
            </w:pPr>
            <w:r>
              <w:rPr>
                <w:rFonts w:ascii="仿宋_GB2312" w:hAnsi="仿宋_GB2312" w:cs="仿宋_GB2312" w:eastAsia="仿宋_GB2312"/>
              </w:rPr>
              <w:t>6)数据操作审计</w:t>
            </w:r>
          </w:p>
          <w:p>
            <w:pPr>
              <w:pStyle w:val="null3"/>
            </w:pPr>
            <w:r>
              <w:rPr>
                <w:rFonts w:ascii="仿宋_GB2312" w:hAnsi="仿宋_GB2312" w:cs="仿宋_GB2312" w:eastAsia="仿宋_GB2312"/>
              </w:rPr>
              <w:t>提供对账号的审计，包括修改密码等安全信息设置操作的审计，账号身份变更的审计，所在用户组及岗位变更的审计，所在角色/角色组撤授权操作的审计。提供对岗位的审计，根据岗位名称或代码审计该岗位操作内容。提供对权限的审计，根据角色和角色组名称查询授撤权的情况，能够按手动和自动不同类别查询审计情况。</w:t>
            </w:r>
          </w:p>
          <w:p>
            <w:pPr>
              <w:pStyle w:val="null3"/>
            </w:pPr>
            <w:r>
              <w:rPr>
                <w:rFonts w:ascii="仿宋_GB2312" w:hAnsi="仿宋_GB2312" w:cs="仿宋_GB2312" w:eastAsia="仿宋_GB2312"/>
              </w:rPr>
              <w:t>7)授权对接配置，提供与授权对接的业务系统配置，方便各个业务系统角色数据同步到授权管理中心，由权限中心集中授权和审计管理，可对应用添加、查询、编辑和删除。</w:t>
            </w:r>
          </w:p>
          <w:p>
            <w:pPr>
              <w:pStyle w:val="null3"/>
            </w:pPr>
            <w:r>
              <w:rPr>
                <w:rFonts w:ascii="仿宋_GB2312" w:hAnsi="仿宋_GB2312" w:cs="仿宋_GB2312" w:eastAsia="仿宋_GB2312"/>
              </w:rPr>
              <w:t>8)授权统计分析，统计已授权角色数、未授权角色数、已授权账号数、未授权账号数。按业务域或应用系统统计授权的角色数和未授权的角色数。按剩余时间展示角色权限即将到期的账号明细情况，。支持对明细数据通过excel形式下载到本地。</w:t>
            </w:r>
          </w:p>
          <w:p>
            <w:pPr>
              <w:pStyle w:val="null3"/>
            </w:pPr>
            <w:r>
              <w:rPr>
                <w:rFonts w:ascii="仿宋_GB2312" w:hAnsi="仿宋_GB2312" w:cs="仿宋_GB2312" w:eastAsia="仿宋_GB2312"/>
              </w:rPr>
              <w:t>支持在线浏览授权统计分析报告，可以将授权统计分析内容通过PDF文件格式下载到本地。</w:t>
            </w:r>
          </w:p>
          <w:p>
            <w:pPr>
              <w:pStyle w:val="null3"/>
            </w:pPr>
            <w:r>
              <w:rPr>
                <w:rFonts w:ascii="仿宋_GB2312" w:hAnsi="仿宋_GB2312" w:cs="仿宋_GB2312" w:eastAsia="仿宋_GB2312"/>
              </w:rPr>
              <w:t>3.定制化服务</w:t>
            </w:r>
          </w:p>
          <w:p>
            <w:pPr>
              <w:pStyle w:val="null3"/>
            </w:pPr>
            <w:r>
              <w:rPr>
                <w:rFonts w:ascii="仿宋_GB2312" w:hAnsi="仿宋_GB2312" w:cs="仿宋_GB2312" w:eastAsia="仿宋_GB2312"/>
              </w:rPr>
              <w:t>3.1大数据底座</w:t>
            </w:r>
          </w:p>
          <w:p>
            <w:pPr>
              <w:pStyle w:val="null3"/>
            </w:pPr>
            <w:r>
              <w:rPr>
                <w:rFonts w:ascii="仿宋_GB2312" w:hAnsi="仿宋_GB2312" w:cs="仿宋_GB2312" w:eastAsia="仿宋_GB2312"/>
              </w:rPr>
              <w:t>平台面向高校数据治理和数据中台建设，具备从数据采集、存储、加工、分析、服务到调度的全链路能力，结构化、半结构化及非结构化多源异构数据的统一治理与管理。</w:t>
            </w:r>
          </w:p>
          <w:p>
            <w:pPr>
              <w:pStyle w:val="null3"/>
            </w:pPr>
            <w:r>
              <w:rPr>
                <w:rFonts w:ascii="仿宋_GB2312" w:hAnsi="仿宋_GB2312" w:cs="仿宋_GB2312" w:eastAsia="仿宋_GB2312"/>
              </w:rPr>
              <w:t>基于分布式架构设计，平台融合流批一体计算、高并发访问和高可靠运行，构建湖仓一体化数据底座。核心技术涵盖分布式存储、实时与批量计算、离线计算、分析与搜索、调度与协调，实现统一、灵活且稳定的大数据基础平台。</w:t>
            </w:r>
          </w:p>
          <w:p>
            <w:pPr>
              <w:pStyle w:val="null3"/>
            </w:pPr>
            <w:r>
              <w:rPr>
                <w:rFonts w:ascii="仿宋_GB2312" w:hAnsi="仿宋_GB2312" w:cs="仿宋_GB2312" w:eastAsia="仿宋_GB2312"/>
              </w:rPr>
              <w:t>3.1.1大数据底座管理中心</w:t>
            </w:r>
          </w:p>
          <w:p>
            <w:pPr>
              <w:pStyle w:val="null3"/>
            </w:pPr>
            <w:r>
              <w:rPr>
                <w:rFonts w:ascii="仿宋_GB2312" w:hAnsi="仿宋_GB2312" w:cs="仿宋_GB2312" w:eastAsia="仿宋_GB2312"/>
              </w:rPr>
              <w:t>统一管理平台核心组件的安装、部署与版本控制，保障组件规范运行与升级便捷。</w:t>
            </w:r>
          </w:p>
          <w:p>
            <w:pPr>
              <w:pStyle w:val="null3"/>
            </w:pPr>
            <w:r>
              <w:rPr>
                <w:rFonts w:ascii="仿宋_GB2312" w:hAnsi="仿宋_GB2312" w:cs="仿宋_GB2312" w:eastAsia="仿宋_GB2312"/>
              </w:rPr>
              <w:t>实现跨组件任务调度、依赖管理及图形化作业监控，流程与图展示，方便任务状态跟踪和故障定位。</w:t>
            </w:r>
          </w:p>
          <w:p>
            <w:pPr>
              <w:pStyle w:val="null3"/>
            </w:pPr>
            <w:r>
              <w:rPr>
                <w:rFonts w:ascii="仿宋_GB2312" w:hAnsi="仿宋_GB2312" w:cs="仿宋_GB2312" w:eastAsia="仿宋_GB2312"/>
              </w:rPr>
              <w:t>完善告警管理体系，多级阈值配置和多种通知方式，保障平台运行稳定并快速响应一场。</w:t>
            </w:r>
          </w:p>
          <w:p>
            <w:pPr>
              <w:pStyle w:val="null3"/>
            </w:pPr>
            <w:r>
              <w:rPr>
                <w:rFonts w:ascii="仿宋_GB2312" w:hAnsi="仿宋_GB2312" w:cs="仿宋_GB2312" w:eastAsia="仿宋_GB2312"/>
              </w:rPr>
              <w:t>3.1.2数据标准分层规划</w:t>
            </w:r>
          </w:p>
          <w:p>
            <w:pPr>
              <w:pStyle w:val="null3"/>
            </w:pPr>
            <w:r>
              <w:rPr>
                <w:rFonts w:ascii="仿宋_GB2312" w:hAnsi="仿宋_GB2312" w:cs="仿宋_GB2312" w:eastAsia="仿宋_GB2312"/>
              </w:rPr>
              <w:t>平台遵循“分层建设、分级管理”理念，构建贴源层、标准层、应用层三层架构：</w:t>
            </w:r>
          </w:p>
          <w:p>
            <w:pPr>
              <w:pStyle w:val="null3"/>
            </w:pPr>
            <w:r>
              <w:rPr>
                <w:rFonts w:ascii="仿宋_GB2312" w:hAnsi="仿宋_GB2312" w:cs="仿宋_GB2312" w:eastAsia="仿宋_GB2312"/>
              </w:rPr>
              <w:t>贴源层（ODS）：承载业务系统和外部数据源的原始数据采集与存储，保持数据最初形态，确保数据完整与可追溯。</w:t>
            </w:r>
          </w:p>
          <w:p>
            <w:pPr>
              <w:pStyle w:val="null3"/>
            </w:pPr>
            <w:r>
              <w:rPr>
                <w:rFonts w:ascii="仿宋_GB2312" w:hAnsi="仿宋_GB2312" w:cs="仿宋_GB2312" w:eastAsia="仿宋_GB2312"/>
              </w:rPr>
              <w:t>标准层（DWD/DWS）:对贴源数据进行统一清洗、转换与建模，形成标准化共享数据资产，保障数据一致性和逻辑整合。</w:t>
            </w:r>
          </w:p>
          <w:p>
            <w:pPr>
              <w:pStyle w:val="null3"/>
            </w:pPr>
            <w:r>
              <w:rPr>
                <w:rFonts w:ascii="仿宋_GB2312" w:hAnsi="仿宋_GB2312" w:cs="仿宋_GB2312" w:eastAsia="仿宋_GB2312"/>
              </w:rPr>
              <w:t>应用层（DM）：基于标准数据，构建面向业务主题的轻量级数据集市，满足多样化分析和服务需求，实现数据复用与业务快速响应。</w:t>
            </w:r>
          </w:p>
          <w:p>
            <w:pPr>
              <w:pStyle w:val="null3"/>
            </w:pPr>
            <w:r>
              <w:rPr>
                <w:rFonts w:ascii="仿宋_GB2312" w:hAnsi="仿宋_GB2312" w:cs="仿宋_GB2312" w:eastAsia="仿宋_GB2312"/>
              </w:rPr>
              <w:t>该分层体系有效支撑数据质量提升和数据中台与业务系统的解耦协同。</w:t>
            </w:r>
          </w:p>
          <w:p>
            <w:pPr>
              <w:pStyle w:val="null3"/>
            </w:pPr>
            <w:r>
              <w:rPr>
                <w:rFonts w:ascii="仿宋_GB2312" w:hAnsi="仿宋_GB2312" w:cs="仿宋_GB2312" w:eastAsia="仿宋_GB2312"/>
              </w:rPr>
              <w:t>3.1.3关键组件</w:t>
            </w:r>
          </w:p>
          <w:p>
            <w:pPr>
              <w:pStyle w:val="null3"/>
            </w:pPr>
            <w:r>
              <w:rPr>
                <w:rFonts w:ascii="仿宋_GB2312" w:hAnsi="仿宋_GB2312" w:cs="仿宋_GB2312" w:eastAsia="仿宋_GB2312"/>
              </w:rPr>
              <w:t>平台结合先进分布式技术，围绕数据治理和业务需求，实现数据采集、存储、处理与分析的闭环支撑：</w:t>
            </w:r>
          </w:p>
          <w:p>
            <w:pPr>
              <w:pStyle w:val="null3"/>
            </w:pPr>
            <w:r>
              <w:rPr>
                <w:rFonts w:ascii="仿宋_GB2312" w:hAnsi="仿宋_GB2312" w:cs="仿宋_GB2312" w:eastAsia="仿宋_GB2312"/>
              </w:rPr>
              <w:t>分布式存储与数据安全，保障海量数据的高可靠分布式存储与容错备份，构筑数据湖基础；满足动态业务场景。</w:t>
            </w:r>
          </w:p>
          <w:p>
            <w:pPr>
              <w:pStyle w:val="null3"/>
            </w:pPr>
            <w:r>
              <w:rPr>
                <w:rFonts w:ascii="仿宋_GB2312" w:hAnsi="仿宋_GB2312" w:cs="仿宋_GB2312" w:eastAsia="仿宋_GB2312"/>
              </w:rPr>
              <w:t>离线批量处理与数据仓库，要求对海量历史数据进行高效的批量SQL查询和复杂数据转换，适合构建标准化数据层和数据集市满足业务对离线数据加工、汇总和历史分析的需求，有效支撑决策报表和专题分析的稳定输出</w:t>
            </w:r>
          </w:p>
          <w:p>
            <w:pPr>
              <w:pStyle w:val="null3"/>
            </w:pPr>
            <w:r>
              <w:rPr>
                <w:rFonts w:ascii="仿宋_GB2312" w:hAnsi="仿宋_GB2312" w:cs="仿宋_GB2312" w:eastAsia="仿宋_GB2312"/>
              </w:rPr>
              <w:t>流批融合计算与实时响应，实现流批一体化计算，保障复杂事件驱动下的低延迟处理和动态业务指标计算，实现实时数据治理与业务洞察。</w:t>
            </w:r>
          </w:p>
          <w:p>
            <w:pPr>
              <w:pStyle w:val="null3"/>
            </w:pPr>
            <w:r>
              <w:rPr>
                <w:rFonts w:ascii="仿宋_GB2312" w:hAnsi="仿宋_GB2312" w:cs="仿宋_GB2312" w:eastAsia="仿宋_GB2312"/>
              </w:rPr>
              <w:t>分析与搜索能力，提供统一的实时与离线分析平台，复杂多维分析和高并发查询，满足快速报表和指标分析，提升数据可发现性和应用灵活性。</w:t>
            </w:r>
          </w:p>
          <w:p>
            <w:pPr>
              <w:pStyle w:val="null3"/>
            </w:pPr>
            <w:r>
              <w:rPr>
                <w:rFonts w:ascii="仿宋_GB2312" w:hAnsi="仿宋_GB2312" w:cs="仿宋_GB2312" w:eastAsia="仿宋_GB2312"/>
              </w:rPr>
              <w:t>协调与调度保障，通过分布式协调机制保障平台组件高可用与一致性，任务调度和资源协调稳定运行，确保数据传输的低延迟与高可靠。</w:t>
            </w:r>
          </w:p>
          <w:p>
            <w:pPr>
              <w:pStyle w:val="null3"/>
            </w:pPr>
            <w:r>
              <w:rPr>
                <w:rFonts w:ascii="仿宋_GB2312" w:hAnsi="仿宋_GB2312" w:cs="仿宋_GB2312" w:eastAsia="仿宋_GB2312"/>
              </w:rPr>
              <w:t>统一调度与运维管理，实现跨组件的作业调度与依赖管理，提供直观的图形化调度视图，提升任务执行的透明度和运维效率。</w:t>
            </w:r>
          </w:p>
          <w:p>
            <w:pPr>
              <w:pStyle w:val="null3"/>
            </w:pPr>
            <w:r>
              <w:rPr>
                <w:rFonts w:ascii="仿宋_GB2312" w:hAnsi="仿宋_GB2312" w:cs="仿宋_GB2312" w:eastAsia="仿宋_GB2312"/>
              </w:rPr>
              <w:t>3.1.4分布式关系数据库</w:t>
            </w:r>
          </w:p>
          <w:p>
            <w:pPr>
              <w:pStyle w:val="null3"/>
            </w:pPr>
            <w:r>
              <w:rPr>
                <w:rFonts w:ascii="仿宋_GB2312" w:hAnsi="仿宋_GB2312" w:cs="仿宋_GB2312" w:eastAsia="仿宋_GB2312"/>
              </w:rPr>
              <w:t>要求采用高性能的分布式分析型数据库，实现结构化与半结构化数据的统一管理和高效分析。</w:t>
            </w:r>
          </w:p>
          <w:p>
            <w:pPr>
              <w:pStyle w:val="null3"/>
            </w:pPr>
            <w:r>
              <w:rPr>
                <w:rFonts w:ascii="仿宋_GB2312" w:hAnsi="仿宋_GB2312" w:cs="仿宋_GB2312" w:eastAsia="仿宋_GB2312"/>
              </w:rPr>
              <w:t>关系型数据和半结构化数据的存储，具备丰富的 SQL 兼容性，多版本 SQL 标准，保障复杂查询和业务逻辑的灵活执行。</w:t>
            </w:r>
          </w:p>
          <w:p>
            <w:pPr>
              <w:pStyle w:val="null3"/>
            </w:pPr>
            <w:r>
              <w:rPr>
                <w:rFonts w:ascii="仿宋_GB2312" w:hAnsi="仿宋_GB2312" w:cs="仿宋_GB2312" w:eastAsia="仿宋_GB2312"/>
              </w:rPr>
              <w:t>通过列式存储和分布式并行计算技术，平台能够高效处理大规模数据的分析查询，满足高校业务对快速报表、多维分析及交互式查询的需求。</w:t>
            </w:r>
          </w:p>
          <w:p>
            <w:pPr>
              <w:pStyle w:val="null3"/>
            </w:pPr>
            <w:r>
              <w:rPr>
                <w:rFonts w:ascii="仿宋_GB2312" w:hAnsi="仿宋_GB2312" w:cs="仿宋_GB2312" w:eastAsia="仿宋_GB2312"/>
              </w:rPr>
              <w:t xml:space="preserve"> HTAP（在线事务处理与联机分析处理）混合负载，兼顾实时写入和复杂分析场景，提升业务系统的响应效率和数据时效性。</w:t>
            </w:r>
          </w:p>
          <w:p>
            <w:pPr>
              <w:pStyle w:val="null3"/>
            </w:pPr>
            <w:r>
              <w:rPr>
                <w:rFonts w:ascii="仿宋_GB2312" w:hAnsi="仿宋_GB2312" w:cs="仿宋_GB2312" w:eastAsia="仿宋_GB2312"/>
              </w:rPr>
              <w:t>3.2决策分析服务</w:t>
            </w:r>
          </w:p>
          <w:p>
            <w:pPr>
              <w:pStyle w:val="null3"/>
            </w:pPr>
            <w:r>
              <w:rPr>
                <w:rFonts w:ascii="仿宋_GB2312" w:hAnsi="仿宋_GB2312" w:cs="仿宋_GB2312" w:eastAsia="仿宋_GB2312"/>
              </w:rPr>
              <w:t>围绕学校“人、财、物、教、研、管”等方面进行基础数据统计分析，让学校管理层直观了解学校的基本概况。要求投标人在服务期内根据校方要求通过数据大屏工具构建领导驾驶舱展示大屏8项，建设内容要求如下，具体指标以学校实施调研确认结果为主。</w:t>
            </w:r>
          </w:p>
          <w:p>
            <w:pPr>
              <w:pStyle w:val="null3"/>
            </w:pPr>
            <w:r>
              <w:rPr>
                <w:rFonts w:ascii="仿宋_GB2312" w:hAnsi="仿宋_GB2312" w:cs="仿宋_GB2312" w:eastAsia="仿宋_GB2312"/>
              </w:rPr>
              <w:t>3.2.1校情分析大屏</w:t>
            </w:r>
          </w:p>
          <w:p>
            <w:pPr>
              <w:pStyle w:val="null3"/>
            </w:pPr>
            <w:r>
              <w:rPr>
                <w:rFonts w:ascii="仿宋_GB2312" w:hAnsi="仿宋_GB2312" w:cs="仿宋_GB2312" w:eastAsia="仿宋_GB2312"/>
              </w:rPr>
              <w:t>1）校情概览：统计展示当前学校内学生总数、教职工总数、科研项目总数、学院总数、专业总数、部门（组织机构）总数。</w:t>
            </w:r>
          </w:p>
          <w:p>
            <w:pPr>
              <w:pStyle w:val="null3"/>
            </w:pPr>
            <w:r>
              <w:rPr>
                <w:rFonts w:ascii="仿宋_GB2312" w:hAnsi="仿宋_GB2312" w:cs="仿宋_GB2312" w:eastAsia="仿宋_GB2312"/>
              </w:rPr>
              <w:t>2）教职工概况：教职工人员分布-各类别教职工人数统计，总人数比例；教职工年龄分布；教职工学历分布；各学院任课教师数。近五年全校高级人才教职工人数统计。教师工作量排名TOP10-展示工作量 前10名的教师姓名、学院、课时数。</w:t>
            </w:r>
          </w:p>
          <w:p>
            <w:pPr>
              <w:pStyle w:val="null3"/>
            </w:pPr>
            <w:r>
              <w:rPr>
                <w:rFonts w:ascii="仿宋_GB2312" w:hAnsi="仿宋_GB2312" w:cs="仿宋_GB2312" w:eastAsia="仿宋_GB2312"/>
              </w:rPr>
              <w:t>3）师生概况：师生人数比例；学生男女性别比例。</w:t>
            </w:r>
          </w:p>
          <w:p>
            <w:pPr>
              <w:pStyle w:val="null3"/>
            </w:pPr>
            <w:r>
              <w:rPr>
                <w:rFonts w:ascii="仿宋_GB2312" w:hAnsi="仿宋_GB2312" w:cs="仿宋_GB2312" w:eastAsia="仿宋_GB2312"/>
              </w:rPr>
              <w:t>学生分布：在校的年级，每个年级学生总数，不同籍贯的学生总数，以及每个省份人数比例及人数之和 从高到低排序。</w:t>
            </w:r>
          </w:p>
          <w:p>
            <w:pPr>
              <w:pStyle w:val="null3"/>
            </w:pPr>
            <w:r>
              <w:rPr>
                <w:rFonts w:ascii="仿宋_GB2312" w:hAnsi="仿宋_GB2312" w:cs="仿宋_GB2312" w:eastAsia="仿宋_GB2312"/>
              </w:rPr>
              <w:t>4）图书概况：最受欢迎图书TOP10：图书的被借阅次数，排名最靠前的10本书；序号、书名、被借阅次数。图书馆藏：图书馆藏数、纸质图书数、电子图书数、新购图书数、日均读者人次、生均图书数、近5年图书馆藏总量。</w:t>
            </w:r>
          </w:p>
          <w:p>
            <w:pPr>
              <w:pStyle w:val="null3"/>
            </w:pPr>
            <w:r>
              <w:rPr>
                <w:rFonts w:ascii="仿宋_GB2312" w:hAnsi="仿宋_GB2312" w:cs="仿宋_GB2312" w:eastAsia="仿宋_GB2312"/>
              </w:rPr>
              <w:t>5）消费概况：全校师生当日消费总额、昨日消费总额、近一月消费总额、近一年消费总额。</w:t>
            </w:r>
          </w:p>
          <w:p>
            <w:pPr>
              <w:pStyle w:val="null3"/>
            </w:pPr>
            <w:r>
              <w:rPr>
                <w:rFonts w:ascii="仿宋_GB2312" w:hAnsi="仿宋_GB2312" w:cs="仿宋_GB2312" w:eastAsia="仿宋_GB2312"/>
              </w:rPr>
              <w:t>6）科研概况：科研概况：统计展示项目总数；横向项目数及占总数的比例；纵向项目数及占总数的比例；项目经费总额（单位：亿元）；横向经费及占总额的比例；纵向经费及占总额的比例；以及近5年科研成果趋势。近5年项目和经费按年份统计；项目负责人年份分布：统计不同年龄段的负责人所负责的项目数量及占比。</w:t>
            </w:r>
          </w:p>
          <w:p>
            <w:pPr>
              <w:pStyle w:val="null3"/>
            </w:pPr>
            <w:r>
              <w:rPr>
                <w:rFonts w:ascii="仿宋_GB2312" w:hAnsi="仿宋_GB2312" w:cs="仿宋_GB2312" w:eastAsia="仿宋_GB2312"/>
              </w:rPr>
              <w:t>7）课程概况：通过率最高课程TOP10：通过在校生的成绩，计算目前开设的所有课程的通过率。</w:t>
            </w:r>
          </w:p>
          <w:p>
            <w:pPr>
              <w:pStyle w:val="null3"/>
            </w:pPr>
            <w:r>
              <w:rPr>
                <w:rFonts w:ascii="仿宋_GB2312" w:hAnsi="仿宋_GB2312" w:cs="仿宋_GB2312" w:eastAsia="仿宋_GB2312"/>
              </w:rPr>
              <w:t>3.2.2教师驾驶舱</w:t>
            </w:r>
          </w:p>
          <w:p>
            <w:pPr>
              <w:pStyle w:val="null3"/>
            </w:pPr>
            <w:r>
              <w:rPr>
                <w:rFonts w:ascii="仿宋_GB2312" w:hAnsi="仿宋_GB2312" w:cs="仿宋_GB2312" w:eastAsia="仿宋_GB2312"/>
              </w:rPr>
              <w:t>1）人数概览：统计展示当前教职工总人数；今年新进教职工人数；各类别教职工人数统计，总人数比例，及相比去年12月31日时，各类别比例增减变化。</w:t>
            </w:r>
          </w:p>
          <w:p>
            <w:pPr>
              <w:pStyle w:val="null3"/>
            </w:pPr>
            <w:r>
              <w:rPr>
                <w:rFonts w:ascii="仿宋_GB2312" w:hAnsi="仿宋_GB2312" w:cs="仿宋_GB2312" w:eastAsia="仿宋_GB2312"/>
              </w:rPr>
              <w:t>2）教职工人数统计：教职工学历情况：当前在职的所有部门教职工本科、硕士、博士、其他的人数及占比；</w:t>
            </w:r>
          </w:p>
          <w:p>
            <w:pPr>
              <w:pStyle w:val="null3"/>
            </w:pPr>
            <w:r>
              <w:rPr>
                <w:rFonts w:ascii="仿宋_GB2312" w:hAnsi="仿宋_GB2312" w:cs="仿宋_GB2312" w:eastAsia="仿宋_GB2312"/>
              </w:rPr>
              <w:t>教职工学缘结构分布图：当前在职的所有部门教职工学缘为本校、985/211、普通本科（非本校）、其他（非本校）的人数及占比；教职工性别占比：当前在职的所有部门教职工男、女的人数及占比；各学院教职工职级情况：分别统计职级为高级、正高级、副高级、中级的人数；各学院中级以上人数之和；教职工年龄情况：当前在职的所有部门教职工各年龄段人数之和及占比。</w:t>
            </w:r>
          </w:p>
          <w:p>
            <w:pPr>
              <w:pStyle w:val="null3"/>
            </w:pPr>
            <w:r>
              <w:rPr>
                <w:rFonts w:ascii="仿宋_GB2312" w:hAnsi="仿宋_GB2312" w:cs="仿宋_GB2312" w:eastAsia="仿宋_GB2312"/>
              </w:rPr>
              <w:t>3.2.3学生驾驶舱</w:t>
            </w:r>
          </w:p>
          <w:p>
            <w:pPr>
              <w:pStyle w:val="null3"/>
            </w:pPr>
            <w:r>
              <w:rPr>
                <w:rFonts w:ascii="仿宋_GB2312" w:hAnsi="仿宋_GB2312" w:cs="仿宋_GB2312" w:eastAsia="仿宋_GB2312"/>
              </w:rPr>
              <w:t>1）学生人数统计：按政治面貌人数统计：当前在校的4个年级中，学生不同政治面貌的人数比例；</w:t>
            </w:r>
          </w:p>
          <w:p>
            <w:pPr>
              <w:pStyle w:val="null3"/>
            </w:pPr>
            <w:r>
              <w:rPr>
                <w:rFonts w:ascii="仿宋_GB2312" w:hAnsi="仿宋_GB2312" w:cs="仿宋_GB2312" w:eastAsia="仿宋_GB2312"/>
              </w:rPr>
              <w:t>2）各学院获奖人数统计：各个学院获奖的在校学生人数统计。统计展示当前在校各年级人数；学院总数、专业总数、学生总数、男女学生性别比例；</w:t>
            </w:r>
          </w:p>
          <w:p>
            <w:pPr>
              <w:pStyle w:val="null3"/>
            </w:pPr>
            <w:r>
              <w:rPr>
                <w:rFonts w:ascii="仿宋_GB2312" w:hAnsi="仿宋_GB2312" w:cs="仿宋_GB2312" w:eastAsia="仿宋_GB2312"/>
              </w:rPr>
              <w:t>3）各学院各年级勤工助学人数统计：按年级，统计各年级的勤工助学人数；按学院，统计每个学院勤工助学按年级分布的人数；</w:t>
            </w:r>
          </w:p>
          <w:p>
            <w:pPr>
              <w:pStyle w:val="null3"/>
            </w:pPr>
            <w:r>
              <w:rPr>
                <w:rFonts w:ascii="仿宋_GB2312" w:hAnsi="仿宋_GB2312" w:cs="仿宋_GB2312" w:eastAsia="仿宋_GB2312"/>
              </w:rPr>
              <w:t>按生源地人数分布：每个省份人数比例及人数之和 从高到低排序展示；</w:t>
            </w:r>
          </w:p>
          <w:p>
            <w:pPr>
              <w:pStyle w:val="null3"/>
            </w:pPr>
            <w:r>
              <w:rPr>
                <w:rFonts w:ascii="仿宋_GB2312" w:hAnsi="仿宋_GB2312" w:cs="仿宋_GB2312" w:eastAsia="仿宋_GB2312"/>
              </w:rPr>
              <w:t>4）各学院预计毕业人数统计：全校预计毕业人数占全校总人数比例；各学院总人数及各学院占全校人数比例；各学院预计毕业人数及预计毕业人数占该学院总人数比例；</w:t>
            </w:r>
          </w:p>
          <w:p>
            <w:pPr>
              <w:pStyle w:val="null3"/>
            </w:pPr>
            <w:r>
              <w:rPr>
                <w:rFonts w:ascii="仿宋_GB2312" w:hAnsi="仿宋_GB2312" w:cs="仿宋_GB2312" w:eastAsia="仿宋_GB2312"/>
              </w:rPr>
              <w:t>5）各学院转入/转出人数TOP5 转入：在校学生，转入总人数以及按学院划分转入人数及占比；转出：在校学生，转出总人数以及按学院划分转出人数及占比；</w:t>
            </w:r>
          </w:p>
          <w:p>
            <w:pPr>
              <w:pStyle w:val="null3"/>
            </w:pPr>
            <w:r>
              <w:rPr>
                <w:rFonts w:ascii="仿宋_GB2312" w:hAnsi="仿宋_GB2312" w:cs="仿宋_GB2312" w:eastAsia="仿宋_GB2312"/>
              </w:rPr>
              <w:t>人数从多到少排序的前5名；</w:t>
            </w:r>
          </w:p>
          <w:p>
            <w:pPr>
              <w:pStyle w:val="null3"/>
            </w:pPr>
            <w:r>
              <w:rPr>
                <w:rFonts w:ascii="仿宋_GB2312" w:hAnsi="仿宋_GB2312" w:cs="仿宋_GB2312" w:eastAsia="仿宋_GB2312"/>
              </w:rPr>
              <w:t>6）学籍异动类型分布：按不同学籍异动类型统计在校生人数及占比；各学院学籍异动人数统计：按学院统计学籍异动人数。</w:t>
            </w:r>
          </w:p>
          <w:p>
            <w:pPr>
              <w:pStyle w:val="null3"/>
            </w:pPr>
            <w:r>
              <w:rPr>
                <w:rFonts w:ascii="仿宋_GB2312" w:hAnsi="仿宋_GB2312" w:cs="仿宋_GB2312" w:eastAsia="仿宋_GB2312"/>
              </w:rPr>
              <w:t>3.2.4教学驾驶舱</w:t>
            </w:r>
          </w:p>
          <w:p>
            <w:pPr>
              <w:pStyle w:val="null3"/>
            </w:pPr>
            <w:r>
              <w:rPr>
                <w:rFonts w:ascii="仿宋_GB2312" w:hAnsi="仿宋_GB2312" w:cs="仿宋_GB2312" w:eastAsia="仿宋_GB2312"/>
              </w:rPr>
              <w:t>1) 课程概况：统计学校当前开设的所有课程总数；课程类别分布：各类别课程数量；各学院开设课程数：各学院开设课程总数；然后在分别统计各学院开设的课程中通过人数大于90%的课程数；通过率最高课程TOP10：通过在校生的成绩计算目前开设的 所有课程的通过率；课程属性分布：统计本科生课程按不同属性分布的数量。</w:t>
            </w:r>
          </w:p>
          <w:p>
            <w:pPr>
              <w:pStyle w:val="null3"/>
            </w:pPr>
            <w:r>
              <w:rPr>
                <w:rFonts w:ascii="仿宋_GB2312" w:hAnsi="仿宋_GB2312" w:cs="仿宋_GB2312" w:eastAsia="仿宋_GB2312"/>
              </w:rPr>
              <w:t>2) 成绩概况：各学院成绩情况：统计学校当前各个学院所有在校生的平均绩点；教师职称与学生成绩分布关系统计；统计展示近十年毕业生，每年的平均绩点趋势；教师年龄与学生成绩分布：统计所有学生的所有课程的绩点，与对应的每个课程授课教师的年龄关系。</w:t>
            </w:r>
          </w:p>
          <w:p>
            <w:pPr>
              <w:pStyle w:val="null3"/>
            </w:pPr>
            <w:r>
              <w:rPr>
                <w:rFonts w:ascii="仿宋_GB2312" w:hAnsi="仿宋_GB2312" w:cs="仿宋_GB2312" w:eastAsia="仿宋_GB2312"/>
              </w:rPr>
              <w:t>3.2.5科研驾驶舱</w:t>
            </w:r>
          </w:p>
          <w:p>
            <w:pPr>
              <w:pStyle w:val="null3"/>
            </w:pPr>
            <w:r>
              <w:rPr>
                <w:rFonts w:ascii="仿宋_GB2312" w:hAnsi="仿宋_GB2312" w:cs="仿宋_GB2312" w:eastAsia="仿宋_GB2312"/>
              </w:rPr>
              <w:t>1) 项目情况：展现项目总数；横向项目数及占总数的比例；纵向项目数及占总数的比例；项目经费总额（单位：亿元）；横向经费及占总额的比例；纵向经费及占总额的比例；统计展示各学院科研项目数量；项目类别情况：统计展示全学校的项目按不同类别分布的数量及占比；近5年项目和经费按年份统计：统计展示近5年每年新增的项目总数，以及每年新增项目所需经费的总金额数。</w:t>
            </w:r>
          </w:p>
          <w:p>
            <w:pPr>
              <w:pStyle w:val="null3"/>
            </w:pPr>
            <w:r>
              <w:rPr>
                <w:rFonts w:ascii="仿宋_GB2312" w:hAnsi="仿宋_GB2312" w:cs="仿宋_GB2312" w:eastAsia="仿宋_GB2312"/>
              </w:rPr>
              <w:t>2) 学术会议情况：近五年参加学术会议情况：近5年每年的各个会议级别下的会议数量趋势；</w:t>
            </w:r>
          </w:p>
          <w:p>
            <w:pPr>
              <w:pStyle w:val="null3"/>
            </w:pPr>
            <w:r>
              <w:rPr>
                <w:rFonts w:ascii="仿宋_GB2312" w:hAnsi="仿宋_GB2312" w:cs="仿宋_GB2312" w:eastAsia="仿宋_GB2312"/>
              </w:rPr>
              <w:t>3) 科研成果情况：按不同学位点统计各类科研成果数量；近10年科研成果趋势：统计展示近10年每年的科研成果总数。</w:t>
            </w:r>
          </w:p>
          <w:p>
            <w:pPr>
              <w:pStyle w:val="null3"/>
            </w:pPr>
            <w:r>
              <w:rPr>
                <w:rFonts w:ascii="仿宋_GB2312" w:hAnsi="仿宋_GB2312" w:cs="仿宋_GB2312" w:eastAsia="仿宋_GB2312"/>
              </w:rPr>
              <w:t>4) 项目负责人情况：项目负责人年龄分布：统计所有科研项目的负责人，不同年龄段的人数及比例；项目负责人职称分布：统计所有科研项目的负责人，不同职称的人数及比例。</w:t>
            </w:r>
          </w:p>
          <w:p>
            <w:pPr>
              <w:pStyle w:val="null3"/>
            </w:pPr>
            <w:r>
              <w:rPr>
                <w:rFonts w:ascii="仿宋_GB2312" w:hAnsi="仿宋_GB2312" w:cs="仿宋_GB2312" w:eastAsia="仿宋_GB2312"/>
              </w:rPr>
              <w:t>3.2.6图书驾驶舱</w:t>
            </w:r>
          </w:p>
          <w:p>
            <w:pPr>
              <w:pStyle w:val="null3"/>
            </w:pPr>
            <w:r>
              <w:rPr>
                <w:rFonts w:ascii="仿宋_GB2312" w:hAnsi="仿宋_GB2312" w:cs="仿宋_GB2312" w:eastAsia="仿宋_GB2312"/>
              </w:rPr>
              <w:t>1) 图书信息总览 ：统计展示图书总馆藏量、纸质图书量、电子图数量、新购图书量、生均图书量、日均读者流量、流通率、借阅率、逾期处罚率。</w:t>
            </w:r>
          </w:p>
          <w:p>
            <w:pPr>
              <w:pStyle w:val="null3"/>
            </w:pPr>
            <w:r>
              <w:rPr>
                <w:rFonts w:ascii="仿宋_GB2312" w:hAnsi="仿宋_GB2312" w:cs="仿宋_GB2312" w:eastAsia="仿宋_GB2312"/>
              </w:rPr>
              <w:t>2) 图书馆藏分类：统计展示图书馆所有的书，按不同分类的比例。</w:t>
            </w:r>
          </w:p>
          <w:p>
            <w:pPr>
              <w:pStyle w:val="null3"/>
            </w:pPr>
            <w:r>
              <w:rPr>
                <w:rFonts w:ascii="仿宋_GB2312" w:hAnsi="仿宋_GB2312" w:cs="仿宋_GB2312" w:eastAsia="仿宋_GB2312"/>
              </w:rPr>
              <w:t>3) 图书馆进出人次：展示当前日期前一天图书馆各时段进出人次。</w:t>
            </w:r>
          </w:p>
          <w:p>
            <w:pPr>
              <w:pStyle w:val="null3"/>
            </w:pPr>
            <w:r>
              <w:rPr>
                <w:rFonts w:ascii="仿宋_GB2312" w:hAnsi="仿宋_GB2312" w:cs="仿宋_GB2312" w:eastAsia="仿宋_GB2312"/>
              </w:rPr>
              <w:t>4) 项目负责人情况：项目负责人年龄分布：统计所有科研项目的负责人，不同年龄段的人数及比例；项目负责人职称分布：统计所有科研项目的负责人，不同职称的人数及比例。</w:t>
            </w:r>
          </w:p>
          <w:p>
            <w:pPr>
              <w:pStyle w:val="null3"/>
            </w:pPr>
            <w:r>
              <w:rPr>
                <w:rFonts w:ascii="仿宋_GB2312" w:hAnsi="仿宋_GB2312" w:cs="仿宋_GB2312" w:eastAsia="仿宋_GB2312"/>
              </w:rPr>
              <w:t>5) 图书借阅情况：最受欢迎图书TOP10：统计展示图书的被借阅次数，排名最靠前的10本书；序号、书名、被借阅次数；各单位图书借阅量排名：每个组织机构 内 的人员 借阅图书的总次数；近5年图书借阅量趋势：去年及以前近5年的 每年图书的总借阅人次；各年级图书借阅量情况：按当前在校年级计算，不同年级的借阅量总数及比例（各年级分别占全校总借阅量的比例）。</w:t>
            </w:r>
          </w:p>
          <w:p>
            <w:pPr>
              <w:pStyle w:val="null3"/>
            </w:pPr>
            <w:r>
              <w:rPr>
                <w:rFonts w:ascii="仿宋_GB2312" w:hAnsi="仿宋_GB2312" w:cs="仿宋_GB2312" w:eastAsia="仿宋_GB2312"/>
              </w:rPr>
              <w:t>6) 图书与成绩的关联：学生停留图书馆时长与成绩关联度：统计展示男生、女生停留在图书馆的平均时长，所取得的成绩绩点，可切换近4个学期进行筛选。</w:t>
            </w:r>
          </w:p>
          <w:p>
            <w:pPr>
              <w:pStyle w:val="null3"/>
            </w:pPr>
            <w:r>
              <w:rPr>
                <w:rFonts w:ascii="仿宋_GB2312" w:hAnsi="仿宋_GB2312" w:cs="仿宋_GB2312" w:eastAsia="仿宋_GB2312"/>
              </w:rPr>
              <w:t>3.2.7财务驾驶舱</w:t>
            </w:r>
          </w:p>
          <w:p>
            <w:pPr>
              <w:pStyle w:val="null3"/>
            </w:pPr>
            <w:r>
              <w:rPr>
                <w:rFonts w:ascii="仿宋_GB2312" w:hAnsi="仿宋_GB2312" w:cs="仿宋_GB2312" w:eastAsia="仿宋_GB2312"/>
              </w:rPr>
              <w:t>1) 项目经费：项目经费概括：展示结余总数、到账总数、支出总数情况；当前各单位项目经费执行情况：展示全校各单位项目经费使用情况；当前各单位项目经费执行率：展示全校各单位项目经费执行率情况。</w:t>
            </w:r>
          </w:p>
          <w:p>
            <w:pPr>
              <w:pStyle w:val="null3"/>
            </w:pPr>
            <w:r>
              <w:rPr>
                <w:rFonts w:ascii="仿宋_GB2312" w:hAnsi="仿宋_GB2312" w:cs="仿宋_GB2312" w:eastAsia="仿宋_GB2312"/>
              </w:rPr>
              <w:t>2) 教职工薪酬：近5年教职工平均薪酬：展现全校近五年教职工平均薪酬走势；各部门职工薪酬情况：展示全校上一年各部门总薪酬、各部门人均薪酬情况；各学院教职工其他收入总额top10：展示各学院在职教职工的补贴税前金额总和情况。</w:t>
            </w:r>
          </w:p>
          <w:p>
            <w:pPr>
              <w:pStyle w:val="null3"/>
            </w:pPr>
            <w:r>
              <w:rPr>
                <w:rFonts w:ascii="仿宋_GB2312" w:hAnsi="仿宋_GB2312" w:cs="仿宋_GB2312" w:eastAsia="仿宋_GB2312"/>
              </w:rPr>
              <w:t>3) 学生缴费情况：各学院应缴金额、实缴金额对比：展示当前时间各学院费用实缴金额和应缴金额情况；各学院欠费人数对比：展示全校各学院欠费的学生人数情况；学生欠费详情：展示学院欠费的学生人数占学院总人数比例、欠费总额、欠费项目个数情况。</w:t>
            </w:r>
          </w:p>
          <w:p>
            <w:pPr>
              <w:pStyle w:val="null3"/>
            </w:pPr>
            <w:r>
              <w:rPr>
                <w:rFonts w:ascii="仿宋_GB2312" w:hAnsi="仿宋_GB2312" w:cs="仿宋_GB2312" w:eastAsia="仿宋_GB2312"/>
              </w:rPr>
              <w:t>3.2.8一卡通驾驶舱</w:t>
            </w:r>
          </w:p>
          <w:p>
            <w:pPr>
              <w:pStyle w:val="null3"/>
            </w:pPr>
            <w:r>
              <w:rPr>
                <w:rFonts w:ascii="仿宋_GB2312" w:hAnsi="仿宋_GB2312" w:cs="仿宋_GB2312" w:eastAsia="仿宋_GB2312"/>
              </w:rPr>
              <w:t>1）消费情况：近1年全校各年级消费总额：展示近1年（从上月开始算起往前数12个月），每个月的各年级（在校）的消费总额情况；</w:t>
            </w:r>
          </w:p>
          <w:p>
            <w:pPr>
              <w:pStyle w:val="null3"/>
            </w:pPr>
            <w:r>
              <w:rPr>
                <w:rFonts w:ascii="仿宋_GB2312" w:hAnsi="仿宋_GB2312" w:cs="仿宋_GB2312" w:eastAsia="仿宋_GB2312"/>
              </w:rPr>
              <w:t>总览概况：展示全校师生当日消费总额、昨日消费总额、近一月消费总额、近一年消费总额情况；</w:t>
            </w:r>
          </w:p>
          <w:p>
            <w:pPr>
              <w:pStyle w:val="null3"/>
            </w:pPr>
            <w:r>
              <w:rPr>
                <w:rFonts w:ascii="仿宋_GB2312" w:hAnsi="仿宋_GB2312" w:cs="仿宋_GB2312" w:eastAsia="仿宋_GB2312"/>
              </w:rPr>
              <w:t>2）学生月平均消费金额状况：展示30天内不同消费总额阶段的人数及占比情况；</w:t>
            </w:r>
          </w:p>
          <w:p>
            <w:pPr>
              <w:pStyle w:val="null3"/>
            </w:pPr>
            <w:r>
              <w:rPr>
                <w:rFonts w:ascii="仿宋_GB2312" w:hAnsi="仿宋_GB2312" w:cs="仿宋_GB2312" w:eastAsia="仿宋_GB2312"/>
              </w:rPr>
              <w:t>3）近一月各学院消费总额：展示最近一个月各学院消费总额情况；</w:t>
            </w:r>
          </w:p>
          <w:p>
            <w:pPr>
              <w:pStyle w:val="null3"/>
            </w:pPr>
            <w:r>
              <w:rPr>
                <w:rFonts w:ascii="仿宋_GB2312" w:hAnsi="仿宋_GB2312" w:cs="仿宋_GB2312" w:eastAsia="仿宋_GB2312"/>
              </w:rPr>
              <w:t>近24小时平均消费金额：展示全校最近24小时内平均消费金额情况；</w:t>
            </w:r>
          </w:p>
          <w:p>
            <w:pPr>
              <w:pStyle w:val="null3"/>
            </w:pPr>
            <w:r>
              <w:rPr>
                <w:rFonts w:ascii="仿宋_GB2312" w:hAnsi="仿宋_GB2312" w:cs="仿宋_GB2312" w:eastAsia="仿宋_GB2312"/>
              </w:rPr>
              <w:t>近1周各学院人均消费总额：展示全校最近一周各学院人均消费总额情况；</w:t>
            </w:r>
          </w:p>
          <w:p>
            <w:pPr>
              <w:pStyle w:val="null3"/>
            </w:pPr>
            <w:r>
              <w:rPr>
                <w:rFonts w:ascii="仿宋_GB2312" w:hAnsi="仿宋_GB2312" w:cs="仿宋_GB2312" w:eastAsia="仿宋_GB2312"/>
              </w:rPr>
              <w:t>4）近1年全校男女生消费情况：展示全校最近一年男女生消费情况；</w:t>
            </w:r>
          </w:p>
          <w:p>
            <w:pPr>
              <w:pStyle w:val="null3"/>
            </w:pPr>
            <w:r>
              <w:rPr>
                <w:rFonts w:ascii="仿宋_GB2312" w:hAnsi="仿宋_GB2312" w:cs="仿宋_GB2312" w:eastAsia="仿宋_GB2312"/>
              </w:rPr>
              <w:t>各学院近1月未消费人数：展示30天内校园卡消费流水表中各学院消费的人数比各学院总人数（师生总数）少的人数情况；</w:t>
            </w:r>
          </w:p>
          <w:p>
            <w:pPr>
              <w:pStyle w:val="null3"/>
            </w:pPr>
            <w:r>
              <w:rPr>
                <w:rFonts w:ascii="仿宋_GB2312" w:hAnsi="仿宋_GB2312" w:cs="仿宋_GB2312" w:eastAsia="仿宋_GB2312"/>
              </w:rPr>
              <w:t>5）学生消费类别分布：按不同消费类别展示贫困生和全校所有学生消费情况。</w:t>
            </w:r>
          </w:p>
          <w:p>
            <w:pPr>
              <w:pStyle w:val="null3"/>
            </w:pPr>
            <w:r>
              <w:rPr>
                <w:rFonts w:ascii="仿宋_GB2312" w:hAnsi="仿宋_GB2312" w:cs="仿宋_GB2312" w:eastAsia="仿宋_GB2312"/>
              </w:rPr>
              <w:t>4.实施服务内容</w:t>
            </w:r>
          </w:p>
          <w:p>
            <w:pPr>
              <w:pStyle w:val="null3"/>
            </w:pPr>
            <w:r>
              <w:rPr>
                <w:rFonts w:ascii="仿宋_GB2312" w:hAnsi="仿宋_GB2312" w:cs="仿宋_GB2312" w:eastAsia="仿宋_GB2312"/>
              </w:rPr>
              <w:t>4.1数据治理服务要求</w:t>
            </w:r>
          </w:p>
          <w:p>
            <w:pPr>
              <w:pStyle w:val="null3"/>
            </w:pPr>
            <w:r>
              <w:rPr>
                <w:rFonts w:ascii="仿宋_GB2312" w:hAnsi="仿宋_GB2312" w:cs="仿宋_GB2312" w:eastAsia="仿宋_GB2312"/>
              </w:rPr>
              <w:t>本项目要求对学校的数据资源情况进行整体调研（部门的业务范围、组织机构、工作流程、数据来源、数据形态、供需关系、交换共享要求、数据质量问题、可供引入的标准资源等，明确数据资源与部门关系），编制数据资源调研报告。具体工作要求明细如下：</w:t>
            </w:r>
          </w:p>
          <w:p>
            <w:pPr>
              <w:pStyle w:val="null3"/>
            </w:pPr>
            <w:r>
              <w:rPr>
                <w:rFonts w:ascii="仿宋_GB2312" w:hAnsi="仿宋_GB2312" w:cs="仿宋_GB2312" w:eastAsia="仿宋_GB2312"/>
              </w:rPr>
              <w:t>1）制定数据管理规范，配合学校完成数据治理的相关制度和规范建设。协助学校优化数据治理过程中数据采集、数据质量、数据运维管理、数据存储与归档、数据分类分级、数据利用和数据安全管理方面的制度建设，完善并制订《数据交换标准》、《数据服务标准》、《数据中心管理运维标准》、《数字资源安全使用规范》等校内标准。</w:t>
            </w:r>
          </w:p>
          <w:p>
            <w:pPr>
              <w:pStyle w:val="null3"/>
            </w:pPr>
            <w:r>
              <w:rPr>
                <w:rFonts w:ascii="仿宋_GB2312" w:hAnsi="仿宋_GB2312" w:cs="仿宋_GB2312" w:eastAsia="仿宋_GB2312"/>
              </w:rPr>
              <w:t>2）制定信息标准，依据国家、教育部相关标准，设计出一套结构科学、落地执行的信息标准。信息标准随着学校业务变化也需逐年更新。本期数据治理涉及到的自定义编码场景，须配合学校完成自定义编码工作。</w:t>
            </w:r>
          </w:p>
          <w:p>
            <w:pPr>
              <w:pStyle w:val="null3"/>
            </w:pPr>
            <w:r>
              <w:rPr>
                <w:rFonts w:ascii="仿宋_GB2312" w:hAnsi="仿宋_GB2312" w:cs="仿宋_GB2312" w:eastAsia="仿宋_GB2312"/>
              </w:rPr>
              <w:t>调研结果输出《数据标准Vx.x》，数据标准要求在学校现有平台维护更新，并发布至数据资产服务平台方便业务部门及业务系统厂商参考取用。</w:t>
            </w:r>
          </w:p>
          <w:p>
            <w:pPr>
              <w:pStyle w:val="null3"/>
            </w:pPr>
            <w:r>
              <w:rPr>
                <w:rFonts w:ascii="仿宋_GB2312" w:hAnsi="仿宋_GB2312" w:cs="仿宋_GB2312" w:eastAsia="仿宋_GB2312"/>
              </w:rPr>
              <w:t>3）数据确权，明确数据权威源，数据确权精确到字段级别，确定数据修改/数据服务的审核部门和审核人。数据确权需要随着业务变化及时调整，或者定期周期性进行再确权。根据数据来源和使用规划数据流向，为数据质量问题追溯打下基础。</w:t>
            </w:r>
          </w:p>
          <w:p>
            <w:pPr>
              <w:pStyle w:val="null3"/>
            </w:pPr>
            <w:r>
              <w:rPr>
                <w:rFonts w:ascii="仿宋_GB2312" w:hAnsi="仿宋_GB2312" w:cs="仿宋_GB2312" w:eastAsia="仿宋_GB2312"/>
              </w:rPr>
              <w:t>4）数据采集：通过两种方式采集学校现有的数据，1是通过数据交换工具，将数据直接从源头系统交换到共享库中。2是缺乏业务系统或者无法对外共享数据的业务系统数据，这类数据整理成电子文档，由业务部门自行上传，经审核后自动导入数据库，并配置定期更新提醒，方便定期更新数据。</w:t>
            </w:r>
          </w:p>
          <w:p>
            <w:pPr>
              <w:pStyle w:val="null3"/>
            </w:pPr>
            <w:r>
              <w:rPr>
                <w:rFonts w:ascii="仿宋_GB2312" w:hAnsi="仿宋_GB2312" w:cs="仿宋_GB2312" w:eastAsia="仿宋_GB2312"/>
              </w:rPr>
              <w:t>数据采集的过程中同时完成数据清洗，将不符合学校数据标准的数据进行清洗、转换、合并等对标处理后存入中心库，并定期同步更新。</w:t>
            </w:r>
          </w:p>
          <w:p>
            <w:pPr>
              <w:pStyle w:val="null3"/>
            </w:pPr>
            <w:r>
              <w:rPr>
                <w:rFonts w:ascii="仿宋_GB2312" w:hAnsi="仿宋_GB2312" w:cs="仿宋_GB2312" w:eastAsia="仿宋_GB2312"/>
              </w:rPr>
              <w:t>5）数据质量检测：针对数据的完整性、有效性、一致性等制定全面的检测规则，定期形成数据质量报告，发现异常数据。</w:t>
            </w:r>
          </w:p>
          <w:p>
            <w:pPr>
              <w:pStyle w:val="null3"/>
            </w:pPr>
            <w:r>
              <w:rPr>
                <w:rFonts w:ascii="仿宋_GB2312" w:hAnsi="仿宋_GB2312" w:cs="仿宋_GB2312" w:eastAsia="仿宋_GB2312"/>
              </w:rPr>
              <w:t>在治理过程中要需要按照使用需求制定数据检测规则，对于不符合规则的数据反馈到源头部门进行整改，直至数据符合共享和使用要求，从而不断提升数据质量，实现校内数据生态良性循环。</w:t>
            </w:r>
          </w:p>
          <w:p>
            <w:pPr>
              <w:pStyle w:val="null3"/>
            </w:pPr>
            <w:r>
              <w:rPr>
                <w:rFonts w:ascii="仿宋_GB2312" w:hAnsi="仿宋_GB2312" w:cs="仿宋_GB2312" w:eastAsia="仿宋_GB2312"/>
              </w:rPr>
              <w:t>6）数据开放共享：通过以下5个方面的开放，实现数据资产的全面共享。</w:t>
            </w:r>
          </w:p>
          <w:p>
            <w:pPr>
              <w:pStyle w:val="null3"/>
            </w:pPr>
            <w:r>
              <w:rPr>
                <w:rFonts w:ascii="仿宋_GB2312" w:hAnsi="仿宋_GB2312" w:cs="仿宋_GB2312" w:eastAsia="仿宋_GB2312"/>
              </w:rPr>
              <w:t>a.开放数据标准，所有部门均可查看数据标准；</w:t>
            </w:r>
          </w:p>
          <w:p>
            <w:pPr>
              <w:pStyle w:val="null3"/>
            </w:pPr>
            <w:r>
              <w:rPr>
                <w:rFonts w:ascii="仿宋_GB2312" w:hAnsi="仿宋_GB2312" w:cs="仿宋_GB2312" w:eastAsia="仿宋_GB2312"/>
              </w:rPr>
              <w:t>b.开放数据目录，数据目录通过数据门户向全校公布，便于各部门了解学校数据资产全貌。</w:t>
            </w:r>
          </w:p>
          <w:p>
            <w:pPr>
              <w:pStyle w:val="null3"/>
            </w:pPr>
            <w:r>
              <w:rPr>
                <w:rFonts w:ascii="仿宋_GB2312" w:hAnsi="仿宋_GB2312" w:cs="仿宋_GB2312" w:eastAsia="仿宋_GB2312"/>
              </w:rPr>
              <w:t>c.开放数据内容，可按照数据目录提供的内容按需发起数据访问申请，由数据权威部门对申请进行审核，从而实现数据内容共享。</w:t>
            </w:r>
          </w:p>
          <w:p>
            <w:pPr>
              <w:pStyle w:val="null3"/>
            </w:pPr>
            <w:r>
              <w:rPr>
                <w:rFonts w:ascii="仿宋_GB2312" w:hAnsi="仿宋_GB2312" w:cs="仿宋_GB2312" w:eastAsia="仿宋_GB2312"/>
              </w:rPr>
              <w:t>d. 开放数据管理，对尚没有系统维护核心数据的部门，实现数据基础管理维护功能。</w:t>
            </w:r>
          </w:p>
          <w:p>
            <w:pPr>
              <w:pStyle w:val="null3"/>
            </w:pPr>
            <w:r>
              <w:rPr>
                <w:rFonts w:ascii="仿宋_GB2312" w:hAnsi="仿宋_GB2312" w:cs="仿宋_GB2312" w:eastAsia="仿宋_GB2312"/>
              </w:rPr>
              <w:t>e.开放质量监督，可以实时掌握所属数据的质量校验规则，定期查看数据质量报告，及时发现数据问题，改进数据质量。</w:t>
            </w:r>
          </w:p>
          <w:p>
            <w:pPr>
              <w:pStyle w:val="null3"/>
            </w:pPr>
            <w:r>
              <w:rPr>
                <w:rFonts w:ascii="仿宋_GB2312" w:hAnsi="仿宋_GB2312" w:cs="仿宋_GB2312" w:eastAsia="仿宋_GB2312"/>
              </w:rPr>
              <w:t>7)数据监控运维,数据监控运维主要是面向数据管理人员提供数据全貌的实时监控信息，将新增的数据标准、交换、主数据、API、资源目录、血缘流向、质量分析等与监控运维平台集成，以大屏形式呈现，管理员可通过监控大屏掌握数据资产实时情况和运行状态。</w:t>
            </w:r>
          </w:p>
          <w:p>
            <w:pPr>
              <w:pStyle w:val="null3"/>
            </w:pPr>
            <w:r>
              <w:rPr>
                <w:rFonts w:ascii="仿宋_GB2312" w:hAnsi="仿宋_GB2312" w:cs="仿宋_GB2312" w:eastAsia="仿宋_GB2312"/>
              </w:rPr>
              <w:t>4.2认证对接要求</w:t>
            </w:r>
          </w:p>
          <w:p>
            <w:pPr>
              <w:pStyle w:val="null3"/>
            </w:pPr>
            <w:r>
              <w:rPr>
                <w:rFonts w:ascii="仿宋_GB2312" w:hAnsi="仿宋_GB2312" w:cs="仿宋_GB2312" w:eastAsia="仿宋_GB2312"/>
              </w:rPr>
              <w:t>基于学校现有业务系统进行深度集成，完成各应用系统的身份认证，既便于用户使用其权限下的应用系统，也便于系统管理员对用户权限、系统安全的统一管理。具体包括以下内容：</w:t>
            </w:r>
          </w:p>
          <w:p>
            <w:pPr>
              <w:pStyle w:val="null3"/>
            </w:pPr>
            <w:r>
              <w:rPr>
                <w:rFonts w:ascii="仿宋_GB2312" w:hAnsi="仿宋_GB2312" w:cs="仿宋_GB2312" w:eastAsia="仿宋_GB2312"/>
              </w:rPr>
              <w:t>1) 用户融合</w:t>
            </w:r>
          </w:p>
          <w:p>
            <w:pPr>
              <w:pStyle w:val="null3"/>
            </w:pPr>
            <w:r>
              <w:rPr>
                <w:rFonts w:ascii="仿宋_GB2312" w:hAnsi="仿宋_GB2312" w:cs="仿宋_GB2312" w:eastAsia="仿宋_GB2312"/>
              </w:rPr>
              <w:t>搭建功能强大的统一用户中心，以微服务的形式对外提供用户服务，可通过多种人员身份、分组、标签数据涵盖校方全域用户的管理，并提供多种组织机构形态的管理维护功能。提供基于独立系统和基于微服务两种方式的集成方式。</w:t>
            </w:r>
          </w:p>
          <w:p>
            <w:pPr>
              <w:pStyle w:val="null3"/>
            </w:pPr>
            <w:r>
              <w:rPr>
                <w:rFonts w:ascii="仿宋_GB2312" w:hAnsi="仿宋_GB2312" w:cs="仿宋_GB2312" w:eastAsia="仿宋_GB2312"/>
              </w:rPr>
              <w:t>2) 认证融合</w:t>
            </w:r>
          </w:p>
          <w:p>
            <w:pPr>
              <w:pStyle w:val="null3"/>
            </w:pPr>
            <w:r>
              <w:rPr>
                <w:rFonts w:ascii="仿宋_GB2312" w:hAnsi="仿宋_GB2312" w:cs="仿宋_GB2312" w:eastAsia="仿宋_GB2312"/>
              </w:rPr>
              <w:t>为校方构建微服务化的认证服务，认证服务支持多种认证协议，包括CAS、OAuth2、JWT、LDAP等，能够支持在现有认证基础上进行平滑升级，满足校方应用单点登录、单点注销及提供LDAP服务的需求。</w:t>
            </w:r>
          </w:p>
          <w:p>
            <w:pPr>
              <w:pStyle w:val="null3"/>
            </w:pPr>
            <w:r>
              <w:rPr>
                <w:rFonts w:ascii="仿宋_GB2312" w:hAnsi="仿宋_GB2312" w:cs="仿宋_GB2312" w:eastAsia="仿宋_GB2312"/>
              </w:rPr>
              <w:t>3) 权限融合</w:t>
            </w:r>
          </w:p>
          <w:p>
            <w:pPr>
              <w:pStyle w:val="null3"/>
            </w:pPr>
            <w:r>
              <w:rPr>
                <w:rFonts w:ascii="仿宋_GB2312" w:hAnsi="仿宋_GB2312" w:cs="仿宋_GB2312" w:eastAsia="仿宋_GB2312"/>
              </w:rPr>
              <w:t>构建公共统一授权服务，集中化管理各类授权事务，提升对授权的统一事务管理能力和多维度的授权审计，支持分级授权，提高授权事务的处理效率。业务的具体权限由各应用或系统自主管理，按权限进行角色或用户组的分类。授权服务通过接口主动获取需要授权的用户分组信息，通过调整分组信息或用户状态来实现对业务系统中的权限的管理。</w:t>
            </w:r>
          </w:p>
          <w:p>
            <w:pPr>
              <w:pStyle w:val="null3"/>
            </w:pPr>
            <w:r>
              <w:rPr>
                <w:rFonts w:ascii="仿宋_GB2312" w:hAnsi="仿宋_GB2312" w:cs="仿宋_GB2312" w:eastAsia="仿宋_GB2312"/>
              </w:rPr>
              <w:t>4) 其他融合</w:t>
            </w:r>
          </w:p>
          <w:p>
            <w:pPr>
              <w:pStyle w:val="null3"/>
            </w:pPr>
            <w:r>
              <w:rPr>
                <w:rFonts w:ascii="仿宋_GB2312" w:hAnsi="仿宋_GB2312" w:cs="仿宋_GB2312" w:eastAsia="仿宋_GB2312"/>
              </w:rPr>
              <w:t>支持第三方账号登录。用户可以通过绑定微信、企业微信、支付宝、QQ、钉钉等账号实现第三方登录，并利用上述平台，扫码登录系统，进而访问所有授权应用。与上述社交平台进行对接，实现使用其他平台账号登陆学校身份认证平台。</w:t>
            </w:r>
          </w:p>
          <w:p>
            <w:pPr>
              <w:pStyle w:val="null3"/>
            </w:pPr>
            <w:r>
              <w:rPr>
                <w:rFonts w:ascii="仿宋_GB2312" w:hAnsi="仿宋_GB2312" w:cs="仿宋_GB2312" w:eastAsia="仿宋_GB2312"/>
              </w:rPr>
              <w:t>5）系统对接业务清单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系统名称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教务管理系统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办公自动化系统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财务信息化平台</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国有资产管理系统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校园网计费管理系统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站群管理系统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目标考核管理系统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科研管理系统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图书管理系统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人事管理系统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学工系统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教学质量评估系统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一卡通系统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邮件系统</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门禁系统</w:t>
                  </w:r>
                </w:p>
              </w:tc>
              <w:tc>
                <w:tcPr>
                  <w:tcW w:type="dxa" w:w="851"/>
                </w:tcPr>
                <w:p>
                  <w:pPr>
                    <w:pStyle w:val="null3"/>
                  </w:pPr>
                  <w:r>
                    <w:rPr>
                      <w:rFonts w:ascii="仿宋_GB2312" w:hAnsi="仿宋_GB2312" w:cs="仿宋_GB2312" w:eastAsia="仿宋_GB2312"/>
                    </w:rPr>
                    <w:t>2套</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实验室管理系统</w:t>
                  </w:r>
                </w:p>
              </w:tc>
              <w:tc>
                <w:tcPr>
                  <w:tcW w:type="dxa" w:w="851"/>
                </w:tcPr>
                <w:p>
                  <w:pPr>
                    <w:pStyle w:val="null3"/>
                  </w:pPr>
                  <w:r>
                    <w:rPr>
                      <w:rFonts w:ascii="仿宋_GB2312" w:hAnsi="仿宋_GB2312" w:cs="仿宋_GB2312" w:eastAsia="仿宋_GB2312"/>
                    </w:rPr>
                    <w:t>1套</w:t>
                  </w:r>
                </w:p>
              </w:tc>
            </w:tr>
          </w:tbl>
          <w:p>
            <w:pPr>
              <w:pStyle w:val="null3"/>
            </w:pPr>
            <w:r>
              <w:rPr>
                <w:rFonts w:ascii="仿宋_GB2312" w:hAnsi="仿宋_GB2312" w:cs="仿宋_GB2312" w:eastAsia="仿宋_GB2312"/>
              </w:rPr>
              <w:t>投标人须作出不可撤销的书面承诺，对本次招标涉及17 套业务系统对接，提供包含需求调研、方案设计、接口定制开发、联调测试、部署上线、适配优化、操作培训、运维保障在内的全流程对接服务，学校无需就上述对接服务向投标人支付任何额外费用，无任何隐形消费、附加收费项目。</w:t>
            </w:r>
          </w:p>
          <w:p>
            <w:pPr>
              <w:pStyle w:val="null3"/>
            </w:pPr>
            <w:r>
              <w:rPr>
                <w:rFonts w:ascii="仿宋_GB2312" w:hAnsi="仿宋_GB2312" w:cs="仿宋_GB2312" w:eastAsia="仿宋_GB2312"/>
              </w:rPr>
              <w:t>投标人须确保在项目合同约定的实施周期内至少完成上述系统中前9 套核心业务系统的落地对接并通过学校正式验收，针对第三方合作运营的业务系统，投标人须全额承担第三方厂商可能收取的对接服务费、接口授权费、联调测试费等所有相关支出，学校不承担该部分任何费用，投标人不得因第三方费用协商、支付等问题影响对接服务的落地实施与交付进度。</w:t>
            </w:r>
          </w:p>
          <w:p>
            <w:pPr>
              <w:pStyle w:val="null3"/>
            </w:pPr>
            <w:r>
              <w:rPr>
                <w:rFonts w:ascii="仿宋_GB2312" w:hAnsi="仿宋_GB2312" w:cs="仿宋_GB2312" w:eastAsia="仿宋_GB2312"/>
              </w:rPr>
              <w:t>针对本次未完成落地对接的剩余业务系统，投标人须提前预留标准化的对接适配能力与接口扩展方案，在学校后续提出对接需求时，提供对接服务。费用均考虑在本项目报价中，后续不额外收费。</w:t>
            </w:r>
          </w:p>
          <w:p>
            <w:pPr>
              <w:pStyle w:val="null3"/>
            </w:pPr>
            <w:r>
              <w:rPr>
                <w:rFonts w:ascii="仿宋_GB2312" w:hAnsi="仿宋_GB2312" w:cs="仿宋_GB2312" w:eastAsia="仿宋_GB2312"/>
              </w:rPr>
              <w:t>6）项目常驻人员要求</w:t>
            </w:r>
          </w:p>
          <w:p>
            <w:pPr>
              <w:pStyle w:val="null3"/>
            </w:pPr>
            <w:r>
              <w:rPr>
                <w:rFonts w:ascii="仿宋_GB2312" w:hAnsi="仿宋_GB2312" w:cs="仿宋_GB2312" w:eastAsia="仿宋_GB2312"/>
              </w:rPr>
              <w:t>项目实施期提供至少3人的常驻团队，项目交付以后，提供不低于12个月的1人常驻。</w:t>
            </w:r>
          </w:p>
          <w:p>
            <w:pPr>
              <w:pStyle w:val="null3"/>
            </w:pPr>
            <w:r>
              <w:rPr>
                <w:rFonts w:ascii="仿宋_GB2312" w:hAnsi="仿宋_GB2312" w:cs="仿宋_GB2312" w:eastAsia="仿宋_GB2312"/>
              </w:rPr>
              <w:t>常驻人员需有两个以上数据中台项目实施经验，提供证明材料。</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进度款，项目验收合格且中标人向采购人开具、交付与合同总金额等值的增值税专用发票后，达到付款条件起15个工作日内，支付合同总金额的100.0%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3.5.3因系统编制制式限制，本项目支付约定以此处表述为准： ①若中标人为非中小企业，项目验收合格且中标人向采购人开具、交付与合同总金额等值的增值税专用发票后，采购人一次性支付合同总金额的100%。 ②若中标人为中小企业，合同签订后，采购人预付合同总金额的40%；项目验收合格且中标人向采购人开具、交付与合同总金额等值的增值税专用发票后，采购人一次性支付剩余货款（合同总金额的60%）。 3.5.4售后服务 ①本项目要求提供自最终验收合格之日起不少于3年的质保期（含软件升级、漏洞修复、技术支持）。质保期内，中标人应提供所有软件的版本升级、补丁更新、安全加固、性能优化等服务，不得以任何理由另行收费。 ②质保期内，中标人对交付系统提供7*24小时技术支持、不少于2次/年上门巡检等服务。 ③质保期内，若出现系统故障，中标人接到采购人通知，应在工作日4小时内(非工作日8小时内）或与采购人约定时间内，派人现场处理；如经检测，无法在24小时内完成修复的，中标人需提供临时替代软件方案或升级服务，确保采购人业务正常开展直至故障排除。 ④质保期内，中标人未在规定或约定时间进行故障排除，造成采购人人身、财产损害时，采购人可依据有关法律、法规进行追偿；中标人不能及时到场，采购人可安排其他公司技术人员进行排查，期间产生的费用，由中标人支付给采购人；接到采购人故障排除通知后，中标人累计超过3次（不含3次）未在约定保修时间内进行维修时，中标人向采购人支付的金额为本次维修费用的2倍。 ⑤质保期内，出现产品非人为因素损坏而造成短期停用时，则质保期相应顺延，如停用时间累计超过60天，则质保期自产品修复之日起重新计算。 ⑥质保到期前的一个月，中标人须对所供系统系统进行一次全面维护保养服务。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满足本招标文件3.4商务要求中“交货时间、交货地点、质量保修范围和保修期”要求的以及3.5.3支付约定的要求的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根据投标人所投产品技术参数对3.3技术参数与性能指标中的“1.数据中台以及2.统一身份认证平台”参数的响应情况进行评审： ①标“▲”参数，投标人满足参数要求的每项得1.5分，满分15分。“▲”指标必须提供有效佐证材料，否则视为负偏离。 ②非“▲、演示项”参数（以投标人的技术响应偏离表响应情况为准），得分=（投标人满足采购人要求的非“▲、演示项”参数数量/非“▲、演示项”参数总数量）×10分，满分10分。得分保留小数点后两位数，小数点后第三位四舍五入。 备注： 1.“▲”指标佐证材料可为第三方检测报告或真实系统功能截图。未提供佐证材料，视为不满足。 2.佐证材料与技术响应偏离表响应内容不一致的，以佐证材料为准。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投标人针对技术参数与性能指标中标注【要求演示】的内容进行演示，依据演示的符合性进行评审： 采用真实系统演示,每项功能完整演示计1分，未提供演示或演示不符合要求不计分。满分10分。 备注： ①每个投标人演示时间不超过20分钟。 ②评审现场将使用腾讯视频会议形式与各投标人进行连线演示，请各投标人保持通信畅通，否则造成任何后果由各投标人自负。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定制化开发方案</w:t>
            </w:r>
          </w:p>
        </w:tc>
        <w:tc>
          <w:tcPr>
            <w:tcW w:type="dxa" w:w="2492"/>
          </w:tcPr>
          <w:p>
            <w:pPr>
              <w:pStyle w:val="null3"/>
            </w:pPr>
            <w:r>
              <w:rPr>
                <w:rFonts w:ascii="仿宋_GB2312" w:hAnsi="仿宋_GB2312" w:cs="仿宋_GB2312" w:eastAsia="仿宋_GB2312"/>
              </w:rPr>
              <w:t>投标人针对本项目定制化服务提供开发技术方案，方案应至少包括但不限于①技术架构与路线；②各核心功能模块设计；③接口与集成设计等。 上述3项内容，每提供1项内容计2分，每项内容存在1处瑕疵扣0.5分；本评分点满分6分。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6定制化开发方案.docx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投标人提供针对本项目的实施方案，包括但不限于①项目实施进度计划；②全流程质量保障措施；③对接方案及验收方案等。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实施能力</w:t>
            </w:r>
          </w:p>
        </w:tc>
        <w:tc>
          <w:tcPr>
            <w:tcW w:type="dxa" w:w="2492"/>
          </w:tcPr>
          <w:p>
            <w:pPr>
              <w:pStyle w:val="null3"/>
            </w:pPr>
            <w:r>
              <w:rPr>
                <w:rFonts w:ascii="仿宋_GB2312" w:hAnsi="仿宋_GB2312" w:cs="仿宋_GB2312" w:eastAsia="仿宋_GB2312"/>
              </w:rPr>
              <w:t>投标人具备与本项目相关的软件开发能力，提供包括但不限于“数据资产管理”或“数据资产服务”或“数据资产监控”或“统一身份认证”或“权限中心”等与本项目相关类别的软件著作权证书，每提供1项有效证书得0.6分（同一个类别提供多个证书只计一次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8实施能力.docx</w:t>
            </w:r>
          </w:p>
        </w:tc>
      </w:tr>
      <w:tr>
        <w:tc>
          <w:tcPr>
            <w:tcW w:type="dxa" w:w="831"/>
            <w:vMerge/>
          </w:tcPr>
          <w:p/>
        </w:tc>
        <w:tc>
          <w:tcPr>
            <w:tcW w:type="dxa" w:w="1661"/>
          </w:tcPr>
          <w:p>
            <w:pPr>
              <w:pStyle w:val="null3"/>
            </w:pPr>
            <w:r>
              <w:rPr>
                <w:rFonts w:ascii="仿宋_GB2312" w:hAnsi="仿宋_GB2312" w:cs="仿宋_GB2312" w:eastAsia="仿宋_GB2312"/>
              </w:rPr>
              <w:t>数据治理方案</w:t>
            </w:r>
          </w:p>
        </w:tc>
        <w:tc>
          <w:tcPr>
            <w:tcW w:type="dxa" w:w="2492"/>
          </w:tcPr>
          <w:p>
            <w:pPr>
              <w:pStyle w:val="null3"/>
            </w:pPr>
            <w:r>
              <w:rPr>
                <w:rFonts w:ascii="仿宋_GB2312" w:hAnsi="仿宋_GB2312" w:cs="仿宋_GB2312" w:eastAsia="仿宋_GB2312"/>
              </w:rPr>
              <w:t>投标人提供针对本项目的数据治理方案，包括但不限于①数据标准规范制定；②数据采集与质量检测；③数据资产共享；④数据安全管控等。 上述4项内容，每提供1项内容计1分，每项内容存在1处瑕疵扣0.5分；本评分点满分4分。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9数据治理方案.docx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投标人针对本项目提供培训方案，方案应至少包括但不限于①培训方式与计划；②培训内容设计安排。 上述2项内容，每提供1项内容计1分，每项内容存在1处瑕疵扣0.5分；本评分点满分2分。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投标人针对本项目提供具体的售后服务方案，包括但不限于①本地化服务能力说明；②售后服务范围及保障措施；③系统升级维护及各类问题响应解决时效。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对接承诺</w:t>
            </w:r>
          </w:p>
        </w:tc>
        <w:tc>
          <w:tcPr>
            <w:tcW w:type="dxa" w:w="2492"/>
          </w:tcPr>
          <w:p>
            <w:pPr>
              <w:pStyle w:val="null3"/>
            </w:pPr>
            <w:r>
              <w:rPr>
                <w:rFonts w:ascii="仿宋_GB2312" w:hAnsi="仿宋_GB2312" w:cs="仿宋_GB2312" w:eastAsia="仿宋_GB2312"/>
              </w:rPr>
              <w:t>投标人承诺完成采购需求中系统对接业务清单中所有系统的对接工作，提供包含需求调研、方案设计、接口定制开发、联调测试、部署上线、适配优化、操作培训、运维保障在内的全流程对接服务。由此产生的对接费用由投标人承担，均包含在本项目报价中。并承诺在项目合同约定的实施周期内至少完成上述系统中前9 套核心业务系统的落地对接并通过学校正式验收，否则自愿接受采购人的违约处罚。提供此承诺计3分，否则不计分。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12对接承诺.docx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拟派本项目项目负责人具备信息系统项目管理师证书，提供证书扫描件加盖投标单位公章，得1分。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为保证项目实施过程安全性，项目团队成员（含项目负责人）具备数据安全、数据治理等相关领域专业认证证书（如CISP-CISE、CISP-CISO等），每有1人具备相关证书计1分，最高2分。 备注：①提供上述人员证书扫描件及在职证明（劳动合同或2026年1月1日以来任意一个月的本单位的社保缴纳证明）。②同一人员只计1次分。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14项目团队.docx</w:t>
            </w:r>
          </w:p>
        </w:tc>
      </w:tr>
      <w:tr>
        <w:tc>
          <w:tcPr>
            <w:tcW w:type="dxa" w:w="831"/>
            <w:vMerge/>
          </w:tcPr>
          <w:p/>
        </w:tc>
        <w:tc>
          <w:tcPr>
            <w:tcW w:type="dxa" w:w="1661"/>
          </w:tcPr>
          <w:p>
            <w:pPr>
              <w:pStyle w:val="null3"/>
            </w:pPr>
            <w:r>
              <w:rPr>
                <w:rFonts w:ascii="仿宋_GB2312" w:hAnsi="仿宋_GB2312" w:cs="仿宋_GB2312" w:eastAsia="仿宋_GB2312"/>
              </w:rPr>
              <w:t>常驻团队</w:t>
            </w:r>
          </w:p>
        </w:tc>
        <w:tc>
          <w:tcPr>
            <w:tcW w:type="dxa" w:w="2492"/>
          </w:tcPr>
          <w:p>
            <w:pPr>
              <w:pStyle w:val="null3"/>
            </w:pPr>
            <w:r>
              <w:rPr>
                <w:rFonts w:ascii="仿宋_GB2312" w:hAnsi="仿宋_GB2312" w:cs="仿宋_GB2312" w:eastAsia="仿宋_GB2312"/>
              </w:rPr>
              <w:t>投标人提供在项目实施期以及项目交付以后的常驻人员安排，提供常驻团队人员清单： 1、项目实施期提供至少3人的常驻团队人员计3分，每少一人扣1分。 2、项目交付以后，提供不低于12个月的1人常驻人员，常驻人员需有两个以上数据中台项目实施经验，满足此要求计1分，否则不得分。 备注： ①评分点1、2常驻人员须提供人员身份证以及在职证明（劳动合同或2026年1月1日以来任意一个月的本单位的社保缴纳证明），否则不计分。 ②评分点2须提供人员2023年1月1日（以合同签订日期为准）至今同类项目业绩予以佐证，合同需能体现常驻人员姓名，若无法体现的须提供合同甲方盖章证明材料，否则不计分。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15常驻团队.docx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等核心要素，否则不计为有效业绩。每提供1个有效业绩得1分，最高得4分。 备注：投标文件中提供合同扫描件加盖公章。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详见附件：6定制化开发方案.docx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详见附件：8实施能力.docx</w:t>
      </w:r>
    </w:p>
    <w:p>
      <w:pPr>
        <w:pStyle w:val="null3"/>
        <w:ind w:firstLine="960"/>
      </w:pPr>
      <w:r>
        <w:rPr>
          <w:rFonts w:ascii="仿宋_GB2312" w:hAnsi="仿宋_GB2312" w:cs="仿宋_GB2312" w:eastAsia="仿宋_GB2312"/>
        </w:rPr>
        <w:t>详见附件：9数据治理方案.docx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详见附件：12对接承诺.docx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详见附件：14项目团队.docx</w:t>
      </w:r>
    </w:p>
    <w:p>
      <w:pPr>
        <w:pStyle w:val="null3"/>
        <w:ind w:firstLine="960"/>
      </w:pPr>
      <w:r>
        <w:rPr>
          <w:rFonts w:ascii="仿宋_GB2312" w:hAnsi="仿宋_GB2312" w:cs="仿宋_GB2312" w:eastAsia="仿宋_GB2312"/>
        </w:rPr>
        <w:t>详见附件：15常驻团队.docx</w:t>
      </w:r>
    </w:p>
    <w:p>
      <w:pPr>
        <w:pStyle w:val="null3"/>
        <w:ind w:firstLine="960"/>
      </w:pPr>
      <w:r>
        <w:rPr>
          <w:rFonts w:ascii="仿宋_GB2312" w:hAnsi="仿宋_GB2312" w:cs="仿宋_GB2312" w:eastAsia="仿宋_GB2312"/>
        </w:rPr>
        <w:t>详见附件：16业绩.docx</w:t>
      </w:r>
    </w:p>
    <w:p>
      <w:pPr>
        <w:pStyle w:val="null3"/>
        <w:ind w:firstLine="960"/>
      </w:pPr>
      <w:r>
        <w:rPr>
          <w:rFonts w:ascii="仿宋_GB2312" w:hAnsi="仿宋_GB2312" w:cs="仿宋_GB2312" w:eastAsia="仿宋_GB2312"/>
        </w:rPr>
        <w:t>详见附件：1商务部分偏离表.docx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