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977402">
      <w:pPr>
        <w:pStyle w:val="4"/>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采购需求</w:t>
      </w:r>
    </w:p>
    <w:p w14:paraId="31E222F3">
      <w:pPr>
        <w:pStyle w:val="4"/>
        <w:keepNext w:val="0"/>
        <w:keepLines w:val="0"/>
        <w:pageBreakBefore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sz w:val="20"/>
          <w:szCs w:val="20"/>
          <w:highlight w:val="none"/>
          <w:lang w:val="en-US" w:eastAsia="zh-CN"/>
        </w:rPr>
      </w:pPr>
      <w:r>
        <w:rPr>
          <w:rFonts w:hint="eastAsia" w:ascii="仿宋" w:hAnsi="仿宋" w:eastAsia="仿宋" w:cs="仿宋"/>
          <w:b/>
          <w:bCs/>
          <w:sz w:val="20"/>
          <w:szCs w:val="20"/>
          <w:highlight w:val="none"/>
          <w:lang w:val="en-US" w:eastAsia="zh-CN"/>
        </w:rPr>
        <w:t>一、最高限价编制说明</w:t>
      </w:r>
    </w:p>
    <w:p w14:paraId="49C3FF6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b/>
          <w:bCs/>
          <w:color w:val="000000" w:themeColor="text1"/>
          <w:sz w:val="20"/>
          <w:szCs w:val="20"/>
          <w:lang w:eastAsia="zh-CN"/>
          <w14:textFill>
            <w14:solidFill>
              <w14:schemeClr w14:val="tx1"/>
            </w14:solidFill>
          </w14:textFill>
        </w:rPr>
      </w:pP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lang w:val="en-US" w:eastAsia="zh-CN"/>
          <w14:textFill>
            <w14:solidFill>
              <w14:schemeClr w14:val="tx1"/>
            </w14:solidFill>
          </w14:textFill>
        </w:rPr>
        <w:t>一</w:t>
      </w:r>
      <w:r>
        <w:rPr>
          <w:rFonts w:hint="eastAsia" w:ascii="仿宋" w:hAnsi="仿宋" w:eastAsia="仿宋" w:cs="仿宋"/>
          <w:b/>
          <w:bCs/>
          <w:color w:val="000000" w:themeColor="text1"/>
          <w:sz w:val="20"/>
          <w:szCs w:val="20"/>
          <w:lang w:eastAsia="zh-CN"/>
          <w14:textFill>
            <w14:solidFill>
              <w14:schemeClr w14:val="tx1"/>
            </w14:solidFill>
          </w14:textFill>
        </w:rPr>
        <w:t>）工程概况</w:t>
      </w:r>
    </w:p>
    <w:p w14:paraId="18C3CB6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“风雨操场负一层室内改造项目”位于西安市长安</w:t>
      </w:r>
      <w:bookmarkStart w:id="0" w:name="_GoBack"/>
      <w:bookmarkEnd w:id="0"/>
      <w:r>
        <w:rPr>
          <w:rFonts w:hint="eastAsia" w:ascii="仿宋" w:hAnsi="仿宋" w:eastAsia="仿宋" w:cs="仿宋"/>
          <w:b w:val="0"/>
          <w:bCs w:val="0"/>
          <w:color w:val="000000" w:themeColor="text1"/>
          <w:sz w:val="20"/>
          <w:szCs w:val="20"/>
          <w:lang w:val="en-US" w:eastAsia="zh-CN"/>
          <w14:textFill>
            <w14:solidFill>
              <w14:schemeClr w14:val="tx1"/>
            </w14:solidFill>
          </w14:textFill>
        </w:rPr>
        <w:t>区郭杜北街19号。</w:t>
      </w:r>
    </w:p>
    <w:p w14:paraId="0EC7D3E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该工程建设单位是：陕西开放大学。</w:t>
      </w:r>
    </w:p>
    <w:p w14:paraId="30F402A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b/>
          <w:bCs/>
          <w:color w:val="000000" w:themeColor="text1"/>
          <w:sz w:val="20"/>
          <w:szCs w:val="20"/>
          <w:lang w:eastAsia="zh-CN"/>
          <w14:textFill>
            <w14:solidFill>
              <w14:schemeClr w14:val="tx1"/>
            </w14:solidFill>
          </w14:textFill>
        </w:rPr>
      </w:pP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lang w:val="en-US" w:eastAsia="zh-CN"/>
          <w14:textFill>
            <w14:solidFill>
              <w14:schemeClr w14:val="tx1"/>
            </w14:solidFill>
          </w14:textFill>
        </w:rPr>
        <w:t>二</w:t>
      </w:r>
      <w:r>
        <w:rPr>
          <w:rFonts w:hint="eastAsia" w:ascii="仿宋" w:hAnsi="仿宋" w:eastAsia="仿宋" w:cs="仿宋"/>
          <w:b/>
          <w:bCs/>
          <w:color w:val="000000" w:themeColor="text1"/>
          <w:sz w:val="20"/>
          <w:szCs w:val="20"/>
          <w:lang w:eastAsia="zh-CN"/>
          <w14:textFill>
            <w14:solidFill>
              <w14:schemeClr w14:val="tx1"/>
            </w14:solidFill>
          </w14:textFill>
        </w:rPr>
        <w:t>）编制范围</w:t>
      </w:r>
    </w:p>
    <w:p w14:paraId="3BA8C4C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本次编制范围包括：</w:t>
      </w:r>
      <w:r>
        <w:rPr>
          <w:rFonts w:hint="eastAsia" w:ascii="仿宋" w:hAnsi="仿宋" w:eastAsia="仿宋" w:cs="仿宋"/>
          <w:b w:val="0"/>
          <w:bCs w:val="0"/>
          <w:color w:val="000000" w:themeColor="text1"/>
          <w:sz w:val="20"/>
          <w:szCs w:val="20"/>
          <w:lang w:val="en-US" w:eastAsia="zh-CN"/>
          <w14:textFill>
            <w14:solidFill>
              <w14:schemeClr w14:val="tx1"/>
            </w14:solidFill>
          </w14:textFill>
        </w:rPr>
        <w:t>陕西开放大学风雨操场负一层室内改造项目施工图包含的拆除工程、新建工程、精装修工程及电气工程等全部内容</w:t>
      </w:r>
      <w:r>
        <w:rPr>
          <w:rFonts w:hint="eastAsia" w:ascii="仿宋" w:hAnsi="仿宋" w:eastAsia="仿宋" w:cs="仿宋"/>
          <w:b w:val="0"/>
          <w:bCs w:val="0"/>
          <w:color w:val="000000" w:themeColor="text1"/>
          <w:sz w:val="20"/>
          <w:szCs w:val="20"/>
          <w14:textFill>
            <w14:solidFill>
              <w14:schemeClr w14:val="tx1"/>
            </w14:solidFill>
          </w14:textFill>
        </w:rPr>
        <w:t>。</w:t>
      </w:r>
    </w:p>
    <w:p w14:paraId="69F65B9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b/>
          <w:bCs/>
          <w:color w:val="000000" w:themeColor="text1"/>
          <w:sz w:val="20"/>
          <w:szCs w:val="20"/>
          <w:lang w:eastAsia="zh-CN"/>
          <w14:textFill>
            <w14:solidFill>
              <w14:schemeClr w14:val="tx1"/>
            </w14:solidFill>
          </w14:textFill>
        </w:rPr>
      </w:pP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lang w:val="en-US" w:eastAsia="zh-CN"/>
          <w14:textFill>
            <w14:solidFill>
              <w14:schemeClr w14:val="tx1"/>
            </w14:solidFill>
          </w14:textFill>
        </w:rPr>
        <w:t>三</w:t>
      </w:r>
      <w:r>
        <w:rPr>
          <w:rFonts w:hint="eastAsia" w:ascii="仿宋" w:hAnsi="仿宋" w:eastAsia="仿宋" w:cs="仿宋"/>
          <w:b/>
          <w:bCs/>
          <w:color w:val="000000" w:themeColor="text1"/>
          <w:sz w:val="20"/>
          <w:szCs w:val="20"/>
          <w:lang w:eastAsia="zh-CN"/>
          <w14:textFill>
            <w14:solidFill>
              <w14:schemeClr w14:val="tx1"/>
            </w14:solidFill>
          </w14:textFill>
        </w:rPr>
        <w:t>）编制依据</w:t>
      </w:r>
    </w:p>
    <w:p w14:paraId="1F3539E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建设工程规范标准、设计施工图纸、磋商文件等；</w:t>
      </w:r>
    </w:p>
    <w:p w14:paraId="46C8980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《陕西省建设工程工程量清单计价标准计算标准》(2025)；</w:t>
      </w:r>
    </w:p>
    <w:p w14:paraId="2C7C674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《陕西省房屋建筑与装饰工程基价表》(2025)；</w:t>
      </w:r>
    </w:p>
    <w:p w14:paraId="1BB8281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《陕西省通用安装工程基价表》(2025)；</w:t>
      </w:r>
    </w:p>
    <w:p w14:paraId="084FA32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《陕西省房屋建筑与装饰工程消耗量定额》(2025)、《陕西省通用安装工程消耗量定额》(2025)；</w:t>
      </w:r>
    </w:p>
    <w:p w14:paraId="6A47AC4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《陕西省建设工程费用规则》（2025）；</w:t>
      </w:r>
    </w:p>
    <w:p w14:paraId="750A4EA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正常施工组织设计及施工方法；</w:t>
      </w:r>
    </w:p>
    <w:p w14:paraId="08AD0E5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施工规范及验收规范；</w:t>
      </w:r>
    </w:p>
    <w:p w14:paraId="614894B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zh-CN"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施工设计图中选用的相关标准图集；</w:t>
      </w:r>
    </w:p>
    <w:p w14:paraId="0F1D4F1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zh-CN" w:eastAsia="zh-CN"/>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常规的施工组织设计、施工方法及相关标准图集、施工规范、验收规范</w:t>
      </w:r>
    </w:p>
    <w:p w14:paraId="41A315F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b/>
          <w:bCs/>
          <w:color w:val="000000" w:themeColor="text1"/>
          <w:sz w:val="20"/>
          <w:szCs w:val="20"/>
          <w:lang w:eastAsia="zh-CN"/>
          <w14:textFill>
            <w14:solidFill>
              <w14:schemeClr w14:val="tx1"/>
            </w14:solidFill>
          </w14:textFill>
        </w:rPr>
      </w:pP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lang w:val="en-US" w:eastAsia="zh-CN"/>
          <w14:textFill>
            <w14:solidFill>
              <w14:schemeClr w14:val="tx1"/>
            </w14:solidFill>
          </w14:textFill>
        </w:rPr>
        <w:t>四</w:t>
      </w:r>
      <w:r>
        <w:rPr>
          <w:rFonts w:hint="eastAsia" w:ascii="仿宋" w:hAnsi="仿宋" w:eastAsia="仿宋" w:cs="仿宋"/>
          <w:b/>
          <w:bCs/>
          <w:color w:val="000000" w:themeColor="text1"/>
          <w:sz w:val="20"/>
          <w:szCs w:val="20"/>
          <w:lang w:eastAsia="zh-CN"/>
          <w14:textFill>
            <w14:solidFill>
              <w14:schemeClr w14:val="tx1"/>
            </w14:solidFill>
          </w14:textFill>
        </w:rPr>
        <w:t>）编制方法</w:t>
      </w:r>
    </w:p>
    <w:p w14:paraId="40C2229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分部分项工程费用计价采用单价法；措施项目分别采用单价法和费率法，对于可计量部分的措施项目参照分部分项工程费用的计算方法采用单价法计价，对于以项计量或综合取定的措施费用采用费率法；其他项目费按项目实际情况列项；规费、税金采用费率法编制。</w:t>
      </w:r>
    </w:p>
    <w:p w14:paraId="3AC5AD0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b/>
          <w:bCs/>
          <w:color w:val="000000" w:themeColor="text1"/>
          <w:sz w:val="20"/>
          <w:szCs w:val="20"/>
          <w:lang w:eastAsia="zh-CN"/>
          <w14:textFill>
            <w14:solidFill>
              <w14:schemeClr w14:val="tx1"/>
            </w14:solidFill>
          </w14:textFill>
        </w:rPr>
      </w:pPr>
      <w:r>
        <w:rPr>
          <w:rFonts w:hint="eastAsia" w:ascii="仿宋" w:hAnsi="仿宋" w:eastAsia="仿宋" w:cs="仿宋"/>
          <w:b/>
          <w:bCs/>
          <w:color w:val="000000" w:themeColor="text1"/>
          <w:sz w:val="20"/>
          <w:szCs w:val="20"/>
          <w:lang w:eastAsia="zh-CN"/>
          <w14:textFill>
            <w14:solidFill>
              <w14:schemeClr w14:val="tx1"/>
            </w14:solidFill>
          </w14:textFill>
        </w:rPr>
        <w:t>（五）有关材料、设备、参数和费用的说明</w:t>
      </w:r>
    </w:p>
    <w:p w14:paraId="740724D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1.</w:t>
      </w:r>
      <w:r>
        <w:rPr>
          <w:rFonts w:hint="eastAsia" w:ascii="仿宋" w:hAnsi="仿宋" w:eastAsia="仿宋" w:cs="仿宋"/>
          <w:b w:val="0"/>
          <w:bCs w:val="0"/>
          <w:color w:val="000000" w:themeColor="text1"/>
          <w:sz w:val="20"/>
          <w:szCs w:val="20"/>
          <w14:textFill>
            <w14:solidFill>
              <w14:schemeClr w14:val="tx1"/>
            </w14:solidFill>
          </w14:textFill>
        </w:rPr>
        <w:t>本项目材料信息价执行陕西省202</w:t>
      </w:r>
      <w:r>
        <w:rPr>
          <w:rFonts w:hint="eastAsia" w:ascii="仿宋" w:hAnsi="仿宋" w:eastAsia="仿宋" w:cs="仿宋"/>
          <w:b w:val="0"/>
          <w:bCs w:val="0"/>
          <w:color w:val="000000" w:themeColor="text1"/>
          <w:sz w:val="20"/>
          <w:szCs w:val="20"/>
          <w:lang w:val="en-US" w:eastAsia="zh-CN"/>
          <w14:textFill>
            <w14:solidFill>
              <w14:schemeClr w14:val="tx1"/>
            </w14:solidFill>
          </w14:textFill>
        </w:rPr>
        <w:t>6</w:t>
      </w:r>
      <w:r>
        <w:rPr>
          <w:rFonts w:hint="eastAsia" w:ascii="仿宋" w:hAnsi="仿宋" w:eastAsia="仿宋" w:cs="仿宋"/>
          <w:b w:val="0"/>
          <w:bCs w:val="0"/>
          <w:color w:val="000000" w:themeColor="text1"/>
          <w:sz w:val="20"/>
          <w:szCs w:val="20"/>
          <w14:textFill>
            <w14:solidFill>
              <w14:schemeClr w14:val="tx1"/>
            </w14:solidFill>
          </w14:textFill>
        </w:rPr>
        <w:t>年第</w:t>
      </w:r>
      <w:r>
        <w:rPr>
          <w:rFonts w:hint="eastAsia" w:ascii="仿宋" w:hAnsi="仿宋" w:eastAsia="仿宋" w:cs="仿宋"/>
          <w:b w:val="0"/>
          <w:bCs w:val="0"/>
          <w:color w:val="000000" w:themeColor="text1"/>
          <w:sz w:val="20"/>
          <w:szCs w:val="20"/>
          <w:lang w:val="en-US" w:eastAsia="zh-CN"/>
          <w14:textFill>
            <w14:solidFill>
              <w14:schemeClr w14:val="tx1"/>
            </w14:solidFill>
          </w14:textFill>
        </w:rPr>
        <w:t>4月</w:t>
      </w:r>
      <w:r>
        <w:rPr>
          <w:rFonts w:hint="eastAsia" w:ascii="仿宋" w:hAnsi="仿宋" w:eastAsia="仿宋" w:cs="仿宋"/>
          <w:b w:val="0"/>
          <w:bCs w:val="0"/>
          <w:color w:val="000000" w:themeColor="text1"/>
          <w:sz w:val="20"/>
          <w:szCs w:val="20"/>
          <w14:textFill>
            <w14:solidFill>
              <w14:schemeClr w14:val="tx1"/>
            </w14:solidFill>
          </w14:textFill>
        </w:rPr>
        <w:t>信息价，无信息价的材料按同时期市场价计入；</w:t>
      </w:r>
    </w:p>
    <w:p w14:paraId="2E7BF47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b/>
          <w:bCs/>
          <w:color w:val="000000" w:themeColor="text1"/>
          <w:sz w:val="20"/>
          <w:szCs w:val="20"/>
          <w:lang w:eastAsia="zh-CN"/>
          <w14:textFill>
            <w14:solidFill>
              <w14:schemeClr w14:val="tx1"/>
            </w14:solidFill>
          </w14:textFill>
        </w:rPr>
      </w:pP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lang w:val="en-US" w:eastAsia="zh-CN"/>
          <w14:textFill>
            <w14:solidFill>
              <w14:schemeClr w14:val="tx1"/>
            </w14:solidFill>
          </w14:textFill>
        </w:rPr>
        <w:t>六</w:t>
      </w:r>
      <w:r>
        <w:rPr>
          <w:rFonts w:hint="eastAsia" w:ascii="仿宋" w:hAnsi="仿宋" w:eastAsia="仿宋" w:cs="仿宋"/>
          <w:b/>
          <w:bCs/>
          <w:color w:val="000000" w:themeColor="text1"/>
          <w:sz w:val="20"/>
          <w:szCs w:val="20"/>
          <w:lang w:eastAsia="zh-CN"/>
          <w14:textFill>
            <w14:solidFill>
              <w14:schemeClr w14:val="tx1"/>
            </w14:solidFill>
          </w14:textFill>
        </w:rPr>
        <w:t>）其他有关问题的说明</w:t>
      </w:r>
    </w:p>
    <w:p w14:paraId="5E9696E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云梯训练器材、钢网需定制，规格尺寸未明确，限价以暂定计入。</w:t>
      </w:r>
    </w:p>
    <w:p w14:paraId="4A4ED7C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b/>
          <w:bCs/>
          <w:color w:val="000000" w:themeColor="text1"/>
          <w:sz w:val="20"/>
          <w:szCs w:val="20"/>
          <w:lang w:eastAsia="zh-CN"/>
          <w14:textFill>
            <w14:solidFill>
              <w14:schemeClr w14:val="tx1"/>
            </w14:solidFill>
          </w14:textFill>
        </w:rPr>
      </w:pP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lang w:val="en-US" w:eastAsia="zh-CN"/>
          <w14:textFill>
            <w14:solidFill>
              <w14:schemeClr w14:val="tx1"/>
            </w14:solidFill>
          </w14:textFill>
        </w:rPr>
        <w:t>七</w:t>
      </w: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lang w:val="en-US" w:eastAsia="zh-CN"/>
          <w14:textFill>
            <w14:solidFill>
              <w14:schemeClr w14:val="tx1"/>
            </w14:solidFill>
          </w14:textFill>
        </w:rPr>
        <w:t>暂列金</w:t>
      </w:r>
    </w:p>
    <w:p w14:paraId="2687F5F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暂列金额：110000元</w:t>
      </w:r>
    </w:p>
    <w:p w14:paraId="01DFA77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b/>
          <w:bCs/>
          <w:color w:val="000000" w:themeColor="text1"/>
          <w:sz w:val="20"/>
          <w:szCs w:val="20"/>
          <w:lang w:val="en-US" w:eastAsia="zh-CN"/>
          <w14:textFill>
            <w14:solidFill>
              <w14:schemeClr w14:val="tx1"/>
            </w14:solidFill>
          </w14:textFill>
        </w:rPr>
      </w:pPr>
      <w:r>
        <w:rPr>
          <w:rFonts w:hint="eastAsia" w:ascii="仿宋" w:hAnsi="仿宋" w:eastAsia="仿宋" w:cs="仿宋"/>
          <w:b/>
          <w:bCs/>
          <w:color w:val="000000" w:themeColor="text1"/>
          <w:sz w:val="20"/>
          <w:szCs w:val="20"/>
          <w:lang w:val="en-US" w:eastAsia="zh-CN"/>
          <w14:textFill>
            <w14:solidFill>
              <w14:schemeClr w14:val="tx1"/>
            </w14:solidFill>
          </w14:textFill>
        </w:rPr>
        <w:t>（八）编制使用软件</w:t>
      </w:r>
    </w:p>
    <w:p w14:paraId="42D0D88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val="en-US" w:eastAsia="zh-CN"/>
          <w14:textFill>
            <w14:solidFill>
              <w14:schemeClr w14:val="tx1"/>
            </w14:solidFill>
          </w14:textFill>
        </w:rPr>
      </w:pPr>
      <w:r>
        <w:rPr>
          <w:rFonts w:hint="eastAsia" w:ascii="仿宋" w:hAnsi="仿宋" w:eastAsia="仿宋" w:cs="仿宋"/>
          <w:b w:val="0"/>
          <w:bCs w:val="0"/>
          <w:color w:val="000000" w:themeColor="text1"/>
          <w:sz w:val="20"/>
          <w:szCs w:val="20"/>
          <w:lang w:val="en-US" w:eastAsia="zh-CN"/>
          <w14:textFill>
            <w14:solidFill>
              <w14:schemeClr w14:val="tx1"/>
            </w14:solidFill>
          </w14:textFill>
        </w:rPr>
        <w:t>广联达云计价平台</w:t>
      </w:r>
      <w:r>
        <w:rPr>
          <w:rFonts w:hint="eastAsia" w:ascii="仿宋" w:hAnsi="仿宋" w:eastAsia="仿宋" w:cs="仿宋"/>
          <w:b w:val="0"/>
          <w:bCs w:val="0"/>
          <w:color w:val="000000" w:themeColor="text1"/>
          <w:sz w:val="20"/>
          <w:szCs w:val="20"/>
          <w14:textFill>
            <w14:solidFill>
              <w14:schemeClr w14:val="tx1"/>
            </w14:solidFill>
          </w14:textFill>
        </w:rPr>
        <w:t>GCCP</w:t>
      </w:r>
      <w:r>
        <w:rPr>
          <w:rFonts w:hint="eastAsia" w:ascii="仿宋" w:hAnsi="仿宋" w:eastAsia="仿宋" w:cs="仿宋"/>
          <w:b w:val="0"/>
          <w:bCs w:val="0"/>
          <w:color w:val="000000" w:themeColor="text1"/>
          <w:sz w:val="20"/>
          <w:szCs w:val="20"/>
          <w:lang w:val="en-US" w:eastAsia="zh-CN"/>
          <w14:textFill>
            <w14:solidFill>
              <w14:schemeClr w14:val="tx1"/>
            </w14:solidFill>
          </w14:textFill>
        </w:rPr>
        <w:t>7</w:t>
      </w:r>
      <w:r>
        <w:rPr>
          <w:rFonts w:hint="eastAsia" w:ascii="仿宋" w:hAnsi="仿宋" w:eastAsia="仿宋" w:cs="仿宋"/>
          <w:b w:val="0"/>
          <w:bCs w:val="0"/>
          <w:color w:val="000000" w:themeColor="text1"/>
          <w:sz w:val="20"/>
          <w:szCs w:val="20"/>
          <w14:textFill>
            <w14:solidFill>
              <w14:schemeClr w14:val="tx1"/>
            </w14:solidFill>
          </w14:textFill>
        </w:rPr>
        <w:t>.0（版本</w:t>
      </w:r>
      <w:r>
        <w:rPr>
          <w:rFonts w:hint="eastAsia" w:ascii="仿宋" w:hAnsi="仿宋" w:eastAsia="仿宋" w:cs="仿宋"/>
          <w:b w:val="0"/>
          <w:bCs w:val="0"/>
          <w:color w:val="000000" w:themeColor="text1"/>
          <w:sz w:val="20"/>
          <w:szCs w:val="20"/>
          <w:lang w:val="en-US" w:eastAsia="zh-CN"/>
          <w14:textFill>
            <w14:solidFill>
              <w14:schemeClr w14:val="tx1"/>
            </w14:solidFill>
          </w14:textFill>
        </w:rPr>
        <w:t>号7</w:t>
      </w:r>
      <w:r>
        <w:rPr>
          <w:rFonts w:hint="eastAsia" w:ascii="仿宋" w:hAnsi="仿宋" w:eastAsia="仿宋" w:cs="仿宋"/>
          <w:b w:val="0"/>
          <w:bCs w:val="0"/>
          <w:color w:val="000000" w:themeColor="text1"/>
          <w:sz w:val="20"/>
          <w:szCs w:val="20"/>
          <w14:textFill>
            <w14:solidFill>
              <w14:schemeClr w14:val="tx1"/>
            </w14:solidFill>
          </w14:textFill>
        </w:rPr>
        <w:t>.</w:t>
      </w:r>
      <w:r>
        <w:rPr>
          <w:rFonts w:hint="eastAsia" w:ascii="仿宋" w:hAnsi="仿宋" w:eastAsia="仿宋" w:cs="仿宋"/>
          <w:b w:val="0"/>
          <w:bCs w:val="0"/>
          <w:color w:val="000000" w:themeColor="text1"/>
          <w:sz w:val="20"/>
          <w:szCs w:val="20"/>
          <w:lang w:val="en-US" w:eastAsia="zh-CN"/>
          <w14:textFill>
            <w14:solidFill>
              <w14:schemeClr w14:val="tx1"/>
            </w14:solidFill>
          </w14:textFill>
        </w:rPr>
        <w:t>50</w:t>
      </w:r>
      <w:r>
        <w:rPr>
          <w:rFonts w:hint="eastAsia" w:ascii="仿宋" w:hAnsi="仿宋" w:eastAsia="仿宋" w:cs="仿宋"/>
          <w:b w:val="0"/>
          <w:bCs w:val="0"/>
          <w:color w:val="000000" w:themeColor="text1"/>
          <w:sz w:val="20"/>
          <w:szCs w:val="20"/>
          <w14:textFill>
            <w14:solidFill>
              <w14:schemeClr w14:val="tx1"/>
            </w14:solidFill>
          </w14:textFill>
        </w:rPr>
        <w:t>00.23.</w:t>
      </w:r>
      <w:r>
        <w:rPr>
          <w:rFonts w:hint="eastAsia" w:ascii="仿宋" w:hAnsi="仿宋" w:eastAsia="仿宋" w:cs="仿宋"/>
          <w:b w:val="0"/>
          <w:bCs w:val="0"/>
          <w:color w:val="000000" w:themeColor="text1"/>
          <w:sz w:val="20"/>
          <w:szCs w:val="20"/>
          <w:lang w:val="en-US" w:eastAsia="zh-CN"/>
          <w14:textFill>
            <w14:solidFill>
              <w14:schemeClr w14:val="tx1"/>
            </w14:solidFill>
          </w14:textFill>
        </w:rPr>
        <w:t>3</w:t>
      </w:r>
      <w:r>
        <w:rPr>
          <w:rFonts w:hint="eastAsia" w:ascii="仿宋" w:hAnsi="仿宋" w:eastAsia="仿宋" w:cs="仿宋"/>
          <w:b w:val="0"/>
          <w:bCs w:val="0"/>
          <w:color w:val="000000" w:themeColor="text1"/>
          <w:sz w:val="20"/>
          <w:szCs w:val="20"/>
          <w14:textFill>
            <w14:solidFill>
              <w14:schemeClr w14:val="tx1"/>
            </w14:solidFill>
          </w14:textFill>
        </w:rPr>
        <w:t>）</w:t>
      </w:r>
      <w:r>
        <w:rPr>
          <w:rFonts w:hint="eastAsia" w:ascii="仿宋" w:hAnsi="仿宋" w:eastAsia="仿宋" w:cs="仿宋"/>
          <w:b w:val="0"/>
          <w:bCs w:val="0"/>
          <w:color w:val="000000" w:themeColor="text1"/>
          <w:sz w:val="20"/>
          <w:szCs w:val="20"/>
          <w:lang w:val="en-US" w:eastAsia="zh-CN"/>
          <w14:textFill>
            <w14:solidFill>
              <w14:schemeClr w14:val="tx1"/>
            </w14:solidFill>
          </w14:textFill>
        </w:rPr>
        <w:t>。</w:t>
      </w:r>
    </w:p>
    <w:p w14:paraId="5AB1712E">
      <w:pPr>
        <w:pStyle w:val="4"/>
        <w:keepNext w:val="0"/>
        <w:keepLines w:val="0"/>
        <w:pageBreakBefore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sz w:val="20"/>
          <w:szCs w:val="20"/>
          <w:highlight w:val="none"/>
          <w:lang w:val="en-US" w:eastAsia="zh-CN"/>
        </w:rPr>
      </w:pPr>
      <w:r>
        <w:rPr>
          <w:rFonts w:hint="eastAsia" w:ascii="仿宋" w:hAnsi="仿宋" w:eastAsia="仿宋" w:cs="仿宋"/>
          <w:b/>
          <w:bCs/>
          <w:sz w:val="20"/>
          <w:szCs w:val="20"/>
          <w:highlight w:val="none"/>
          <w:lang w:val="en-US" w:eastAsia="zh-CN"/>
        </w:rPr>
        <w:t>二、最高限价</w:t>
      </w:r>
    </w:p>
    <w:p w14:paraId="25686337">
      <w:pPr>
        <w:pStyle w:val="4"/>
        <w:keepNext w:val="0"/>
        <w:keepLines w:val="0"/>
        <w:pageBreakBefore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小写：1417707.98元（大写：人民币壹佰肆拾壹万柒仟柒佰零柒元玖角捌分）</w:t>
      </w:r>
    </w:p>
    <w:p w14:paraId="66BC3BC0">
      <w:pPr>
        <w:pStyle w:val="4"/>
        <w:keepNext w:val="0"/>
        <w:keepLines w:val="0"/>
        <w:pageBreakBefore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sz w:val="20"/>
          <w:szCs w:val="20"/>
          <w:highlight w:val="none"/>
        </w:rPr>
      </w:pPr>
      <w:r>
        <w:rPr>
          <w:rFonts w:hint="eastAsia" w:ascii="仿宋" w:hAnsi="仿宋" w:eastAsia="仿宋" w:cs="仿宋"/>
          <w:b/>
          <w:bCs/>
          <w:sz w:val="20"/>
          <w:szCs w:val="20"/>
          <w:highlight w:val="none"/>
          <w:lang w:val="en-US" w:eastAsia="zh-CN"/>
        </w:rPr>
        <w:t>三</w:t>
      </w:r>
      <w:r>
        <w:rPr>
          <w:rFonts w:hint="eastAsia" w:ascii="仿宋" w:hAnsi="仿宋" w:eastAsia="仿宋" w:cs="仿宋"/>
          <w:b/>
          <w:bCs/>
          <w:sz w:val="20"/>
          <w:szCs w:val="20"/>
          <w:highlight w:val="none"/>
        </w:rPr>
        <w:t>、工程量清单及图纸</w:t>
      </w:r>
    </w:p>
    <w:p w14:paraId="3E9F843C">
      <w:pPr>
        <w:pStyle w:val="4"/>
        <w:keepNext w:val="0"/>
        <w:keepLines w:val="0"/>
        <w:pageBreakBefore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highlight w:val="none"/>
        </w:rPr>
      </w:pPr>
      <w:r>
        <w:rPr>
          <w:rFonts w:hint="eastAsia" w:ascii="仿宋" w:hAnsi="仿宋" w:eastAsia="仿宋" w:cs="仿宋"/>
          <w:sz w:val="20"/>
          <w:szCs w:val="20"/>
          <w:highlight w:val="none"/>
          <w:lang w:eastAsia="zh-CN"/>
        </w:rPr>
        <w:t>（</w:t>
      </w:r>
      <w:r>
        <w:rPr>
          <w:rFonts w:hint="eastAsia" w:ascii="仿宋" w:hAnsi="仿宋" w:eastAsia="仿宋" w:cs="仿宋"/>
          <w:color w:val="auto"/>
          <w:sz w:val="20"/>
          <w:szCs w:val="20"/>
          <w:highlight w:val="none"/>
          <w:lang w:val="en-US" w:eastAsia="zh-CN"/>
        </w:rPr>
        <w:t>一</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工程量清单：另册提供。</w:t>
      </w:r>
    </w:p>
    <w:p w14:paraId="11F01D53">
      <w:pPr>
        <w:pStyle w:val="4"/>
        <w:keepNext w:val="0"/>
        <w:keepLines w:val="0"/>
        <w:pageBreakBefore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lang w:val="en-US" w:eastAsia="zh-CN"/>
        </w:rPr>
        <w:t>二</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lang w:val="en-US" w:eastAsia="zh-CN"/>
        </w:rPr>
        <w:t>设计</w:t>
      </w:r>
      <w:r>
        <w:rPr>
          <w:rFonts w:hint="eastAsia" w:ascii="仿宋" w:hAnsi="仿宋" w:eastAsia="仿宋" w:cs="仿宋"/>
          <w:color w:val="auto"/>
          <w:sz w:val="20"/>
          <w:szCs w:val="20"/>
          <w:highlight w:val="none"/>
        </w:rPr>
        <w:t>图纸：另册提供。</w:t>
      </w:r>
    </w:p>
    <w:p w14:paraId="4C62693A">
      <w:pPr>
        <w:pStyle w:val="4"/>
        <w:keepNext w:val="0"/>
        <w:keepLines w:val="0"/>
        <w:pageBreakBefore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lang w:val="en-US" w:eastAsia="zh-CN"/>
        </w:rPr>
        <w:t>三</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部分</w:t>
      </w:r>
      <w:r>
        <w:rPr>
          <w:rFonts w:hint="eastAsia" w:ascii="仿宋" w:hAnsi="仿宋" w:eastAsia="仿宋" w:cs="仿宋"/>
          <w:color w:val="auto"/>
          <w:sz w:val="20"/>
          <w:szCs w:val="20"/>
          <w:highlight w:val="none"/>
          <w:lang w:val="en-US" w:eastAsia="zh-CN"/>
        </w:rPr>
        <w:t>材料</w:t>
      </w:r>
      <w:r>
        <w:rPr>
          <w:rFonts w:hint="eastAsia" w:ascii="仿宋" w:hAnsi="仿宋" w:eastAsia="仿宋" w:cs="仿宋"/>
          <w:color w:val="auto"/>
          <w:sz w:val="20"/>
          <w:szCs w:val="20"/>
          <w:highlight w:val="none"/>
        </w:rPr>
        <w:t>参数</w:t>
      </w:r>
      <w:r>
        <w:rPr>
          <w:rFonts w:hint="eastAsia" w:ascii="仿宋" w:hAnsi="仿宋" w:eastAsia="仿宋" w:cs="仿宋"/>
          <w:color w:val="auto"/>
          <w:sz w:val="20"/>
          <w:szCs w:val="20"/>
          <w:highlight w:val="none"/>
          <w:lang w:val="en-US" w:eastAsia="zh-CN"/>
        </w:rPr>
        <w:t>及施工要求。（此部分与设计图纸不一致时，以高标准执行）。</w:t>
      </w:r>
    </w:p>
    <w:p w14:paraId="0D8E17ED">
      <w:pPr>
        <w:pStyle w:val="4"/>
        <w:keepNext w:val="0"/>
        <w:keepLines w:val="0"/>
        <w:pageBreakBefore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color w:val="auto"/>
          <w:sz w:val="20"/>
          <w:szCs w:val="20"/>
          <w:highlight w:val="none"/>
        </w:rPr>
      </w:pPr>
      <w:r>
        <w:rPr>
          <w:rFonts w:hint="eastAsia" w:ascii="仿宋" w:hAnsi="仿宋" w:eastAsia="仿宋" w:cs="仿宋"/>
          <w:b/>
          <w:bCs/>
          <w:color w:val="auto"/>
          <w:sz w:val="20"/>
          <w:szCs w:val="20"/>
          <w:highlight w:val="none"/>
          <w:lang w:val="en-US" w:eastAsia="zh-CN"/>
        </w:rPr>
        <w:t>四</w:t>
      </w:r>
      <w:r>
        <w:rPr>
          <w:rFonts w:hint="eastAsia" w:ascii="仿宋" w:hAnsi="仿宋" w:eastAsia="仿宋" w:cs="仿宋"/>
          <w:b/>
          <w:bCs/>
          <w:color w:val="auto"/>
          <w:sz w:val="20"/>
          <w:szCs w:val="20"/>
          <w:highlight w:val="none"/>
        </w:rPr>
        <w:t>、工期</w:t>
      </w:r>
      <w:r>
        <w:rPr>
          <w:rFonts w:hint="eastAsia" w:ascii="仿宋" w:hAnsi="仿宋" w:eastAsia="仿宋" w:cs="仿宋"/>
          <w:color w:val="auto"/>
          <w:sz w:val="20"/>
          <w:szCs w:val="20"/>
          <w:highlight w:val="none"/>
        </w:rPr>
        <w:t>：</w:t>
      </w:r>
      <w:r>
        <w:rPr>
          <w:rFonts w:hint="eastAsia" w:ascii="仿宋" w:hAnsi="仿宋" w:eastAsia="仿宋" w:cs="仿宋"/>
          <w:color w:val="auto"/>
          <w:sz w:val="20"/>
          <w:szCs w:val="20"/>
          <w:highlight w:val="none"/>
          <w:lang w:val="en-US" w:eastAsia="zh-CN"/>
        </w:rPr>
        <w:t>90日历日。</w:t>
      </w:r>
    </w:p>
    <w:p w14:paraId="0F64B161">
      <w:pPr>
        <w:pStyle w:val="4"/>
        <w:keepNext w:val="0"/>
        <w:keepLines w:val="0"/>
        <w:pageBreakBefore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color w:val="auto"/>
          <w:sz w:val="20"/>
          <w:szCs w:val="20"/>
          <w:highlight w:val="none"/>
        </w:rPr>
      </w:pPr>
      <w:r>
        <w:rPr>
          <w:rFonts w:hint="eastAsia" w:ascii="仿宋" w:hAnsi="仿宋" w:eastAsia="仿宋" w:cs="仿宋"/>
          <w:b/>
          <w:bCs/>
          <w:color w:val="auto"/>
          <w:sz w:val="20"/>
          <w:szCs w:val="20"/>
          <w:highlight w:val="none"/>
          <w:lang w:val="en-US" w:eastAsia="zh-CN"/>
        </w:rPr>
        <w:t>五</w:t>
      </w:r>
      <w:r>
        <w:rPr>
          <w:rFonts w:hint="eastAsia" w:ascii="仿宋" w:hAnsi="仿宋" w:eastAsia="仿宋" w:cs="仿宋"/>
          <w:b/>
          <w:bCs/>
          <w:color w:val="auto"/>
          <w:sz w:val="20"/>
          <w:szCs w:val="20"/>
          <w:highlight w:val="none"/>
        </w:rPr>
        <w:t>、质保期</w:t>
      </w:r>
      <w:r>
        <w:rPr>
          <w:rFonts w:hint="eastAsia" w:ascii="仿宋" w:hAnsi="仿宋" w:eastAsia="仿宋" w:cs="仿宋"/>
          <w:b/>
          <w:bCs/>
          <w:color w:val="auto"/>
          <w:sz w:val="20"/>
          <w:szCs w:val="20"/>
          <w:highlight w:val="none"/>
          <w:lang w:eastAsia="zh-CN"/>
        </w:rPr>
        <w:t>：</w:t>
      </w:r>
      <w:r>
        <w:rPr>
          <w:rFonts w:hint="eastAsia" w:ascii="仿宋" w:hAnsi="仿宋" w:eastAsia="仿宋" w:cs="仿宋"/>
          <w:b w:val="0"/>
          <w:bCs w:val="0"/>
          <w:color w:val="auto"/>
          <w:sz w:val="20"/>
          <w:szCs w:val="20"/>
          <w:highlight w:val="none"/>
          <w:lang w:eastAsia="zh-CN"/>
        </w:rPr>
        <w:t>项目验收合格后</w:t>
      </w:r>
      <w:r>
        <w:rPr>
          <w:rFonts w:hint="eastAsia" w:ascii="仿宋" w:hAnsi="仿宋" w:eastAsia="仿宋" w:cs="仿宋"/>
          <w:b w:val="0"/>
          <w:bCs w:val="0"/>
          <w:color w:val="auto"/>
          <w:sz w:val="20"/>
          <w:szCs w:val="20"/>
          <w:highlight w:val="none"/>
          <w:lang w:val="en-US" w:eastAsia="zh-CN"/>
        </w:rPr>
        <w:t>两</w:t>
      </w:r>
      <w:r>
        <w:rPr>
          <w:rFonts w:hint="eastAsia" w:ascii="仿宋" w:hAnsi="仿宋" w:eastAsia="仿宋" w:cs="仿宋"/>
          <w:b w:val="0"/>
          <w:bCs w:val="0"/>
          <w:color w:val="auto"/>
          <w:sz w:val="20"/>
          <w:szCs w:val="20"/>
          <w:highlight w:val="none"/>
          <w:lang w:eastAsia="zh-CN"/>
        </w:rPr>
        <w:t>年。</w:t>
      </w:r>
    </w:p>
    <w:p w14:paraId="44650D33">
      <w:pPr>
        <w:pStyle w:val="4"/>
        <w:keepNext w:val="0"/>
        <w:keepLines w:val="0"/>
        <w:pageBreakBefore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六</w:t>
      </w:r>
      <w:r>
        <w:rPr>
          <w:rFonts w:hint="eastAsia" w:ascii="仿宋" w:hAnsi="仿宋" w:eastAsia="仿宋" w:cs="仿宋"/>
          <w:b/>
          <w:bCs/>
          <w:color w:val="auto"/>
          <w:sz w:val="20"/>
          <w:szCs w:val="20"/>
          <w:highlight w:val="none"/>
        </w:rPr>
        <w:t>、质量要求：</w:t>
      </w:r>
      <w:r>
        <w:rPr>
          <w:rFonts w:hint="eastAsia" w:ascii="仿宋" w:hAnsi="仿宋" w:eastAsia="仿宋" w:cs="仿宋"/>
          <w:color w:val="auto"/>
          <w:sz w:val="20"/>
          <w:szCs w:val="20"/>
          <w:highlight w:val="none"/>
        </w:rPr>
        <w:t>合格（达到国家强制性合格标准）</w:t>
      </w:r>
      <w:r>
        <w:rPr>
          <w:rFonts w:hint="eastAsia" w:ascii="仿宋" w:hAnsi="仿宋" w:eastAsia="仿宋" w:cs="仿宋"/>
          <w:color w:val="auto"/>
          <w:sz w:val="20"/>
          <w:szCs w:val="20"/>
          <w:highlight w:val="none"/>
          <w:lang w:val="en-US" w:eastAsia="zh-CN"/>
        </w:rPr>
        <w:t>并达到采购人采购需求。</w:t>
      </w:r>
    </w:p>
    <w:p w14:paraId="6276E8FE">
      <w:pPr>
        <w:pStyle w:val="4"/>
        <w:keepNext w:val="0"/>
        <w:keepLines w:val="0"/>
        <w:pageBreakBefore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highlight w:val="none"/>
        </w:rPr>
      </w:pPr>
      <w:r>
        <w:rPr>
          <w:rFonts w:hint="eastAsia" w:ascii="仿宋" w:hAnsi="仿宋" w:eastAsia="仿宋" w:cs="仿宋"/>
          <w:b/>
          <w:bCs/>
          <w:color w:val="auto"/>
          <w:sz w:val="20"/>
          <w:szCs w:val="20"/>
          <w:highlight w:val="none"/>
          <w:lang w:val="en-US" w:eastAsia="zh-CN"/>
        </w:rPr>
        <w:t>七</w:t>
      </w:r>
      <w:r>
        <w:rPr>
          <w:rFonts w:hint="eastAsia" w:ascii="仿宋" w:hAnsi="仿宋" w:eastAsia="仿宋" w:cs="仿宋"/>
          <w:b/>
          <w:bCs/>
          <w:color w:val="auto"/>
          <w:sz w:val="20"/>
          <w:szCs w:val="20"/>
          <w:highlight w:val="none"/>
        </w:rPr>
        <w:t>、付款方式</w:t>
      </w:r>
    </w:p>
    <w:p w14:paraId="34BC03A1">
      <w:pPr>
        <w:pStyle w:val="4"/>
        <w:keepNext w:val="0"/>
        <w:keepLines w:val="0"/>
        <w:pageBreakBefore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lang w:val="en-US" w:eastAsia="zh-CN"/>
        </w:rPr>
        <w:t>一</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合同签订、施工队伍及主要材料全部进场并经甲方现场核验合格后5个工作日内，支付合同总价款的40%；</w:t>
      </w:r>
    </w:p>
    <w:p w14:paraId="6328C1CF">
      <w:pPr>
        <w:pStyle w:val="4"/>
        <w:keepNext w:val="0"/>
        <w:keepLines w:val="0"/>
        <w:pageBreakBefore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lang w:val="en-US" w:eastAsia="zh-CN"/>
        </w:rPr>
        <w:t>二</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工程全部完工、甲方组织竣工验收合格且乙方提交完整竣工图纸、验收资料后10个工作日内，支付至合同总价款的85%；</w:t>
      </w:r>
    </w:p>
    <w:p w14:paraId="7E3EAE3C">
      <w:pPr>
        <w:pStyle w:val="4"/>
        <w:keepNext w:val="0"/>
        <w:keepLines w:val="0"/>
        <w:pageBreakBefore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lang w:val="en-US" w:eastAsia="zh-CN"/>
        </w:rPr>
        <w:t>三</w:t>
      </w:r>
      <w:r>
        <w:rPr>
          <w:rFonts w:hint="eastAsia" w:ascii="仿宋" w:hAnsi="仿宋" w:eastAsia="仿宋" w:cs="仿宋"/>
          <w:color w:val="auto"/>
          <w:sz w:val="20"/>
          <w:szCs w:val="20"/>
          <w:highlight w:val="none"/>
          <w:lang w:eastAsia="zh-CN"/>
        </w:rPr>
        <w:t>）</w:t>
      </w:r>
      <w:r>
        <w:rPr>
          <w:rFonts w:hint="eastAsia" w:ascii="仿宋" w:hAnsi="仿宋" w:eastAsia="仿宋" w:cs="仿宋"/>
          <w:color w:val="auto"/>
          <w:sz w:val="20"/>
          <w:szCs w:val="20"/>
          <w:highlight w:val="none"/>
        </w:rPr>
        <w:t>双方完成竣工结算审计、确认最终结算总价且乙方开具全额发票后15 个工作日内，一次性支付至</w:t>
      </w:r>
      <w:r>
        <w:rPr>
          <w:rFonts w:hint="eastAsia" w:ascii="仿宋" w:hAnsi="仿宋" w:eastAsia="仿宋" w:cs="仿宋"/>
          <w:color w:val="auto"/>
          <w:sz w:val="20"/>
          <w:szCs w:val="20"/>
          <w:highlight w:val="none"/>
          <w:lang w:val="en-US" w:eastAsia="zh-CN"/>
        </w:rPr>
        <w:t>审计</w:t>
      </w:r>
      <w:r>
        <w:rPr>
          <w:rFonts w:hint="eastAsia" w:ascii="仿宋" w:hAnsi="仿宋" w:eastAsia="仿宋" w:cs="仿宋"/>
          <w:color w:val="auto"/>
          <w:sz w:val="20"/>
          <w:szCs w:val="20"/>
          <w:highlight w:val="none"/>
        </w:rPr>
        <w:t>结算总价的 100%。</w:t>
      </w:r>
    </w:p>
    <w:p w14:paraId="0BFF4CDC">
      <w:pPr>
        <w:pStyle w:val="4"/>
        <w:keepNext w:val="0"/>
        <w:keepLines w:val="0"/>
        <w:pageBreakBefore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八、技术参数要求</w:t>
      </w:r>
    </w:p>
    <w:p w14:paraId="28C06F5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lang w:val="en-US" w:eastAsia="zh-CN"/>
          <w14:textFill>
            <w14:solidFill>
              <w14:schemeClr w14:val="tx1"/>
            </w14:solidFill>
          </w14:textFill>
        </w:rPr>
        <w:t>（一）</w:t>
      </w:r>
      <w:r>
        <w:rPr>
          <w:rFonts w:hint="eastAsia" w:ascii="仿宋" w:hAnsi="仿宋" w:eastAsia="仿宋" w:cs="仿宋"/>
          <w:b/>
          <w:bCs/>
          <w:color w:val="000000" w:themeColor="text1"/>
          <w:sz w:val="20"/>
          <w:szCs w:val="20"/>
          <w14:textFill>
            <w14:solidFill>
              <w14:schemeClr w14:val="tx1"/>
            </w14:solidFill>
          </w14:textFill>
        </w:rPr>
        <w:t>PVC地胶系统</w:t>
      </w:r>
    </w:p>
    <w:p w14:paraId="1AAAD0D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1. 邵氏硬度70-90度（邵A）</w:t>
      </w:r>
    </w:p>
    <w:p w14:paraId="0C304C0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2. 拉伸强度≥1.5MPa</w:t>
      </w:r>
    </w:p>
    <w:p w14:paraId="76871B9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3. 拉断伸长率≥120%</w:t>
      </w:r>
    </w:p>
    <w:p w14:paraId="5210968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4. 面质量偏差≤±3%</w:t>
      </w:r>
    </w:p>
    <w:p w14:paraId="34FDF7B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5. 加热尺寸变化率（纵向，横向）≤0.4%</w:t>
      </w:r>
    </w:p>
    <w:p w14:paraId="07FBC1C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6. 耐磨性T级，体积损失≤2.0mm³</w:t>
      </w:r>
    </w:p>
    <w:p w14:paraId="186F0EA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7. 焊接强度，平均值≥500N/50mm；最小值≥400N/50mm</w:t>
      </w:r>
    </w:p>
    <w:p w14:paraId="2438251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8. 防滑性(湿法)≥0.6</w:t>
      </w:r>
    </w:p>
    <w:p w14:paraId="36D5766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9. 灰分含量≤0.2%</w:t>
      </w:r>
    </w:p>
    <w:p w14:paraId="54E19A2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10. 阻燃性：Ⅰ级</w:t>
      </w:r>
    </w:p>
    <w:p w14:paraId="2C2E78E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11. 可溶性重金属铅含量≤20mg/㎡</w:t>
      </w:r>
    </w:p>
    <w:p w14:paraId="501AEFB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12. 可溶性重金属镉含量≤20mg/㎡</w:t>
      </w:r>
    </w:p>
    <w:p w14:paraId="330CBF5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 xml:space="preserve">13. 氯乙烯含量：未检出 </w:t>
      </w:r>
    </w:p>
    <w:p w14:paraId="33CB563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b/>
          <w:bCs/>
          <w:color w:val="000000" w:themeColor="text1"/>
          <w:sz w:val="20"/>
          <w:szCs w:val="20"/>
          <w:highlight w:val="lightGray"/>
          <w:lang w:eastAsia="zh-CN"/>
          <w14:textFill>
            <w14:solidFill>
              <w14:schemeClr w14:val="tx1"/>
            </w14:solidFill>
          </w14:textFill>
        </w:rPr>
      </w:pPr>
      <w:r>
        <w:rPr>
          <w:rFonts w:hint="eastAsia" w:ascii="仿宋" w:hAnsi="仿宋" w:eastAsia="仿宋" w:cs="仿宋"/>
          <w:b/>
          <w:bCs/>
          <w:color w:val="000000" w:themeColor="text1"/>
          <w:sz w:val="20"/>
          <w:szCs w:val="20"/>
          <w14:textFill>
            <w14:solidFill>
              <w14:schemeClr w14:val="tx1"/>
            </w14:solidFill>
          </w14:textFill>
        </w:rPr>
        <w:t xml:space="preserve">14. </w:t>
      </w: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提供检测日期≥28天，甲苯、乙苯释放量（mg/m³）和释放速率mg/(m²</w:t>
      </w:r>
      <w:r>
        <w:rPr>
          <w:rFonts w:hint="eastAsia" w:ascii="仿宋" w:hAnsi="仿宋" w:eastAsia="仿宋" w:cs="仿宋"/>
          <w:b/>
          <w:bCs/>
          <w:color w:val="000000" w:themeColor="text1"/>
          <w:sz w:val="20"/>
          <w:szCs w:val="20"/>
          <w:highlight w:val="none"/>
          <w14:textFill>
            <w14:solidFill>
              <w14:schemeClr w14:val="tx1"/>
            </w14:solidFill>
          </w14:textFill>
        </w:rPr>
        <w:t>·h)均未检出</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提供国家认可的第三方检测机构出具的检测报告复印件</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w:t>
      </w:r>
    </w:p>
    <w:p w14:paraId="473449B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highlight w:val="lightGray"/>
          <w14:textFill>
            <w14:solidFill>
              <w14:schemeClr w14:val="tx1"/>
            </w14:solidFill>
          </w14:textFill>
        </w:rPr>
      </w:pPr>
      <w:r>
        <w:rPr>
          <w:rFonts w:hint="eastAsia" w:ascii="仿宋" w:hAnsi="仿宋" w:eastAsia="仿宋" w:cs="仿宋"/>
          <w:b/>
          <w:bCs/>
          <w:color w:val="000000" w:themeColor="text1"/>
          <w:sz w:val="20"/>
          <w:szCs w:val="20"/>
          <w14:textFill>
            <w14:solidFill>
              <w14:schemeClr w14:val="tx1"/>
            </w14:solidFill>
          </w14:textFill>
        </w:rPr>
        <w:t xml:space="preserve">15. </w:t>
      </w: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提供耐酸耐碱循环处理（检测周期≥6000h），阻燃性达到Ⅰ级阻燃，耐磨性≤4g，抗滑值80-110</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提供国家认可的第三方检测机构出具的检测报告复印件</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w:t>
      </w:r>
    </w:p>
    <w:p w14:paraId="59C7930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14:textFill>
            <w14:solidFill>
              <w14:schemeClr w14:val="tx1"/>
            </w14:solidFill>
          </w14:textFill>
        </w:rPr>
        <w:t xml:space="preserve">16. </w:t>
      </w: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提供耐环境应力开裂（检测起止日期≥6000h），达到破裂率0%</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提供国家认可的第三方检测机构出具的检测报告复印件</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w:t>
      </w:r>
    </w:p>
    <w:p w14:paraId="6085C26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14:textFill>
            <w14:solidFill>
              <w14:schemeClr w14:val="tx1"/>
            </w14:solidFill>
          </w14:textFill>
        </w:rPr>
        <w:t xml:space="preserve">17. </w:t>
      </w: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提供耐人工气候（透过窗玻璃）老化（检测日期≥10000h），冲击吸收≥20%，抗滑值(20℃)/BPN 80-110（干测）</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提供国家认可的第三方检测机构出具的检测报告复印件</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w:t>
      </w:r>
    </w:p>
    <w:p w14:paraId="618C2ED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lang w:val="en-US" w:eastAsia="zh-CN"/>
          <w14:textFill>
            <w14:solidFill>
              <w14:schemeClr w14:val="tx1"/>
            </w14:solidFill>
          </w14:textFill>
        </w:rPr>
        <w:t>（二）</w:t>
      </w:r>
      <w:r>
        <w:rPr>
          <w:rFonts w:hint="eastAsia" w:ascii="仿宋" w:hAnsi="仿宋" w:eastAsia="仿宋" w:cs="仿宋"/>
          <w:b/>
          <w:bCs/>
          <w:color w:val="000000" w:themeColor="text1"/>
          <w:sz w:val="20"/>
          <w:szCs w:val="20"/>
          <w14:textFill>
            <w14:solidFill>
              <w14:schemeClr w14:val="tx1"/>
            </w14:solidFill>
          </w14:textFill>
        </w:rPr>
        <w:t>丙烯酸运动地面</w:t>
      </w:r>
    </w:p>
    <w:p w14:paraId="6DAFCF9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1. 邵氏硬度70-90度（邵A）</w:t>
      </w:r>
    </w:p>
    <w:p w14:paraId="5A83409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2. 拉伸强度≥1.5MPa</w:t>
      </w:r>
    </w:p>
    <w:p w14:paraId="72F7DFC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3. 拉断伸长率≥120%</w:t>
      </w:r>
    </w:p>
    <w:p w14:paraId="18BEA2B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4. 面质量偏差≤±3%</w:t>
      </w:r>
    </w:p>
    <w:p w14:paraId="01A5F06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5. 加热尺寸变化率（纵向，横向）≤0.4%</w:t>
      </w:r>
    </w:p>
    <w:p w14:paraId="14F6617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6. 耐磨性T级，体积损失≤2.0mm³</w:t>
      </w:r>
    </w:p>
    <w:p w14:paraId="3A4A3BC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7. 焊接强度，平均值≥500N/50mm；最小值≥400N/50mm</w:t>
      </w:r>
    </w:p>
    <w:p w14:paraId="7C4F63D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8. 防滑性(湿法)≥0.6</w:t>
      </w:r>
    </w:p>
    <w:p w14:paraId="6A46E99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9. 灰分含量≤0.2%</w:t>
      </w:r>
    </w:p>
    <w:p w14:paraId="0CBC7D9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10. 阻燃性：Ⅰ级</w:t>
      </w:r>
    </w:p>
    <w:p w14:paraId="208276C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11. 可溶性重金属铅含量≤20mg/㎡</w:t>
      </w:r>
    </w:p>
    <w:p w14:paraId="4505B50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12. 可溶性重金属镉含量≤20mg/㎡</w:t>
      </w:r>
    </w:p>
    <w:p w14:paraId="0226ED8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 xml:space="preserve">13. 氯乙烯含量：未检出 </w:t>
      </w:r>
    </w:p>
    <w:p w14:paraId="19B2B13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14:textFill>
            <w14:solidFill>
              <w14:schemeClr w14:val="tx1"/>
            </w14:solidFill>
          </w14:textFill>
        </w:rPr>
        <w:t xml:space="preserve">14. </w:t>
      </w: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提供检测日期≥28天，甲苯、乙苯释放量（mg/m³）和释放速率mg/(m²·h)均未检出</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提供国家认可的第三方检测机构出具的检测报告复印件</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w:t>
      </w:r>
    </w:p>
    <w:p w14:paraId="765D34B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14:textFill>
            <w14:solidFill>
              <w14:schemeClr w14:val="tx1"/>
            </w14:solidFill>
          </w14:textFill>
        </w:rPr>
        <w:t xml:space="preserve">15. </w:t>
      </w: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提供耐酸耐碱循环处理（检测周期≥6000h），阻燃性达到Ⅰ级阻燃，耐磨性≤4g，抗滑值80-</w:t>
      </w:r>
      <w:r>
        <w:rPr>
          <w:rFonts w:hint="eastAsia" w:ascii="仿宋" w:hAnsi="仿宋" w:eastAsia="仿宋" w:cs="仿宋"/>
          <w:b/>
          <w:bCs/>
          <w:color w:val="000000" w:themeColor="text1"/>
          <w:sz w:val="20"/>
          <w:szCs w:val="20"/>
          <w:highlight w:val="none"/>
          <w14:textFill>
            <w14:solidFill>
              <w14:schemeClr w14:val="tx1"/>
            </w14:solidFill>
          </w14:textFill>
        </w:rPr>
        <w:t>110</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提供国家认可的第三方检测机构出具的检测报告复印件</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w:t>
      </w:r>
    </w:p>
    <w:p w14:paraId="436E99D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14:textFill>
            <w14:solidFill>
              <w14:schemeClr w14:val="tx1"/>
            </w14:solidFill>
          </w14:textFill>
        </w:rPr>
        <w:t xml:space="preserve">16. </w:t>
      </w: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提供耐环境应力开裂（检测起止日期≥6000h），达到破裂率0%</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提供国家认可的第三方检测机构出具的检测报告复印件</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w:t>
      </w:r>
    </w:p>
    <w:p w14:paraId="21646F1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14:textFill>
            <w14:solidFill>
              <w14:schemeClr w14:val="tx1"/>
            </w14:solidFill>
          </w14:textFill>
        </w:rPr>
        <w:t xml:space="preserve">17. </w:t>
      </w: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提供耐人工气候（透过窗玻璃）老化（检测日期≥10000h），冲击吸收≥20%，抗滑值(20℃)/BPN 80-110（干测）</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提供国家认可的第三方检测机构出具的检测报告复印件</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w:t>
      </w:r>
    </w:p>
    <w:p w14:paraId="2F4B00A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lang w:val="en-US" w:eastAsia="zh-CN"/>
          <w14:textFill>
            <w14:solidFill>
              <w14:schemeClr w14:val="tx1"/>
            </w14:solidFill>
          </w14:textFill>
        </w:rPr>
        <w:t>（三）</w:t>
      </w:r>
      <w:r>
        <w:rPr>
          <w:rFonts w:hint="eastAsia" w:ascii="仿宋" w:hAnsi="仿宋" w:eastAsia="仿宋" w:cs="仿宋"/>
          <w:b/>
          <w:bCs/>
          <w:color w:val="000000" w:themeColor="text1"/>
          <w:sz w:val="20"/>
          <w:szCs w:val="20"/>
          <w14:textFill>
            <w14:solidFill>
              <w14:schemeClr w14:val="tx1"/>
            </w14:solidFill>
          </w14:textFill>
        </w:rPr>
        <w:t>减震橡胶地面</w:t>
      </w:r>
    </w:p>
    <w:p w14:paraId="0E732C1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产品名称：地垫</w:t>
      </w:r>
    </w:p>
    <w:p w14:paraId="2630764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材质：高弹性EPDM/SBR聚合物</w:t>
      </w:r>
      <w:r>
        <w:rPr>
          <w:rFonts w:hint="eastAsia" w:ascii="仿宋" w:hAnsi="仿宋" w:eastAsia="仿宋" w:cs="仿宋"/>
          <w:b w:val="0"/>
          <w:bCs w:val="0"/>
          <w:color w:val="000000" w:themeColor="text1"/>
          <w:sz w:val="20"/>
          <w:szCs w:val="20"/>
          <w14:textFill>
            <w14:solidFill>
              <w14:schemeClr w14:val="tx1"/>
            </w14:solidFill>
          </w14:textFill>
        </w:rPr>
        <w:tab/>
      </w:r>
    </w:p>
    <w:p w14:paraId="4A808FF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lang w:eastAsia="zh-CN"/>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1、橡胶地垫依据GB 18587-2001检测总挥发性有机化合物（TVOC）[mg/（㎡·h）]≤0.45，甲醛[mg/（㎡·h）]≤0.018，4-苯基环已烯含量为未检出</w:t>
      </w:r>
      <w:r>
        <w:rPr>
          <w:rFonts w:hint="eastAsia" w:ascii="仿宋" w:hAnsi="仿宋" w:eastAsia="仿宋" w:cs="仿宋"/>
          <w:b w:val="0"/>
          <w:bCs w:val="0"/>
          <w:color w:val="000000" w:themeColor="text1"/>
          <w:sz w:val="20"/>
          <w:szCs w:val="20"/>
          <w:lang w:eastAsia="zh-CN"/>
          <w14:textFill>
            <w14:solidFill>
              <w14:schemeClr w14:val="tx1"/>
            </w14:solidFill>
          </w14:textFill>
        </w:rPr>
        <w:t>。</w:t>
      </w:r>
    </w:p>
    <w:p w14:paraId="47E389B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2、橡胶地垫依据HG/T 3747.1-2011《橡塑铺地材料 第1部分 橡胶地板》标准进行检测，</w:t>
      </w:r>
      <w:r>
        <w:rPr>
          <w:rFonts w:hint="eastAsia" w:ascii="仿宋" w:hAnsi="仿宋" w:eastAsia="仿宋" w:cs="仿宋"/>
          <w:b/>
          <w:bCs/>
          <w:color w:val="000000" w:themeColor="text1"/>
          <w:sz w:val="20"/>
          <w:szCs w:val="20"/>
          <w14:textFill>
            <w14:solidFill>
              <w14:schemeClr w14:val="tx1"/>
            </w14:solidFill>
          </w14:textFill>
        </w:rPr>
        <w:t>尺寸偏差</w:t>
      </w:r>
      <w:r>
        <w:rPr>
          <w:rFonts w:hint="eastAsia" w:ascii="仿宋" w:hAnsi="仿宋" w:eastAsia="仿宋" w:cs="仿宋"/>
          <w:b w:val="0"/>
          <w:bCs w:val="0"/>
          <w:color w:val="000000" w:themeColor="text1"/>
          <w:sz w:val="20"/>
          <w:szCs w:val="20"/>
          <w14:textFill>
            <w14:solidFill>
              <w14:schemeClr w14:val="tx1"/>
            </w14:solidFill>
          </w14:textFill>
        </w:rPr>
        <w:t>、抗弯曲性能、脆性温度指标均满足规范要求：长度偏差≤±0.15%，宽度偏差≤±0.15%，厚度偏差≤±0.20mm；抗弯曲性能为无裂纹；脆性温度为-50℃无破坏。</w:t>
      </w:r>
    </w:p>
    <w:p w14:paraId="5495C9E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3、橡胶地垫依据GB/T 19889.8-2006检测橡胶地垫成品计权撞击声压级改善量△LW≥19dB。</w:t>
      </w:r>
    </w:p>
    <w:p w14:paraId="0A3A52F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b w:val="0"/>
          <w:bCs w:val="0"/>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4、橡胶地垫依据HG/T 3747.1-2011《橡塑铺地材料第1部分:橡胶地板》检测地垫耐磨性能（相对体积磨耗量）≤160mm3,耐人造光色牢度≥3级。</w:t>
      </w:r>
    </w:p>
    <w:p w14:paraId="5CA5C0E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lang w:val="en-US" w:eastAsia="zh-CN"/>
          <w14:textFill>
            <w14:solidFill>
              <w14:schemeClr w14:val="tx1"/>
            </w14:solidFill>
          </w14:textFill>
        </w:rPr>
        <w:t>（四）</w:t>
      </w:r>
      <w:r>
        <w:rPr>
          <w:rFonts w:hint="eastAsia" w:ascii="仿宋" w:hAnsi="仿宋" w:eastAsia="仿宋" w:cs="仿宋"/>
          <w:b/>
          <w:bCs/>
          <w:color w:val="000000" w:themeColor="text1"/>
          <w:sz w:val="20"/>
          <w:szCs w:val="20"/>
          <w14:textFill>
            <w14:solidFill>
              <w14:schemeClr w14:val="tx1"/>
            </w14:solidFill>
          </w14:textFill>
        </w:rPr>
        <w:t>镜面及玻璃</w:t>
      </w:r>
    </w:p>
    <w:p w14:paraId="1177E8A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产品用于室内过道玻璃隔墙，不作防火分隔使用；采用透明钢化安全玻璃及配套框架、五金和密封材料。</w:t>
      </w:r>
    </w:p>
    <w:p w14:paraId="3E9EDF9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钢化玻璃公称厚度≥12 mm。最终厚度、分格尺寸、最大使用面积及支承方式应结合现场洞口尺寸、玻璃长宽比、支承条件和人员冲击风险进行受力验算，并符合JGJ 113《建筑玻璃应用技术规程》的现行规定；验算结果不得降低12 mm的最低厚度要求。</w:t>
      </w:r>
    </w:p>
    <w:p w14:paraId="6F8A49F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玻璃原片应符合GB 11614《平板玻璃》现行规定；钢化玻璃应符合GB 15763.2《建筑用安全玻璃 第2部分：钢化玻璃》现行规定。</w:t>
      </w:r>
    </w:p>
    <w:p w14:paraId="6118051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钢化</w:t>
      </w:r>
      <w:r>
        <w:rPr>
          <w:rFonts w:hint="eastAsia" w:ascii="仿宋" w:hAnsi="仿宋" w:eastAsia="仿宋" w:cs="仿宋"/>
          <w:b w:val="0"/>
          <w:bCs w:val="0"/>
          <w:color w:val="000000" w:themeColor="text1"/>
          <w:sz w:val="20"/>
          <w:szCs w:val="20"/>
          <w:highlight w:val="none"/>
          <w14:textFill>
            <w14:solidFill>
              <w14:schemeClr w14:val="tx1"/>
            </w14:solidFill>
          </w14:textFill>
        </w:rPr>
        <w:t>玻璃应具有清晰、永久的安全玻璃标识，并取得国家强制性产品认证（CCC）。</w:t>
      </w:r>
      <w:r>
        <w:rPr>
          <w:rFonts w:hint="eastAsia" w:ascii="仿宋" w:hAnsi="仿宋" w:eastAsia="仿宋" w:cs="仿宋"/>
          <w:b w:val="0"/>
          <w:bCs w:val="0"/>
          <w:color w:val="000000" w:themeColor="text1"/>
          <w:sz w:val="20"/>
          <w:szCs w:val="20"/>
          <w14:textFill>
            <w14:solidFill>
              <w14:schemeClr w14:val="tx1"/>
            </w14:solidFill>
          </w14:textFill>
        </w:rPr>
        <w:t>所供产品规格应在认证证书及型式试验覆盖范围内。</w:t>
      </w:r>
    </w:p>
    <w:p w14:paraId="2B40A3E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玻璃厚度偏差、尺寸偏差、外观质量、弯曲度、抗冲击性和碎片状态均应符合GB 15763.2的规定。</w:t>
      </w:r>
    </w:p>
    <w:p w14:paraId="64DF286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玻璃表面不得有裂纹、爆边、明显划伤、麻点、气泡、夹杂物、结石等影响安全和观感的缺陷；外露边应进行精磨边处理。</w:t>
      </w:r>
    </w:p>
    <w:p w14:paraId="533FEEF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玻璃开孔、切角、磨边等加工应在钢化前完成。钢化完成后严禁进行切割、钻孔或可能破坏玻璃强度的二次加工。</w:t>
      </w:r>
    </w:p>
    <w:p w14:paraId="2DFA755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隔墙框架宜采用6063-T5铝合金型材或经防腐处理的钢型材。铝合金主要受力型材实测壁厚≥1.5 mm；型材截面、壁厚、跨度、连接节点和固定间距应通过受力验算确定，壁厚要求不得替代整体承载及变形验算。</w:t>
      </w:r>
    </w:p>
    <w:p w14:paraId="407BCC2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五金连接件、地槽、压板及紧固件应与玻璃重量和安装方式匹配；外露五金采用304不锈钢或性能不低于其耐腐蚀性的材料。</w:t>
      </w:r>
    </w:p>
    <w:p w14:paraId="42D8212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玻璃与金属槽口、硬质构件之间应设置连续弹性垫块或胶条，严禁玻璃与金属直接硬接触。承重垫块的位置、数量和硬度应符合JGJ 113《建筑玻璃应用技术规程》的现行规定。</w:t>
      </w:r>
    </w:p>
    <w:p w14:paraId="315CEF7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密封材料应采用中性硅酮建筑密封胶，并符合GB/T 14683《硅酮和改性硅酮建筑密封胶》的现行规定；密封胶与玻璃、型材之间应具有相容性。</w:t>
      </w:r>
    </w:p>
    <w:p w14:paraId="10B7A00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隔墙安装应牢固、横平竖直，玻璃受力均匀。立面垂直度≤2 mm，表面平整度≤2 mm，接缝直线度≤2 mm；检验长度按现行验收规范执行。</w:t>
      </w:r>
    </w:p>
    <w:p w14:paraId="7671860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人员通行区域的透明玻璃应在视线高度设置醒目的防碰撞标识。标识应牢固、连续或间隔均匀，不得因日常清洁轻易脱落。</w:t>
      </w:r>
    </w:p>
    <w:p w14:paraId="6E52591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b w:val="0"/>
          <w:bCs w:val="0"/>
          <w:color w:val="000000" w:themeColor="text1"/>
          <w:sz w:val="20"/>
          <w:szCs w:val="20"/>
          <w:highlight w:val="none"/>
          <w14:textFill>
            <w14:solidFill>
              <w14:schemeClr w14:val="tx1"/>
            </w14:solidFill>
          </w14:textFill>
        </w:rPr>
        <w:t>玻璃隔墙与地面、墙体及顶棚的连接节点应满足防松动、防脱落要求；不得将未经核验承载能力的装饰吊顶作为主要受力支承。</w:t>
      </w:r>
    </w:p>
    <w:p w14:paraId="243F4D1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提供钢化玻璃有效的CCC认证证书，证书中的生产企业、产品名称和规格范围应与所供产品一致。</w:t>
      </w:r>
    </w:p>
    <w:p w14:paraId="50FA88F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提供国家认可的第三方检测机构出具的检测报告复印件</w:t>
      </w:r>
      <w:r>
        <w:rPr>
          <w:rFonts w:hint="eastAsia" w:ascii="仿宋" w:hAnsi="仿宋" w:eastAsia="仿宋" w:cs="仿宋"/>
          <w:b w:val="0"/>
          <w:bCs w:val="0"/>
          <w:color w:val="000000" w:themeColor="text1"/>
          <w:sz w:val="20"/>
          <w:szCs w:val="20"/>
          <w:highlight w:val="none"/>
          <w14:textFill>
            <w14:solidFill>
              <w14:schemeClr w14:val="tx1"/>
            </w14:solidFill>
          </w14:textFill>
        </w:rPr>
        <w:t>。报告中玻璃的公称厚度、品种和钢化工艺应与本项目供货</w:t>
      </w:r>
      <w:r>
        <w:rPr>
          <w:rFonts w:hint="eastAsia" w:ascii="仿宋" w:hAnsi="仿宋" w:eastAsia="仿宋" w:cs="仿宋"/>
          <w:b w:val="0"/>
          <w:bCs w:val="0"/>
          <w:color w:val="000000" w:themeColor="text1"/>
          <w:sz w:val="20"/>
          <w:szCs w:val="20"/>
          <w14:textFill>
            <w14:solidFill>
              <w14:schemeClr w14:val="tx1"/>
            </w14:solidFill>
          </w14:textFill>
        </w:rPr>
        <w:t>产品一致，不</w:t>
      </w:r>
      <w:r>
        <w:rPr>
          <w:rFonts w:hint="eastAsia" w:ascii="仿宋" w:hAnsi="仿宋" w:eastAsia="仿宋" w:cs="仿宋"/>
          <w:b w:val="0"/>
          <w:bCs w:val="0"/>
          <w:color w:val="000000" w:themeColor="text1"/>
          <w:sz w:val="20"/>
          <w:szCs w:val="20"/>
          <w:highlight w:val="none"/>
          <w14:textFill>
            <w14:solidFill>
              <w14:schemeClr w14:val="tx1"/>
            </w14:solidFill>
          </w14:textFill>
        </w:rPr>
        <w:t>得以其他厚度或不同构造产品的报告替代。</w:t>
      </w:r>
    </w:p>
    <w:p w14:paraId="528CF97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FF0000"/>
          <w:sz w:val="20"/>
          <w:szCs w:val="20"/>
          <w:highlight w:val="none"/>
          <w:lang w:eastAsia="zh-CN"/>
        </w:rPr>
      </w:pP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提供主要受力型材材质、壁厚证明，以及密封胶产品合格证。</w:t>
      </w:r>
    </w:p>
    <w:p w14:paraId="2BD5FEE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供货前应提交玻璃分格图、节点图和现场尺寸复核记录，经采购人确认后加工；因未复核尺寸造成的返工由供应商承担。</w:t>
      </w:r>
    </w:p>
    <w:p w14:paraId="7742166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安装完成后应进行外观、尺寸偏差、连接牢固度和防碰撞措施验收。存在裂纹、爆边、明显划伤、松动或异响的玻璃不得交付使用。</w:t>
      </w:r>
    </w:p>
    <w:p w14:paraId="3FA9185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lang w:val="en-US" w:eastAsia="zh-CN"/>
          <w14:textFill>
            <w14:solidFill>
              <w14:schemeClr w14:val="tx1"/>
            </w14:solidFill>
          </w14:textFill>
        </w:rPr>
        <w:t>（五）</w:t>
      </w:r>
      <w:r>
        <w:rPr>
          <w:rFonts w:hint="eastAsia" w:ascii="仿宋" w:hAnsi="仿宋" w:eastAsia="仿宋" w:cs="仿宋"/>
          <w:b/>
          <w:bCs/>
          <w:color w:val="000000" w:themeColor="text1"/>
          <w:sz w:val="20"/>
          <w:szCs w:val="20"/>
          <w14:textFill>
            <w14:solidFill>
              <w14:schemeClr w14:val="tx1"/>
            </w14:solidFill>
          </w14:textFill>
        </w:rPr>
        <w:t>攀岩墙专项要求</w:t>
      </w:r>
    </w:p>
    <w:p w14:paraId="0E75FA1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产品用于成人室内抱石训练。为控制建设及后期维护费用，采用无顶绳、无自动保护器的抱石墙方案，并配置连续缓冲垫。</w:t>
      </w:r>
    </w:p>
    <w:p w14:paraId="4C16E89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抱石墙有效攀爬高度及造型按现场条件确定，墙体最高攀爬点距缓冲垫表面不宜超过4.0 m，结构总高度不得超过现行标准对抱石结构的限值。</w:t>
      </w:r>
    </w:p>
    <w:p w14:paraId="30EF775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抱石场所开放条件和安全管理应符合GB 19079.4《体育场所开放条件与技术要求 第4部分：攀岩场所》的现行规定；人工抱石结构的设计、制造、安装、检验及落地区设置应符合EN 12572-2的现行规定。采用其他标准时，应提供安全性能不低于上述标准的等效性说明。</w:t>
      </w:r>
    </w:p>
    <w:p w14:paraId="448E6FC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攀岩墙应由具备相应设计和施工能力的单位深化设计。深化图应包含墙体立面、钢结构、面板分块、连接节点、岩点布置、缓冲区和安全净空。</w:t>
      </w:r>
    </w:p>
    <w:p w14:paraId="5E18F15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主体钢骨架采用Q235B及以上性能钢材，材质应符合GB/T 700《碳素结构钢》现行规定。构件规格、间距和节点应经结构计算确定，不得以统一的最小管径代替受力设计。</w:t>
      </w:r>
    </w:p>
    <w:p w14:paraId="5715674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钢构件焊缝应连续、饱满，无裂纹、夹渣、焊瘤、烧穿和明显气孔；焊接完成后应清除焊渣并进行防锈处理。室内钢结构表面采用防锈底漆加耐磨面漆或静电喷塑处理。</w:t>
      </w:r>
    </w:p>
    <w:p w14:paraId="072D5E6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攀岩面板采用厚度≥18 mm的多层桦木胶合板或同等强度专用攀岩板。板材应无开裂、脱层、腐朽、明显翘曲和锐利毛刺。</w:t>
      </w:r>
    </w:p>
    <w:p w14:paraId="349F5C8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面板外露表面采用耐磨、防滑的环保涂层，颜色和颗粒应均匀；表面不得设置可能割伤、卡夹手指或勾挂衣物的突起和缝隙。</w:t>
      </w:r>
    </w:p>
    <w:p w14:paraId="7F86FBA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采用人造板材时，甲醛释放量应达到GB/T 39600规定的E0级及以上要求；室内装饰层燃烧性能按项目所在地消防及装饰设计要求执行。</w:t>
      </w:r>
    </w:p>
    <w:p w14:paraId="124E4E5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面板背部采用M10及以上规格防转动爪母或专用预埋螺母，安装应牢固、无松动。岩点孔宜按规则网格布置，中心间距不宜大于250 mm，以便后期低成本调整线路。</w:t>
      </w:r>
    </w:p>
    <w:p w14:paraId="5A8F471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岩点采用聚氨酯或性能不低于其强度和耐磨性的专用材料，表面防滑、无锐边、无贯穿裂纹。每批岩点应配套符合规格的高强度螺栓及防松措施。</w:t>
      </w:r>
    </w:p>
    <w:p w14:paraId="54E0199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岩点尺寸和难度应满足初级至中级成人训练，至少包含大、中、小不同尺寸；最终数量、线路和颜色按确认后的墙面面积及布点图配置。</w:t>
      </w:r>
    </w:p>
    <w:p w14:paraId="285407E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所有可触及连接件应采取防松、防转和防突出措施。螺栓端部、钢结构棱角及面板背部可能接触人员的位置应进行遮护或圆滑处理。</w:t>
      </w:r>
    </w:p>
    <w:p w14:paraId="7D940D2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落地区应铺设连续专用抱石缓冲垫。缓冲垫成品厚度≥300 mm，并采用多层不同密度发泡材料组合结构；其冲击衰减性能应与本项目最大可能跌落高度相匹配。垫体之间应可靠连接，使用时不得出现明显分缝、移位或异常下陷。厚度要求不得替代冲击衰减性能检验。</w:t>
      </w:r>
    </w:p>
    <w:p w14:paraId="1A146BB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缓冲垫覆盖范围应根据墙体高度、倾角、最外侧攀爬点和可能跌落轨迹确定，并符合EN 12572-2的现行规定。深化图必须标明墙前、两侧、转角及外挑部分对应的落地区边界和尺寸。墙体转角、立柱及相邻硬质构筑物应设置防碰撞软包。</w:t>
      </w:r>
    </w:p>
    <w:p w14:paraId="2A3614E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缓冲区内不得布置桌椅、器材、锐角构件及其他障碍物；墙体周边应设置安全使用说明、最大使用人数、禁止事项和日常检查标识。</w:t>
      </w:r>
    </w:p>
    <w:p w14:paraId="1E75E2E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提供钢材材质证明、攀岩面板厚度、岩点抗破坏性能等检测资料。人造板甲醛释放量应按GB 18580检验并达到GB/T 39600规定的E0级</w:t>
      </w:r>
      <w:r>
        <w:rPr>
          <w:rFonts w:hint="eastAsia" w:ascii="仿宋" w:hAnsi="仿宋" w:eastAsia="仿宋" w:cs="仿宋"/>
          <w:b/>
          <w:bCs/>
          <w:color w:val="000000" w:themeColor="text1"/>
          <w:sz w:val="20"/>
          <w:szCs w:val="20"/>
          <w:highlight w:val="none"/>
          <w14:textFill>
            <w14:solidFill>
              <w14:schemeClr w14:val="tx1"/>
            </w14:solidFill>
          </w14:textFill>
        </w:rPr>
        <w:t>及以上；缓冲垫应提供与本项目最大可能跌落高度相适应的冲击衰减性能</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的国家认可的第三方检测机构出具的检测报告复印件</w:t>
      </w:r>
      <w:r>
        <w:rPr>
          <w:rFonts w:hint="eastAsia" w:ascii="仿宋" w:hAnsi="仿宋" w:eastAsia="仿宋" w:cs="仿宋"/>
          <w:b w:val="0"/>
          <w:bCs w:val="0"/>
          <w:color w:val="000000" w:themeColor="text1"/>
          <w:sz w:val="20"/>
          <w:szCs w:val="20"/>
          <w:highlight w:val="none"/>
          <w14:textFill>
            <w14:solidFill>
              <w14:schemeClr w14:val="tx1"/>
            </w14:solidFill>
          </w14:textFill>
        </w:rPr>
        <w:t>。</w:t>
      </w:r>
    </w:p>
    <w:p w14:paraId="6591C91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投标时提供针对本项目的初步深化方案；施工前提供由设计责任</w:t>
      </w:r>
      <w:r>
        <w:rPr>
          <w:rFonts w:hint="eastAsia" w:ascii="仿宋" w:hAnsi="仿宋" w:eastAsia="仿宋" w:cs="仿宋"/>
          <w:b/>
          <w:bCs/>
          <w:color w:val="000000" w:themeColor="text1"/>
          <w:sz w:val="20"/>
          <w:szCs w:val="20"/>
          <w:highlight w:val="none"/>
          <w14:textFill>
            <w14:solidFill>
              <w14:schemeClr w14:val="tx1"/>
            </w14:solidFill>
          </w14:textFill>
        </w:rPr>
        <w:t>人签署的结构计算书、施工图和主要连接节点，不得仅提供通用产品彩页</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供应商提供承诺函</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w:t>
      </w:r>
    </w:p>
    <w:p w14:paraId="5361037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highlight w:val="none"/>
          <w:lang w:eastAsia="zh-CN"/>
          <w14:textFill>
            <w14:solidFill>
              <w14:schemeClr w14:val="tx1"/>
            </w14:solidFill>
          </w14:textFill>
        </w:rPr>
      </w:pP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安装完成后，由具有检验检测资质且能力范围覆盖相应项目的第三方机构，对主体结构、锚固连接、面板连接、岩点连接、缓冲垫、落地区边界和安全净空进行检验。检验报告应载明加载位置、试验荷载、保持时间、变形及卸载后状态，结论合格后方可投入使用。</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供应商提供承诺函</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p>
    <w:p w14:paraId="79FD990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供应商应提供使用维护手册，明确每日巡检、定期紧固、岩点更换、面板检查和缓冲垫维护周期，并对管理人员进行一次现场培训。</w:t>
      </w:r>
    </w:p>
    <w:p w14:paraId="29B380A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lang w:val="en-US" w:eastAsia="zh-CN"/>
          <w14:textFill>
            <w14:solidFill>
              <w14:schemeClr w14:val="tx1"/>
            </w14:solidFill>
          </w14:textFill>
        </w:rPr>
        <w:t>（六）</w:t>
      </w:r>
      <w:r>
        <w:rPr>
          <w:rFonts w:hint="eastAsia" w:ascii="仿宋" w:hAnsi="仿宋" w:eastAsia="仿宋" w:cs="仿宋"/>
          <w:b/>
          <w:bCs/>
          <w:color w:val="000000" w:themeColor="text1"/>
          <w:sz w:val="20"/>
          <w:szCs w:val="20"/>
          <w14:textFill>
            <w14:solidFill>
              <w14:schemeClr w14:val="tx1"/>
            </w14:solidFill>
          </w14:textFill>
        </w:rPr>
        <w:t>吊环、云梯和钢网</w:t>
      </w:r>
    </w:p>
    <w:p w14:paraId="44A81DB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产品用于成人室内体育训练，包含固定式吊环和固定式云梯。器材应按现场结构条件深化设计，确保主体结构、连接件和锚固基础共同满足承载要求。</w:t>
      </w:r>
    </w:p>
    <w:p w14:paraId="0B3D3C1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器材通用安全要求及试验方法应符合GB 17498.1《固定式健身器材 第1部分：通用安全要求和试验方法》的现行规定；钢材应符合GB/T 700《碳素结构钢》现行规定。</w:t>
      </w:r>
    </w:p>
    <w:p w14:paraId="3BA1836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主体钢结构采用Q235B及以上性能钢材。主立柱宜采用截面不小于60 mm×60 mm、壁厚≥3.0 mm的方管，或承载能力不低于该规格的圆管。上述规格仅为最低材料要求，最终截面、壁厚、跨度和节点必须以结构计算结果为准。</w:t>
      </w:r>
    </w:p>
    <w:p w14:paraId="5B1E594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主要横梁宜采用外径≥48 mm、壁厚≥3.0 mm的钢管或同等承载能力型材；云梯横杆采用外径32 mm~38 mm、壁厚≥2.5 mm的圆管。</w:t>
      </w:r>
    </w:p>
    <w:p w14:paraId="051AFD5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所有钢管端部应封闭。人体可触及部位应平滑、无毛刺、锐边、尖角和明显焊瘤；不得存在易夹手、夹头、勾挂衣物的危险间隙。</w:t>
      </w:r>
    </w:p>
    <w:p w14:paraId="5B35406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钢构件焊缝应连续、饱满，无裂纹、夹渣、烧穿和明显气孔。主要受力焊缝质量应进行检查，发现缺陷时应返修并重新检验。</w:t>
      </w:r>
    </w:p>
    <w:p w14:paraId="345EF93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钢结构表面应经除锈、防锈处理后静电喷塑，涂层厚度≥70 μm；涂层应均匀、附着牢固，无露底、流挂、起泡和明显色差。</w:t>
      </w:r>
    </w:p>
    <w:p w14:paraId="0C7579A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吊环环体采用桦木或性能不低于桦木的高强度复合材料，外径约235 mm、内径约180 mm、握持直径28 mm±1 mm，表面光滑、防滑、无开裂和毛刺。</w:t>
      </w:r>
    </w:p>
    <w:p w14:paraId="344BAFB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吊环吊带采用高强度耐磨织带，带宽≥38 mm，长度可调；调节扣、卸扣和连接件应具备防松脱结构。金属连接件采用镀锌钢或304不锈钢。</w:t>
      </w:r>
    </w:p>
    <w:p w14:paraId="37C5EFA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吊环安装后两环应处于同一水平面，中心间距宜为500 mm±20 mm；环体高度应可调，并满足成人训练及安全落地区要求。</w:t>
      </w:r>
    </w:p>
    <w:p w14:paraId="6D7BF76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吊环按单人使用设计，额定使用者质量≥120 kg。每个环体、吊带、调节扣、连接件及单个悬挂点均应能独立承受4.0 kN试验荷载；整套支撑结构应能承受两个悬挂点同时各施加3.0 kN的试验荷载。试验后不得出现裂纹、连接松动、功能失效或影响安全使用的永久变形。</w:t>
      </w:r>
    </w:p>
    <w:p w14:paraId="474B854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云梯有效训练宽度≥1200 mm，横杆中心间距宜为280 mm~320 mm，横杆排列应均匀；器材净高及首末端辅助上下结构按现场净高和成人使用要求确定。</w:t>
      </w:r>
    </w:p>
    <w:p w14:paraId="3C86647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云梯按单人使用设计，额定使用者质量≥120 kg。每根横杆应能承受3.0 kN试验荷载；整体横梁和支撑结构应能承受最不利位置两根横杆同时各施加2.0 kN的试验荷载。试验后横杆、横梁及连接节点不得出现裂纹、松动或影响安全使用的永久变形。</w:t>
      </w:r>
    </w:p>
    <w:p w14:paraId="348AC22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器材应与地面、墙体或顶部主体结构可靠连接。后置锚栓的类型、直径、数量、边距、间距和有效锚固深度应根据基材强度及受力计算确定，并符合JGJ 145《混凝土结构后锚固技术规程》的现行规定。严禁固定在装饰吊顶、轻质隔墙或无可靠承载能力的基层上。</w:t>
      </w:r>
    </w:p>
    <w:p w14:paraId="481AD1E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安装前应对楼板、梁、墙体等既有结构进行核验。既有结构条件不能满足要求时，应增设独立钢结构或基础，不得通过增加锚栓数量替代承载能力核验。</w:t>
      </w:r>
    </w:p>
    <w:p w14:paraId="5DB9192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吊环及云梯下方应设置连续运动防护垫，厚度和冲击吸收性能应与器材高度和训练方式匹配；防护垫使用时不得明显滑移或形成危险缝隙。</w:t>
      </w:r>
    </w:p>
    <w:p w14:paraId="79C8DE1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器材四周应留有安全净空，不得与门窗、灯具、消防设施、墙角及其他器材发生碰撞；具体净空尺寸应在深化图中标明。</w:t>
      </w:r>
    </w:p>
    <w:p w14:paraId="41F183B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提供</w:t>
      </w:r>
      <w:r>
        <w:rPr>
          <w:rFonts w:hint="eastAsia" w:ascii="仿宋" w:hAnsi="仿宋" w:eastAsia="仿宋" w:cs="仿宋"/>
          <w:b/>
          <w:bCs/>
          <w:color w:val="000000" w:themeColor="text1"/>
          <w:sz w:val="20"/>
          <w:szCs w:val="20"/>
          <w:highlight w:val="none"/>
          <w14:textFill>
            <w14:solidFill>
              <w14:schemeClr w14:val="tx1"/>
            </w14:solidFill>
          </w14:textFill>
        </w:rPr>
        <w:t>钢材材质证明、钢管规格和壁厚检测资料，以及表面涂层厚度和附着力的</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国家认可的第三方检测机构出具的检测报告复印件</w:t>
      </w:r>
      <w:r>
        <w:rPr>
          <w:rFonts w:hint="eastAsia" w:ascii="仿宋" w:hAnsi="仿宋" w:eastAsia="仿宋" w:cs="仿宋"/>
          <w:b w:val="0"/>
          <w:bCs w:val="0"/>
          <w:color w:val="000000" w:themeColor="text1"/>
          <w:sz w:val="20"/>
          <w:szCs w:val="20"/>
          <w:highlight w:val="none"/>
          <w14:textFill>
            <w14:solidFill>
              <w14:schemeClr w14:val="tx1"/>
            </w14:solidFill>
          </w14:textFill>
        </w:rPr>
        <w:t>。</w:t>
      </w:r>
    </w:p>
    <w:p w14:paraId="620CFCF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提供吊环</w:t>
      </w:r>
      <w:r>
        <w:rPr>
          <w:rFonts w:hint="eastAsia" w:ascii="仿宋" w:hAnsi="仿宋" w:eastAsia="仿宋" w:cs="仿宋"/>
          <w:b/>
          <w:bCs/>
          <w:color w:val="000000" w:themeColor="text1"/>
          <w:sz w:val="20"/>
          <w:szCs w:val="20"/>
          <w:highlight w:val="none"/>
          <w14:textFill>
            <w14:solidFill>
              <w14:schemeClr w14:val="tx1"/>
            </w14:solidFill>
          </w14:textFill>
        </w:rPr>
        <w:t>环体、吊带、调节扣、连接件及云梯横杆的材料或成品承载性能</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的国家认可的第三方检测机构出具的检测报告复印件</w:t>
      </w:r>
      <w:r>
        <w:rPr>
          <w:rFonts w:hint="eastAsia" w:ascii="仿宋" w:hAnsi="仿宋" w:eastAsia="仿宋" w:cs="仿宋"/>
          <w:b w:val="0"/>
          <w:bCs w:val="0"/>
          <w:color w:val="000000" w:themeColor="text1"/>
          <w:sz w:val="20"/>
          <w:szCs w:val="20"/>
          <w:highlight w:val="none"/>
          <w14:textFill>
            <w14:solidFill>
              <w14:schemeClr w14:val="tx1"/>
            </w14:solidFill>
          </w14:textFill>
        </w:rPr>
        <w:t>；定制主体结构可</w:t>
      </w:r>
      <w:r>
        <w:rPr>
          <w:rFonts w:hint="eastAsia" w:ascii="仿宋" w:hAnsi="仿宋" w:eastAsia="仿宋" w:cs="仿宋"/>
          <w:b w:val="0"/>
          <w:bCs w:val="0"/>
          <w:color w:val="000000" w:themeColor="text1"/>
          <w:sz w:val="20"/>
          <w:szCs w:val="20"/>
          <w14:textFill>
            <w14:solidFill>
              <w14:schemeClr w14:val="tx1"/>
            </w14:solidFill>
          </w14:textFill>
        </w:rPr>
        <w:t>提供结构计算书、型式检验报告及安装后的现场荷载检验报告。</w:t>
      </w:r>
    </w:p>
    <w:p w14:paraId="25AFF1C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安装完成后应进行现场静载检验：吊环每个悬挂点分别加载4.0 kN，并在两个悬挂点同时各加载3.0 kN；云梯最不利横杆加载3.0 kN，并在最不利的两根横杆上同时各加载2.0 kN。每种工况保持不少于5 min。检验期间及卸载后不得出现裂纹、锚固松动、连接失效或影响安全使用的永久变形；后置锚固连接同时应按设计及JGJ 145要求进行现场抗拔检验。检验应由具有相应能力的第三方机构实施并出具报告，未经验收不得投入使用。</w:t>
      </w: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供应商提供承诺函）</w:t>
      </w:r>
    </w:p>
    <w:p w14:paraId="14E6466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供应商应提供产品合格证、安装图、使用说明和维护手册，并明确额定使用载荷、使用人数、紧固件复检周期和易损件更换要求。</w:t>
      </w:r>
    </w:p>
    <w:p w14:paraId="3847DE1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lang w:val="en-US" w:eastAsia="zh-CN"/>
          <w14:textFill>
            <w14:solidFill>
              <w14:schemeClr w14:val="tx1"/>
            </w14:solidFill>
          </w14:textFill>
        </w:rPr>
        <w:t>（七）</w:t>
      </w:r>
      <w:r>
        <w:rPr>
          <w:rFonts w:hint="eastAsia" w:ascii="仿宋" w:hAnsi="仿宋" w:eastAsia="仿宋" w:cs="仿宋"/>
          <w:b/>
          <w:bCs/>
          <w:color w:val="000000" w:themeColor="text1"/>
          <w:sz w:val="20"/>
          <w:szCs w:val="20"/>
          <w14:textFill>
            <w14:solidFill>
              <w14:schemeClr w14:val="tx1"/>
            </w14:solidFill>
          </w14:textFill>
        </w:rPr>
        <w:t>舞蹈栏杆</w:t>
      </w:r>
    </w:p>
    <w:p w14:paraId="5D5DAC6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产品用于室内舞蹈教学及训练，采用5 mm高清无铜镀银玻璃镜，背面满贴安全防爆膜。</w:t>
      </w:r>
    </w:p>
    <w:p w14:paraId="193B063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银镜基片应采用优等品平板玻璃，厚度允许偏差、外观质量和边部质量应符合GB 11614《平板玻璃》及GB/T 28804《无铜镀银玻璃镜》的现行规定。</w:t>
      </w:r>
    </w:p>
    <w:p w14:paraId="3B84621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镜面玻璃公称厚度5 mm；单块尺寸及分格应结合现场实测确定，排版应规整，并尽量减少影响使用的竖向接缝。</w:t>
      </w:r>
    </w:p>
    <w:p w14:paraId="2CFD7B3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镜面可见光反射率≥85%，色泽均匀；在正常使用距离内成像清晰，无肉眼可见的波纹、重影、明显畸变和色差。</w:t>
      </w:r>
    </w:p>
    <w:p w14:paraId="679C35D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镜面不得有裂纹、缺角、明显划伤、气泡、夹杂物、斑点、透底、针孔、脱银、发黑等影响使用的缺陷。</w:t>
      </w:r>
    </w:p>
    <w:p w14:paraId="6868D08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所有外露边应采用机器精磨边处理，边角顺直、光滑、无锋利棱角；需拼接的镜片边部不得存在崩边。</w:t>
      </w:r>
    </w:p>
    <w:p w14:paraId="1541546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镜背安全防爆膜采用PET材质，厚度≥0.12 mm，应连续满贴、无漏贴、明显气泡、翘边和褶皱。防爆膜应具有相应的拉伸、断裂伸长和粘着性能；最终安全性以银镜与防爆膜组合试件破碎后碎片保持性能为主要判定依据，膜厚不得作为唯一判定指标。</w:t>
      </w:r>
    </w:p>
    <w:p w14:paraId="50C19B1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镜背保护涂层应均匀、完整，具备耐湿热和耐腐蚀性能；安装时不得使用可能腐蚀镜背涂层的酸性胶。</w:t>
      </w:r>
    </w:p>
    <w:p w14:paraId="2932679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镜面基层应平整、干燥、牢固。采用人造板基层时，甲醛释放量应按GB 18580的现行规定检验，并达到GB/T 39600规定的E0级及以上要求。</w:t>
      </w:r>
    </w:p>
    <w:p w14:paraId="6730223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镜面粘接材料应为中性、无腐蚀、适用于银镜的专用镜面胶；有害物质限量应符合GB 18583《室内装饰装修材料 胶粘剂中有害物质限量》的现行规定。</w:t>
      </w:r>
    </w:p>
    <w:p w14:paraId="2F7D1FE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镜面安装应牢固可靠，并设置必要的托件或防坠构造，不得仅依靠普通双面胶固定。镜面胶的粘接点或粘接条应分布均匀，不得形成局部集中受力、松动、翘曲或影响成像的变形。</w:t>
      </w:r>
    </w:p>
    <w:p w14:paraId="000F312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镜面完成面应平整、垂直，相邻镜片高低差≤0.5 mm，拼缝宽度宜为2 mm~3 mm，接缝应顺直、均匀。</w:t>
      </w:r>
    </w:p>
    <w:p w14:paraId="2147FBD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镜面下沿高度、整体高度及收口方式按施工图和现场尺寸确定；外露收口材料应圆滑、牢固，不得形成割伤、碰伤风险。</w:t>
      </w:r>
    </w:p>
    <w:p w14:paraId="6EC6242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lang w:eastAsia="zh-CN"/>
          <w14:textFill>
            <w14:solidFill>
              <w14:schemeClr w14:val="tx1"/>
            </w14:solidFill>
          </w14:textFill>
        </w:rPr>
        <w:t>▲</w:t>
      </w:r>
      <w:r>
        <w:rPr>
          <w:rFonts w:hint="eastAsia" w:ascii="仿宋" w:hAnsi="仿宋" w:eastAsia="仿宋" w:cs="仿宋"/>
          <w:b/>
          <w:bCs/>
          <w:color w:val="000000" w:themeColor="text1"/>
          <w:sz w:val="20"/>
          <w:szCs w:val="20"/>
          <w14:textFill>
            <w14:solidFill>
              <w14:schemeClr w14:val="tx1"/>
            </w14:solidFill>
          </w14:textFill>
        </w:rPr>
        <w:t>提供</w:t>
      </w:r>
      <w:r>
        <w:rPr>
          <w:rFonts w:hint="eastAsia" w:ascii="仿宋" w:hAnsi="仿宋" w:eastAsia="仿宋" w:cs="仿宋"/>
          <w:b/>
          <w:bCs/>
          <w:color w:val="000000" w:themeColor="text1"/>
          <w:sz w:val="20"/>
          <w:szCs w:val="20"/>
          <w:highlight w:val="none"/>
          <w14:textFill>
            <w14:solidFill>
              <w14:schemeClr w14:val="tx1"/>
            </w14:solidFill>
          </w14:textFill>
        </w:rPr>
        <w:t>银镜厚度、可见光反射率、外观质量、耐湿热或耐腐蚀性能的</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国家认可的第三方检测机构出具的检测报告复印件</w:t>
      </w:r>
      <w:r>
        <w:rPr>
          <w:rFonts w:hint="eastAsia" w:ascii="仿宋" w:hAnsi="仿宋" w:eastAsia="仿宋" w:cs="仿宋"/>
          <w:b w:val="0"/>
          <w:bCs w:val="0"/>
          <w:color w:val="000000" w:themeColor="text1"/>
          <w:sz w:val="20"/>
          <w:szCs w:val="20"/>
          <w:highlight w:val="none"/>
          <w14:textFill>
            <w14:solidFill>
              <w14:schemeClr w14:val="tx1"/>
            </w14:solidFill>
          </w14:textFill>
        </w:rPr>
        <w:t>。报告送检产品应与所供产品的材质和厚度一致。</w:t>
      </w:r>
    </w:p>
    <w:p w14:paraId="6F412CA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提供安全防爆膜厚度、拉伸性能、断裂伸长率及粘着性能检测资料，并提供银镜与防爆膜组合试件破碎后碎片保持性能的</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国家认可的第三方检测机构出具的检测报告复印件</w:t>
      </w:r>
      <w:r>
        <w:rPr>
          <w:rFonts w:hint="eastAsia" w:ascii="仿宋" w:hAnsi="仿宋" w:eastAsia="仿宋" w:cs="仿宋"/>
          <w:b/>
          <w:bCs/>
          <w:color w:val="000000" w:themeColor="text1"/>
          <w:sz w:val="20"/>
          <w:szCs w:val="20"/>
          <w:highlight w:val="none"/>
          <w14:textFill>
            <w14:solidFill>
              <w14:schemeClr w14:val="tx1"/>
            </w14:solidFill>
          </w14:textFill>
        </w:rPr>
        <w:t>。报告应载明试件尺寸、玻璃和膜厚、冲击方式、冲击位置及碎片脱落情况；无法提供统一方法报告时，应按采购人确认的方案对封样组合试件进行破坏性验证。</w:t>
      </w:r>
    </w:p>
    <w:p w14:paraId="276EBDA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bCs/>
          <w:color w:val="000000" w:themeColor="text1"/>
          <w:sz w:val="20"/>
          <w:szCs w:val="20"/>
          <w:highlight w:val="none"/>
          <w:lang w:eastAsia="zh-CN"/>
          <w14:textFill>
            <w14:solidFill>
              <w14:schemeClr w14:val="tx1"/>
            </w14:solidFill>
          </w14:textFill>
        </w:rPr>
        <w:t>▲</w:t>
      </w:r>
      <w:r>
        <w:rPr>
          <w:rFonts w:hint="eastAsia" w:ascii="仿宋" w:hAnsi="仿宋" w:eastAsia="仿宋" w:cs="仿宋"/>
          <w:b/>
          <w:bCs/>
          <w:color w:val="000000" w:themeColor="text1"/>
          <w:sz w:val="20"/>
          <w:szCs w:val="20"/>
          <w:highlight w:val="none"/>
          <w14:textFill>
            <w14:solidFill>
              <w14:schemeClr w14:val="tx1"/>
            </w14:solidFill>
          </w14:textFill>
        </w:rPr>
        <w:t>提供镜面胶有害物质限量</w:t>
      </w: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国家认可的第三方检测机构出具的检测报告复印件</w:t>
      </w:r>
      <w:r>
        <w:rPr>
          <w:rFonts w:hint="eastAsia" w:ascii="仿宋" w:hAnsi="仿宋" w:eastAsia="仿宋" w:cs="仿宋"/>
          <w:b/>
          <w:bCs/>
          <w:color w:val="000000" w:themeColor="text1"/>
          <w:sz w:val="20"/>
          <w:szCs w:val="20"/>
          <w:highlight w:val="none"/>
          <w14:textFill>
            <w14:solidFill>
              <w14:schemeClr w14:val="tx1"/>
            </w14:solidFill>
          </w14:textFill>
        </w:rPr>
        <w:t>；采用</w:t>
      </w:r>
      <w:r>
        <w:rPr>
          <w:rFonts w:hint="eastAsia" w:ascii="仿宋" w:hAnsi="仿宋" w:eastAsia="仿宋" w:cs="仿宋"/>
          <w:b/>
          <w:bCs/>
          <w:color w:val="000000" w:themeColor="text1"/>
          <w:sz w:val="20"/>
          <w:szCs w:val="20"/>
          <w14:textFill>
            <w14:solidFill>
              <w14:schemeClr w14:val="tx1"/>
            </w14:solidFill>
          </w14:textFill>
        </w:rPr>
        <w:t>人造板基层时，同时提供按GB 18580检验的甲醛释放量报告，并证明达到GB/T 39600规定的E0级及以上。</w:t>
      </w:r>
    </w:p>
    <w:p w14:paraId="4BED0C2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供货前应提供银镜、防爆膜、镜面胶及收口材料样品，经采购人确认后方可批量供货及施工。</w:t>
      </w:r>
    </w:p>
    <w:p w14:paraId="55C48BE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0" w:firstLineChars="200"/>
        <w:textAlignment w:val="baseline"/>
        <w:rPr>
          <w:rFonts w:hint="eastAsia" w:ascii="仿宋" w:hAnsi="仿宋" w:eastAsia="仿宋" w:cs="仿宋"/>
          <w:color w:val="000000" w:themeColor="text1"/>
          <w:sz w:val="20"/>
          <w:szCs w:val="20"/>
          <w14:textFill>
            <w14:solidFill>
              <w14:schemeClr w14:val="tx1"/>
            </w14:solidFill>
          </w14:textFill>
        </w:rPr>
      </w:pPr>
      <w:r>
        <w:rPr>
          <w:rFonts w:hint="eastAsia" w:ascii="仿宋" w:hAnsi="仿宋" w:eastAsia="仿宋" w:cs="仿宋"/>
          <w:b w:val="0"/>
          <w:bCs w:val="0"/>
          <w:color w:val="000000" w:themeColor="text1"/>
          <w:sz w:val="20"/>
          <w:szCs w:val="20"/>
          <w14:textFill>
            <w14:solidFill>
              <w14:schemeClr w14:val="tx1"/>
            </w14:solidFill>
          </w14:textFill>
        </w:rPr>
        <w:t>安装完成后应逐块检查成像质量、拼缝、平整度、边角处理和固定牢固度；存在明显畸变、松动或安全隐患的镜片应更换。</w:t>
      </w:r>
    </w:p>
    <w:p w14:paraId="0842948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02" w:firstLineChars="200"/>
        <w:textAlignment w:val="baseline"/>
        <w:rPr>
          <w:rFonts w:hint="eastAsia" w:ascii="仿宋" w:hAnsi="仿宋" w:eastAsia="仿宋" w:cs="仿宋"/>
          <w:b/>
          <w:bCs/>
          <w:color w:val="000000" w:themeColor="text1"/>
          <w:sz w:val="20"/>
          <w:szCs w:val="20"/>
          <w:highlight w:val="none"/>
          <w:lang w:val="en-US" w:eastAsia="zh-CN"/>
          <w14:textFill>
            <w14:solidFill>
              <w14:schemeClr w14:val="tx1"/>
            </w14:solidFill>
          </w14:textFill>
        </w:rPr>
      </w:pPr>
      <w:r>
        <w:rPr>
          <w:rFonts w:hint="eastAsia" w:ascii="仿宋" w:hAnsi="仿宋" w:eastAsia="仿宋" w:cs="仿宋"/>
          <w:b/>
          <w:bCs/>
          <w:color w:val="000000" w:themeColor="text1"/>
          <w:sz w:val="20"/>
          <w:szCs w:val="20"/>
          <w:highlight w:val="none"/>
          <w:lang w:val="en-US" w:eastAsia="zh-CN"/>
          <w14:textFill>
            <w14:solidFill>
              <w14:schemeClr w14:val="tx1"/>
            </w14:solidFill>
          </w14:textFill>
        </w:rPr>
        <w:t>备注：1.本文件所引用的标准如有更新或替代，以采购公告发布时国家现行有效版本为准。</w:t>
      </w:r>
    </w:p>
    <w:p w14:paraId="4D4E79C7">
      <w:r>
        <w:rPr>
          <w:rFonts w:hint="eastAsia" w:ascii="仿宋" w:hAnsi="仿宋" w:eastAsia="仿宋" w:cs="仿宋"/>
          <w:b/>
          <w:bCs/>
          <w:color w:val="000000" w:themeColor="text1"/>
          <w:sz w:val="20"/>
          <w:szCs w:val="20"/>
          <w:highlight w:val="none"/>
          <w:lang w:val="en-US" w:eastAsia="zh-CN"/>
          <w14:textFill>
            <w14:solidFill>
              <w14:schemeClr w14:val="tx1"/>
            </w14:solidFill>
          </w14:textFill>
        </w:rPr>
        <w:t>2.带有“▲”的条款为重要技术参数，按要求提供相应佐证材料。</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01296F"/>
    <w:rsid w:val="390129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2026-07-09T05:39:00Z</dcterms:created>
  <dc:creator>德仁招标</dc:creator>
  <cp:lastModifiedBy>德仁招标</cp:lastModifiedBy>
  <dcterms:modified xsi:type="dcterms:W3CDTF">2026-07-09T05:39:41Z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90B436F621E54D229643D5A4B6F7869F_11</vt:lpwstr>
  </property>
  <property fmtid="{D5CDD505-2E9C-101B-9397-08002B2CF9AE}" pid="4" name="KSOTemplateDocerSaveRecord">
    <vt:lpwstr>eyJoZGlkIjoiNzNmNDZlOGE4YzBiODhkNTY3NTdiYjNiMTljZmEwZTciLCJ1c2VySWQiOiIyNzQ5OTcwMTQifQ==</vt:lpwstr>
  </property>
</Properties>
</file>