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193EB">
      <w:pPr>
        <w:spacing w:before="240" w:after="240" w:line="480" w:lineRule="auto"/>
        <w:jc w:val="left"/>
        <w:rPr>
          <w:rFonts w:ascii="宋体" w:hAnsi="宋体" w:cs="宋体"/>
          <w:b/>
          <w:kern w:val="0"/>
          <w:sz w:val="52"/>
          <w:szCs w:val="52"/>
        </w:rPr>
      </w:pPr>
      <w:r>
        <w:rPr>
          <w:rFonts w:hint="eastAsia" w:ascii="宋体" w:hAnsi="宋体" w:cs="宋体"/>
          <w:b/>
          <w:sz w:val="36"/>
          <w:szCs w:val="36"/>
          <w:bdr w:val="single" w:color="auto" w:sz="4" w:space="0"/>
          <w:shd w:val="pct10" w:color="auto" w:fill="FFFFFF"/>
        </w:rPr>
        <w:t>政府采购项目</w:t>
      </w:r>
      <w:r>
        <w:rPr>
          <w:rFonts w:hint="eastAsia" w:ascii="宋体" w:hAnsi="宋体" w:cs="宋体"/>
          <w:b/>
          <w:kern w:val="0"/>
          <w:sz w:val="52"/>
          <w:szCs w:val="52"/>
        </w:rPr>
        <w:t xml:space="preserve">   </w:t>
      </w:r>
    </w:p>
    <w:p w14:paraId="70B99B9D">
      <w:pPr>
        <w:tabs>
          <w:tab w:val="left" w:pos="7080"/>
        </w:tabs>
        <w:spacing w:before="156" w:beforeLines="50" w:line="800" w:lineRule="exact"/>
        <w:jc w:val="center"/>
        <w:rPr>
          <w:rFonts w:ascii="宋体" w:hAnsi="宋体" w:cs="宋体"/>
          <w:b/>
          <w:bCs/>
          <w:sz w:val="36"/>
          <w:szCs w:val="36"/>
        </w:rPr>
      </w:pPr>
    </w:p>
    <w:p w14:paraId="275DDBC8">
      <w:pPr>
        <w:jc w:val="center"/>
        <w:rPr>
          <w:rFonts w:hint="eastAsia" w:ascii="宋体" w:hAnsi="宋体" w:cs="宋体"/>
          <w:b/>
          <w:bCs/>
          <w:spacing w:val="20"/>
          <w:kern w:val="0"/>
          <w:sz w:val="48"/>
          <w:szCs w:val="48"/>
          <w:lang w:eastAsia="zh-CN"/>
        </w:rPr>
      </w:pPr>
      <w:r>
        <w:rPr>
          <w:rFonts w:hint="eastAsia" w:ascii="宋体" w:hAnsi="宋体" w:cs="宋体"/>
          <w:b/>
          <w:bCs/>
          <w:spacing w:val="20"/>
          <w:kern w:val="0"/>
          <w:sz w:val="48"/>
          <w:szCs w:val="48"/>
          <w:lang w:eastAsia="zh-CN"/>
        </w:rPr>
        <w:t>泾阳县县城吉元大街基础设施改造项目</w:t>
      </w:r>
    </w:p>
    <w:p w14:paraId="05452135">
      <w:pPr>
        <w:jc w:val="center"/>
        <w:rPr>
          <w:sz w:val="16"/>
          <w:szCs w:val="20"/>
        </w:rPr>
      </w:pPr>
      <w:r>
        <w:rPr>
          <w:rFonts w:hint="eastAsia" w:ascii="宋体" w:hAnsi="宋体" w:cs="宋体"/>
          <w:b/>
          <w:bCs/>
          <w:spacing w:val="20"/>
          <w:kern w:val="0"/>
          <w:sz w:val="48"/>
          <w:szCs w:val="48"/>
          <w:lang w:eastAsia="zh-CN"/>
        </w:rPr>
        <w:t>监理服务</w:t>
      </w:r>
    </w:p>
    <w:p w14:paraId="19574B02">
      <w:pPr>
        <w:spacing w:before="156" w:beforeLines="50" w:line="1200" w:lineRule="exact"/>
        <w:jc w:val="center"/>
        <w:outlineLvl w:val="0"/>
        <w:rPr>
          <w:rFonts w:ascii="宋体" w:hAnsi="宋体" w:cs="宋体"/>
          <w:b/>
          <w:sz w:val="32"/>
          <w:szCs w:val="32"/>
        </w:rPr>
      </w:pPr>
      <w:bookmarkStart w:id="0" w:name="_Toc441"/>
      <w:bookmarkStart w:id="1" w:name="_Toc16391"/>
      <w:bookmarkStart w:id="2" w:name="_Toc28600"/>
      <w:r>
        <w:rPr>
          <w:rFonts w:hint="eastAsia" w:ascii="宋体" w:hAnsi="宋体" w:cs="宋体"/>
          <w:b/>
          <w:bCs/>
          <w:spacing w:val="20"/>
          <w:kern w:val="0"/>
          <w:sz w:val="72"/>
          <w:szCs w:val="72"/>
        </w:rPr>
        <w:t>竞争性磋商文件</w:t>
      </w:r>
      <w:bookmarkEnd w:id="0"/>
      <w:bookmarkEnd w:id="1"/>
      <w:bookmarkEnd w:id="2"/>
      <w:bookmarkStart w:id="3" w:name="_Toc8797"/>
      <w:bookmarkStart w:id="4" w:name="_Toc10629"/>
    </w:p>
    <w:p w14:paraId="2E16B1E4">
      <w:pPr>
        <w:spacing w:before="156" w:beforeLines="50" w:line="600" w:lineRule="auto"/>
        <w:jc w:val="center"/>
        <w:outlineLvl w:val="0"/>
        <w:rPr>
          <w:rFonts w:hint="eastAsia" w:ascii="宋体" w:hAnsi="宋体" w:eastAsia="宋体" w:cs="宋体"/>
          <w:sz w:val="18"/>
          <w:szCs w:val="18"/>
          <w:lang w:eastAsia="zh-CN"/>
        </w:rPr>
      </w:pPr>
      <w:bookmarkStart w:id="5" w:name="_Toc14239"/>
      <w:r>
        <w:rPr>
          <w:rFonts w:hint="eastAsia" w:ascii="宋体" w:hAnsi="宋体" w:cs="宋体"/>
          <w:b/>
          <w:sz w:val="32"/>
          <w:szCs w:val="32"/>
        </w:rPr>
        <w:t>项目编号:</w:t>
      </w:r>
      <w:bookmarkEnd w:id="3"/>
      <w:bookmarkEnd w:id="4"/>
      <w:bookmarkEnd w:id="5"/>
      <w:r>
        <w:rPr>
          <w:rFonts w:hint="eastAsia" w:ascii="宋体" w:hAnsi="宋体" w:cs="宋体"/>
          <w:b/>
          <w:sz w:val="32"/>
          <w:szCs w:val="32"/>
          <w:lang w:eastAsia="zh-CN"/>
        </w:rPr>
        <w:t>XH-2026-008</w:t>
      </w:r>
    </w:p>
    <w:p w14:paraId="2BB3A2AD">
      <w:pPr>
        <w:spacing w:line="480" w:lineRule="auto"/>
        <w:jc w:val="center"/>
        <w:rPr>
          <w:rFonts w:ascii="宋体" w:hAnsi="宋体" w:cs="宋体"/>
          <w:sz w:val="18"/>
          <w:szCs w:val="18"/>
        </w:rPr>
      </w:pPr>
    </w:p>
    <w:p w14:paraId="41F114E6">
      <w:pPr>
        <w:spacing w:line="480" w:lineRule="auto"/>
        <w:jc w:val="center"/>
        <w:rPr>
          <w:rFonts w:ascii="宋体" w:hAnsi="宋体" w:cs="宋体"/>
          <w:sz w:val="18"/>
          <w:szCs w:val="18"/>
        </w:rPr>
      </w:pPr>
      <w:r>
        <w:rPr>
          <w:rFonts w:hint="eastAsia" w:ascii="宋体" w:hAnsi="宋体" w:cs="宋体"/>
          <w:sz w:val="18"/>
          <w:szCs w:val="18"/>
        </w:rPr>
        <w:t xml:space="preserve"> </w:t>
      </w:r>
    </w:p>
    <w:p w14:paraId="59ECAABF">
      <w:pPr>
        <w:spacing w:line="480" w:lineRule="auto"/>
        <w:jc w:val="center"/>
        <w:rPr>
          <w:rFonts w:ascii="宋体" w:hAnsi="宋体" w:cs="宋体"/>
          <w:sz w:val="18"/>
          <w:szCs w:val="18"/>
        </w:rPr>
      </w:pPr>
    </w:p>
    <w:p w14:paraId="3FF93F85">
      <w:pPr>
        <w:spacing w:line="480" w:lineRule="auto"/>
        <w:jc w:val="center"/>
        <w:rPr>
          <w:rFonts w:ascii="宋体" w:hAnsi="宋体" w:cs="宋体"/>
          <w:sz w:val="18"/>
          <w:szCs w:val="18"/>
        </w:rPr>
      </w:pPr>
    </w:p>
    <w:p w14:paraId="26DB4516">
      <w:pPr>
        <w:spacing w:line="480" w:lineRule="auto"/>
        <w:jc w:val="center"/>
        <w:rPr>
          <w:rFonts w:ascii="宋体" w:hAnsi="宋体" w:cs="宋体"/>
          <w:sz w:val="18"/>
          <w:szCs w:val="18"/>
        </w:rPr>
      </w:pPr>
    </w:p>
    <w:p w14:paraId="07BDE503">
      <w:pPr>
        <w:spacing w:line="720" w:lineRule="auto"/>
        <w:ind w:firstLine="360" w:firstLineChars="100"/>
        <w:outlineLvl w:val="0"/>
        <w:rPr>
          <w:rFonts w:ascii="宋体" w:hAnsi="宋体" w:cs="宋体"/>
          <w:sz w:val="18"/>
          <w:szCs w:val="18"/>
        </w:rPr>
      </w:pPr>
      <w:r>
        <w:rPr>
          <w:rFonts w:hint="eastAsia" w:ascii="宋体" w:hAnsi="宋体" w:cs="宋体"/>
          <w:b/>
          <w:sz w:val="36"/>
          <w:szCs w:val="36"/>
          <w:u w:val="none"/>
          <w:lang w:val="en-US" w:eastAsia="zh-CN"/>
        </w:rPr>
        <w:t>采   购   人：</w:t>
      </w:r>
      <w:r>
        <w:rPr>
          <w:rFonts w:hint="eastAsia" w:ascii="宋体" w:hAnsi="宋体" w:cs="宋体"/>
          <w:b/>
          <w:sz w:val="36"/>
          <w:szCs w:val="36"/>
          <w:u w:val="single"/>
          <w:lang w:eastAsia="zh-CN"/>
        </w:rPr>
        <w:t xml:space="preserve"> </w:t>
      </w:r>
      <w:r>
        <w:rPr>
          <w:rFonts w:hint="eastAsia" w:ascii="宋体" w:hAnsi="宋体" w:cs="宋体"/>
          <w:b/>
          <w:sz w:val="36"/>
          <w:szCs w:val="36"/>
          <w:u w:val="single"/>
          <w:lang w:val="en-US" w:eastAsia="zh-CN"/>
        </w:rPr>
        <w:t xml:space="preserve">  </w:t>
      </w:r>
      <w:r>
        <w:rPr>
          <w:rFonts w:hint="eastAsia" w:ascii="宋体" w:hAnsi="宋体" w:cs="宋体"/>
          <w:b/>
          <w:sz w:val="36"/>
          <w:szCs w:val="36"/>
          <w:u w:val="single"/>
          <w:lang w:eastAsia="zh-CN"/>
        </w:rPr>
        <w:t>泾阳县住房和城乡建设局</w:t>
      </w:r>
      <w:r>
        <w:rPr>
          <w:rFonts w:hint="eastAsia" w:ascii="宋体" w:hAnsi="宋体" w:cs="宋体"/>
          <w:b/>
          <w:sz w:val="36"/>
          <w:szCs w:val="36"/>
          <w:u w:val="single"/>
          <w:lang w:val="en-US" w:eastAsia="zh-CN"/>
        </w:rPr>
        <w:t xml:space="preserve">      </w:t>
      </w:r>
      <w:r>
        <w:rPr>
          <w:rFonts w:hint="eastAsia" w:ascii="宋体" w:hAnsi="宋体" w:cs="宋体"/>
          <w:sz w:val="18"/>
          <w:szCs w:val="18"/>
        </w:rPr>
        <w:t xml:space="preserve"> </w:t>
      </w:r>
    </w:p>
    <w:p w14:paraId="69CDABAB">
      <w:pPr>
        <w:spacing w:line="720" w:lineRule="auto"/>
        <w:outlineLvl w:val="0"/>
        <w:rPr>
          <w:rFonts w:ascii="宋体" w:hAnsi="宋体" w:cs="宋体"/>
          <w:b/>
          <w:sz w:val="36"/>
          <w:szCs w:val="36"/>
        </w:rPr>
      </w:pPr>
      <w:r>
        <w:rPr>
          <w:rFonts w:hint="eastAsia" w:ascii="宋体" w:hAnsi="宋体" w:cs="宋体"/>
          <w:b/>
          <w:sz w:val="36"/>
          <w:szCs w:val="36"/>
        </w:rPr>
        <w:t xml:space="preserve">  </w:t>
      </w:r>
      <w:bookmarkStart w:id="6" w:name="_Toc22959"/>
      <w:bookmarkStart w:id="7" w:name="_Toc1066"/>
      <w:bookmarkStart w:id="8" w:name="_Toc21414"/>
      <w:r>
        <w:rPr>
          <w:rFonts w:hint="eastAsia" w:ascii="宋体" w:hAnsi="宋体" w:cs="宋体"/>
          <w:b/>
          <w:sz w:val="36"/>
          <w:szCs w:val="36"/>
        </w:rPr>
        <w:t>采购代理机构：</w:t>
      </w:r>
      <w:bookmarkEnd w:id="6"/>
      <w:bookmarkEnd w:id="7"/>
      <w:bookmarkEnd w:id="8"/>
      <w:r>
        <w:rPr>
          <w:rFonts w:hint="eastAsia" w:ascii="宋体" w:hAnsi="宋体" w:cs="宋体"/>
          <w:b/>
          <w:sz w:val="36"/>
          <w:szCs w:val="36"/>
          <w:u w:val="single"/>
          <w:lang w:val="en-US" w:eastAsia="zh-CN"/>
        </w:rPr>
        <w:t xml:space="preserve">   </w:t>
      </w:r>
      <w:r>
        <w:rPr>
          <w:rFonts w:hint="eastAsia" w:ascii="宋体" w:hAnsi="宋体" w:cs="宋体"/>
          <w:b/>
          <w:sz w:val="36"/>
          <w:szCs w:val="36"/>
          <w:u w:val="single"/>
          <w:lang w:eastAsia="zh-CN"/>
        </w:rPr>
        <w:t>陕西信恒项目管理有限公司</w:t>
      </w:r>
      <w:r>
        <w:rPr>
          <w:rFonts w:hint="eastAsia" w:ascii="宋体" w:hAnsi="宋体" w:cs="宋体"/>
          <w:b/>
          <w:sz w:val="36"/>
          <w:szCs w:val="36"/>
          <w:u w:val="single"/>
          <w:lang w:val="en-US" w:eastAsia="zh-CN"/>
        </w:rPr>
        <w:t xml:space="preserve">    </w:t>
      </w:r>
    </w:p>
    <w:p w14:paraId="13A2A920">
      <w:pPr>
        <w:spacing w:line="720" w:lineRule="auto"/>
        <w:rPr>
          <w:rFonts w:ascii="宋体" w:hAnsi="宋体" w:cs="宋体"/>
          <w:b/>
          <w:sz w:val="36"/>
          <w:szCs w:val="36"/>
          <w:u w:val="single"/>
        </w:rPr>
      </w:pPr>
      <w:r>
        <w:rPr>
          <w:rFonts w:hint="eastAsia" w:ascii="宋体" w:hAnsi="宋体" w:cs="宋体"/>
          <w:b/>
          <w:bCs/>
          <w:sz w:val="36"/>
          <w:szCs w:val="36"/>
        </w:rPr>
        <w:t xml:space="preserve">  时        间：</w:t>
      </w:r>
      <w:r>
        <w:rPr>
          <w:rFonts w:hint="eastAsia" w:ascii="宋体" w:hAnsi="宋体" w:cs="宋体"/>
          <w:b/>
          <w:bCs/>
          <w:sz w:val="36"/>
          <w:szCs w:val="36"/>
          <w:u w:val="single"/>
        </w:rPr>
        <w:t xml:space="preserve">        二○二</w:t>
      </w:r>
      <w:r>
        <w:rPr>
          <w:rFonts w:hint="eastAsia" w:ascii="宋体" w:hAnsi="宋体" w:cs="宋体"/>
          <w:b/>
          <w:bCs/>
          <w:sz w:val="36"/>
          <w:szCs w:val="36"/>
          <w:u w:val="single"/>
          <w:lang w:val="en-US" w:eastAsia="zh-CN"/>
        </w:rPr>
        <w:t>六</w:t>
      </w:r>
      <w:r>
        <w:rPr>
          <w:rFonts w:hint="eastAsia" w:ascii="宋体" w:hAnsi="宋体" w:cs="宋体"/>
          <w:b/>
          <w:bCs/>
          <w:sz w:val="36"/>
          <w:szCs w:val="36"/>
          <w:u w:val="single"/>
        </w:rPr>
        <w:t>年</w:t>
      </w:r>
      <w:r>
        <w:rPr>
          <w:rFonts w:hint="eastAsia" w:ascii="宋体" w:hAnsi="宋体" w:cs="宋体"/>
          <w:b/>
          <w:bCs/>
          <w:sz w:val="36"/>
          <w:szCs w:val="36"/>
          <w:u w:val="single"/>
          <w:lang w:val="en-US" w:eastAsia="zh-CN"/>
        </w:rPr>
        <w:t>六</w:t>
      </w:r>
      <w:r>
        <w:rPr>
          <w:rFonts w:hint="eastAsia" w:ascii="宋体" w:hAnsi="宋体" w:cs="宋体"/>
          <w:b/>
          <w:bCs/>
          <w:sz w:val="36"/>
          <w:szCs w:val="36"/>
          <w:u w:val="single"/>
        </w:rPr>
        <w:t xml:space="preserve">月         </w:t>
      </w:r>
    </w:p>
    <w:p w14:paraId="78E35B9C">
      <w:pPr>
        <w:jc w:val="center"/>
        <w:rPr>
          <w:rFonts w:ascii="宋体" w:hAnsi="宋体" w:cs="宋体"/>
          <w:b/>
          <w:sz w:val="32"/>
          <w:szCs w:val="32"/>
        </w:rPr>
        <w:sectPr>
          <w:headerReference r:id="rId4" w:type="first"/>
          <w:footerReference r:id="rId5" w:type="first"/>
          <w:headerReference r:id="rId3" w:type="default"/>
          <w:pgSz w:w="11906" w:h="16838"/>
          <w:pgMar w:top="1219" w:right="1191" w:bottom="1162" w:left="1191" w:header="851" w:footer="992" w:gutter="0"/>
          <w:cols w:space="720" w:num="1"/>
          <w:titlePg/>
          <w:docGrid w:type="linesAndChars" w:linePitch="312" w:charSpace="0"/>
        </w:sectPr>
      </w:pPr>
    </w:p>
    <w:sdt>
      <w:sdtPr>
        <w:rPr>
          <w:rFonts w:ascii="宋体" w:hAnsi="宋体"/>
        </w:rPr>
        <w:id w:val="147471804"/>
        <w15:color w:val="DBDBDB"/>
        <w:docPartObj>
          <w:docPartGallery w:val="Table of Contents"/>
          <w:docPartUnique/>
        </w:docPartObj>
      </w:sdtPr>
      <w:sdtEndPr>
        <w:rPr>
          <w:rFonts w:hint="eastAsia" w:ascii="Times New Roman" w:hAnsi="Times New Roman"/>
        </w:rPr>
      </w:sdtEndPr>
      <w:sdtContent>
        <w:p w14:paraId="42D1993A">
          <w:pPr>
            <w:spacing w:line="460" w:lineRule="exact"/>
            <w:ind w:firstLine="420" w:firstLineChars="200"/>
            <w:rPr>
              <w:sz w:val="36"/>
              <w:szCs w:val="44"/>
            </w:rPr>
          </w:pPr>
          <w:r>
            <w:rPr>
              <w:rFonts w:hint="eastAsia" w:ascii="宋体" w:hAnsi="宋体"/>
              <w:lang w:val="en-US" w:eastAsia="zh-CN"/>
            </w:rPr>
            <w:t xml:space="preserve">                                         </w:t>
          </w:r>
          <w:r>
            <w:rPr>
              <w:rFonts w:ascii="宋体" w:hAnsi="宋体"/>
              <w:sz w:val="36"/>
              <w:szCs w:val="44"/>
            </w:rPr>
            <w:t>目录</w:t>
          </w:r>
        </w:p>
        <w:p w14:paraId="4CBB0305">
          <w:pPr>
            <w:pStyle w:val="40"/>
            <w:tabs>
              <w:tab w:val="right" w:leader="dot" w:pos="9524"/>
            </w:tabs>
            <w:rPr>
              <w:sz w:val="32"/>
              <w:szCs w:val="32"/>
            </w:rPr>
          </w:pPr>
          <w:r>
            <w:rPr>
              <w:rFonts w:hint="eastAsia"/>
              <w:sz w:val="32"/>
              <w:szCs w:val="32"/>
            </w:rPr>
            <w:fldChar w:fldCharType="begin"/>
          </w:r>
          <w:r>
            <w:rPr>
              <w:rFonts w:hint="eastAsia"/>
              <w:sz w:val="32"/>
              <w:szCs w:val="32"/>
            </w:rPr>
            <w:instrText xml:space="preserve">TOC \o "1-1" \h \u </w:instrText>
          </w:r>
          <w:r>
            <w:rPr>
              <w:rFonts w:hint="eastAsia"/>
              <w:sz w:val="32"/>
              <w:szCs w:val="32"/>
            </w:rPr>
            <w:fldChar w:fldCharType="separate"/>
          </w:r>
        </w:p>
        <w:p w14:paraId="0BA56231">
          <w:pPr>
            <w:pStyle w:val="40"/>
            <w:tabs>
              <w:tab w:val="right" w:leader="dot" w:pos="9524"/>
            </w:tabs>
            <w:spacing w:line="480" w:lineRule="auto"/>
            <w:rPr>
              <w:sz w:val="28"/>
              <w:szCs w:val="28"/>
            </w:rPr>
          </w:pPr>
          <w:r>
            <w:fldChar w:fldCharType="begin"/>
          </w:r>
          <w:r>
            <w:instrText xml:space="preserve"> HYPERLINK \l "_Toc13031" </w:instrText>
          </w:r>
          <w:r>
            <w:fldChar w:fldCharType="separate"/>
          </w:r>
          <w:r>
            <w:rPr>
              <w:rFonts w:hint="eastAsia" w:ascii="宋体" w:hAnsi="宋体" w:eastAsia="宋体" w:cs="宋体"/>
              <w:bCs/>
              <w:sz w:val="28"/>
              <w:szCs w:val="48"/>
            </w:rPr>
            <w:t>第一</w:t>
          </w:r>
          <w:r>
            <w:rPr>
              <w:rFonts w:hint="eastAsia" w:ascii="宋体" w:hAnsi="宋体" w:cs="宋体"/>
              <w:bCs/>
              <w:sz w:val="28"/>
              <w:szCs w:val="48"/>
            </w:rPr>
            <w:t>章</w:t>
          </w:r>
          <w:r>
            <w:rPr>
              <w:rFonts w:hint="eastAsia" w:ascii="宋体" w:hAnsi="宋体" w:eastAsia="宋体" w:cs="宋体"/>
              <w:bCs/>
              <w:sz w:val="28"/>
              <w:szCs w:val="48"/>
            </w:rPr>
            <w:t xml:space="preserve">  竞争性磋商公告</w:t>
          </w:r>
          <w:r>
            <w:rPr>
              <w:sz w:val="28"/>
              <w:szCs w:val="28"/>
            </w:rPr>
            <w:fldChar w:fldCharType="end"/>
          </w:r>
        </w:p>
        <w:p w14:paraId="5C6FE76C">
          <w:pPr>
            <w:pStyle w:val="40"/>
            <w:tabs>
              <w:tab w:val="right" w:leader="dot" w:pos="9524"/>
            </w:tabs>
            <w:spacing w:line="480" w:lineRule="auto"/>
            <w:rPr>
              <w:sz w:val="28"/>
              <w:szCs w:val="28"/>
            </w:rPr>
          </w:pPr>
          <w:r>
            <w:fldChar w:fldCharType="begin"/>
          </w:r>
          <w:r>
            <w:instrText xml:space="preserve"> HYPERLINK \l "_Toc16833" </w:instrText>
          </w:r>
          <w:r>
            <w:fldChar w:fldCharType="separate"/>
          </w:r>
          <w:r>
            <w:rPr>
              <w:rFonts w:hint="eastAsia" w:ascii="宋体" w:hAnsi="宋体" w:eastAsia="宋体" w:cs="宋体"/>
              <w:bCs/>
              <w:sz w:val="28"/>
              <w:szCs w:val="48"/>
            </w:rPr>
            <w:t>第二</w:t>
          </w:r>
          <w:r>
            <w:rPr>
              <w:rFonts w:hint="eastAsia" w:ascii="宋体" w:hAnsi="宋体" w:cs="宋体"/>
              <w:bCs/>
              <w:sz w:val="28"/>
              <w:szCs w:val="48"/>
            </w:rPr>
            <w:t>章</w:t>
          </w:r>
          <w:r>
            <w:rPr>
              <w:rFonts w:hint="eastAsia" w:ascii="宋体" w:hAnsi="宋体" w:eastAsia="宋体" w:cs="宋体"/>
              <w:bCs/>
              <w:sz w:val="28"/>
              <w:szCs w:val="48"/>
            </w:rPr>
            <w:t xml:space="preserve">  </w:t>
          </w:r>
          <w:r>
            <w:rPr>
              <w:rFonts w:hint="eastAsia" w:ascii="宋体" w:hAnsi="宋体" w:cs="宋体"/>
              <w:sz w:val="28"/>
              <w:szCs w:val="48"/>
            </w:rPr>
            <w:t>供应商</w:t>
          </w:r>
          <w:r>
            <w:rPr>
              <w:rFonts w:hint="eastAsia" w:ascii="宋体" w:hAnsi="宋体" w:eastAsia="宋体" w:cs="宋体"/>
              <w:sz w:val="28"/>
              <w:szCs w:val="48"/>
            </w:rPr>
            <w:t>须知前附表、磋商须知及评标办法</w:t>
          </w:r>
          <w:r>
            <w:rPr>
              <w:sz w:val="28"/>
              <w:szCs w:val="28"/>
            </w:rPr>
            <w:fldChar w:fldCharType="end"/>
          </w:r>
        </w:p>
        <w:p w14:paraId="74C6239F">
          <w:pPr>
            <w:pStyle w:val="40"/>
            <w:tabs>
              <w:tab w:val="right" w:leader="dot" w:pos="9524"/>
            </w:tabs>
            <w:spacing w:line="480" w:lineRule="auto"/>
            <w:rPr>
              <w:sz w:val="28"/>
              <w:szCs w:val="28"/>
            </w:rPr>
          </w:pPr>
          <w:r>
            <w:fldChar w:fldCharType="begin"/>
          </w:r>
          <w:r>
            <w:instrText xml:space="preserve"> HYPERLINK \l "_Toc1496" </w:instrText>
          </w:r>
          <w:r>
            <w:fldChar w:fldCharType="separate"/>
          </w:r>
          <w:r>
            <w:rPr>
              <w:rFonts w:hint="eastAsia" w:ascii="宋体" w:hAnsi="宋体" w:eastAsia="宋体" w:cs="宋体"/>
              <w:bCs/>
              <w:kern w:val="44"/>
              <w:sz w:val="28"/>
              <w:szCs w:val="60"/>
            </w:rPr>
            <w:t>第三章  合同条款及格式（参考）</w:t>
          </w:r>
          <w:r>
            <w:rPr>
              <w:sz w:val="28"/>
              <w:szCs w:val="28"/>
            </w:rPr>
            <w:fldChar w:fldCharType="end"/>
          </w:r>
        </w:p>
        <w:p w14:paraId="1305A800">
          <w:pPr>
            <w:pStyle w:val="40"/>
            <w:tabs>
              <w:tab w:val="right" w:leader="dot" w:pos="9524"/>
            </w:tabs>
            <w:spacing w:line="480" w:lineRule="auto"/>
            <w:rPr>
              <w:sz w:val="28"/>
              <w:szCs w:val="28"/>
            </w:rPr>
          </w:pPr>
          <w:r>
            <w:fldChar w:fldCharType="begin"/>
          </w:r>
          <w:r>
            <w:instrText xml:space="preserve"> HYPERLINK \l "_Toc20479" </w:instrText>
          </w:r>
          <w:r>
            <w:fldChar w:fldCharType="separate"/>
          </w:r>
          <w:r>
            <w:rPr>
              <w:rFonts w:hint="eastAsia" w:ascii="宋体" w:hAnsi="宋体" w:cs="宋体"/>
              <w:bCs/>
              <w:kern w:val="44"/>
              <w:sz w:val="28"/>
              <w:szCs w:val="60"/>
            </w:rPr>
            <w:t>第四章  服务内容及要求</w:t>
          </w:r>
          <w:r>
            <w:rPr>
              <w:sz w:val="28"/>
              <w:szCs w:val="28"/>
            </w:rPr>
            <w:fldChar w:fldCharType="end"/>
          </w:r>
        </w:p>
        <w:p w14:paraId="738BBBFA">
          <w:pPr>
            <w:pStyle w:val="40"/>
            <w:tabs>
              <w:tab w:val="right" w:leader="dot" w:pos="9524"/>
            </w:tabs>
            <w:spacing w:line="480" w:lineRule="auto"/>
            <w:rPr>
              <w:rFonts w:hint="eastAsia" w:eastAsiaTheme="minorEastAsia"/>
              <w:sz w:val="28"/>
              <w:szCs w:val="28"/>
              <w:lang w:val="en-US" w:eastAsia="zh-CN"/>
            </w:rPr>
          </w:pPr>
          <w:r>
            <w:fldChar w:fldCharType="begin"/>
          </w:r>
          <w:r>
            <w:instrText xml:space="preserve"> HYPERLINK \l "_Toc18747" </w:instrText>
          </w:r>
          <w:r>
            <w:fldChar w:fldCharType="separate"/>
          </w:r>
          <w:r>
            <w:rPr>
              <w:rFonts w:hint="eastAsia" w:ascii="宋体" w:hAnsi="宋体" w:cs="宋体"/>
              <w:bCs/>
              <w:sz w:val="28"/>
              <w:szCs w:val="48"/>
            </w:rPr>
            <w:t xml:space="preserve">第五章  </w:t>
          </w:r>
          <w:r>
            <w:rPr>
              <w:rFonts w:hint="eastAsia" w:ascii="宋体" w:hAnsi="宋体" w:eastAsia="宋体" w:cs="宋体"/>
              <w:bCs/>
              <w:sz w:val="28"/>
              <w:szCs w:val="48"/>
            </w:rPr>
            <w:t>竞争性磋商响应文件格式</w:t>
          </w:r>
          <w:r>
            <w:rPr>
              <w:sz w:val="28"/>
              <w:szCs w:val="28"/>
            </w:rPr>
            <w:fldChar w:fldCharType="end"/>
          </w:r>
        </w:p>
        <w:p w14:paraId="7CD99A0A">
          <w:pPr>
            <w:pStyle w:val="40"/>
            <w:tabs>
              <w:tab w:val="right" w:leader="dot" w:pos="9524"/>
            </w:tabs>
            <w:rPr>
              <w:sz w:val="32"/>
              <w:szCs w:val="32"/>
            </w:rPr>
          </w:pPr>
        </w:p>
        <w:p w14:paraId="4CA7B305">
          <w:r>
            <w:rPr>
              <w:rFonts w:hint="eastAsia"/>
              <w:sz w:val="36"/>
              <w:szCs w:val="44"/>
            </w:rPr>
            <w:fldChar w:fldCharType="end"/>
          </w:r>
        </w:p>
      </w:sdtContent>
    </w:sdt>
    <w:p w14:paraId="2B064CFB">
      <w:pPr>
        <w:jc w:val="center"/>
        <w:rPr>
          <w:rFonts w:ascii="宋体" w:hAnsi="宋体" w:cs="宋体"/>
          <w:b/>
          <w:bCs/>
          <w:kern w:val="0"/>
          <w:sz w:val="32"/>
          <w:szCs w:val="32"/>
        </w:rPr>
        <w:sectPr>
          <w:footerReference r:id="rId8" w:type="first"/>
          <w:headerReference r:id="rId6" w:type="default"/>
          <w:footerReference r:id="rId7" w:type="default"/>
          <w:pgSz w:w="11906" w:h="16838"/>
          <w:pgMar w:top="1219" w:right="1191" w:bottom="1162" w:left="1191" w:header="851" w:footer="992" w:gutter="0"/>
          <w:pgNumType w:start="1"/>
          <w:cols w:space="720" w:num="1"/>
          <w:titlePg/>
          <w:docGrid w:type="linesAndChars" w:linePitch="312" w:charSpace="0"/>
        </w:sectPr>
      </w:pPr>
      <w:bookmarkStart w:id="9" w:name="_Toc404340431"/>
      <w:bookmarkStart w:id="10" w:name="_Toc319064287"/>
      <w:bookmarkStart w:id="11" w:name="_Toc3753"/>
      <w:bookmarkStart w:id="12" w:name="_Toc7952"/>
      <w:bookmarkStart w:id="13" w:name="_Toc13031"/>
    </w:p>
    <w:p w14:paraId="7AADFB37">
      <w:pPr>
        <w:jc w:val="center"/>
        <w:rPr>
          <w:rFonts w:ascii="宋体" w:hAnsi="宋体" w:cs="宋体"/>
          <w:b/>
          <w:bCs/>
          <w:kern w:val="0"/>
          <w:sz w:val="32"/>
          <w:szCs w:val="32"/>
        </w:rPr>
      </w:pPr>
      <w:r>
        <w:rPr>
          <w:rFonts w:hint="eastAsia" w:ascii="宋体" w:hAnsi="宋体" w:cs="宋体"/>
          <w:b/>
          <w:bCs/>
          <w:kern w:val="0"/>
          <w:sz w:val="32"/>
          <w:szCs w:val="32"/>
        </w:rPr>
        <w:t xml:space="preserve">第一章  </w:t>
      </w:r>
      <w:bookmarkEnd w:id="9"/>
      <w:bookmarkEnd w:id="10"/>
      <w:r>
        <w:rPr>
          <w:rFonts w:hint="eastAsia" w:ascii="宋体" w:hAnsi="宋体" w:cs="宋体"/>
          <w:b/>
          <w:bCs/>
          <w:kern w:val="0"/>
          <w:sz w:val="32"/>
          <w:szCs w:val="32"/>
        </w:rPr>
        <w:t>竞争性磋商公告</w:t>
      </w:r>
      <w:bookmarkEnd w:id="11"/>
      <w:bookmarkEnd w:id="12"/>
      <w:bookmarkEnd w:id="13"/>
    </w:p>
    <w:p w14:paraId="60C9C01B">
      <w:pPr>
        <w:pStyle w:val="41"/>
        <w:spacing w:line="480" w:lineRule="exact"/>
        <w:jc w:val="center"/>
      </w:pPr>
      <w:bookmarkStart w:id="14" w:name="_Toc15695"/>
      <w:bookmarkStart w:id="15" w:name="_Toc16833"/>
      <w:bookmarkStart w:id="16" w:name="_Toc404340432"/>
      <w:bookmarkStart w:id="17" w:name="_Toc319064288"/>
      <w:r>
        <w:rPr>
          <w:rFonts w:ascii="仿宋_GB2312" w:hAnsi="仿宋_GB2312" w:eastAsia="仿宋_GB2312" w:cs="仿宋_GB2312"/>
          <w:b/>
          <w:sz w:val="36"/>
        </w:rPr>
        <w:t>泾阳县县城吉元大街基础设施改造项目监理服务竞争性磋商公告</w:t>
      </w:r>
    </w:p>
    <w:p w14:paraId="3609E944">
      <w:pPr>
        <w:pStyle w:val="41"/>
        <w:outlineLvl w:val="5"/>
      </w:pPr>
      <w:r>
        <w:rPr>
          <w:rFonts w:ascii="仿宋_GB2312" w:hAnsi="仿宋_GB2312" w:eastAsia="仿宋_GB2312" w:cs="仿宋_GB2312"/>
          <w:b/>
          <w:sz w:val="15"/>
        </w:rPr>
        <w:t xml:space="preserve"> 项目概况</w:t>
      </w:r>
    </w:p>
    <w:p w14:paraId="62AF9D6E">
      <w:pPr>
        <w:pStyle w:val="41"/>
      </w:pPr>
      <w:r>
        <w:rPr>
          <w:rFonts w:ascii="仿宋_GB2312" w:hAnsi="仿宋_GB2312" w:eastAsia="仿宋_GB2312" w:cs="仿宋_GB2312"/>
        </w:rPr>
        <w:t>泾阳县县城吉元大街基础设施改造项目监理服务采购项目的潜在供应商应在陕西省咸阳市人民西路美仑酒店6楼获取采购文件，并于 2026年07月07日 14时30分 （北京时间）前提交响应文件。</w:t>
      </w:r>
    </w:p>
    <w:p w14:paraId="23C8D34F">
      <w:pPr>
        <w:pStyle w:val="41"/>
        <w:outlineLvl w:val="3"/>
      </w:pPr>
      <w:r>
        <w:rPr>
          <w:rFonts w:ascii="仿宋_GB2312" w:hAnsi="仿宋_GB2312" w:eastAsia="仿宋_GB2312" w:cs="仿宋_GB2312"/>
          <w:b/>
          <w:sz w:val="24"/>
        </w:rPr>
        <w:t>一、项目基本情况</w:t>
      </w:r>
    </w:p>
    <w:p w14:paraId="0C75D97A">
      <w:pPr>
        <w:pStyle w:val="41"/>
      </w:pPr>
      <w:r>
        <w:rPr>
          <w:rFonts w:ascii="仿宋_GB2312" w:hAnsi="仿宋_GB2312" w:eastAsia="仿宋_GB2312" w:cs="仿宋_GB2312"/>
        </w:rPr>
        <w:t>项目编号：XH-2026-008</w:t>
      </w:r>
    </w:p>
    <w:p w14:paraId="77FD097D">
      <w:pPr>
        <w:pStyle w:val="41"/>
      </w:pPr>
      <w:r>
        <w:rPr>
          <w:rFonts w:ascii="仿宋_GB2312" w:hAnsi="仿宋_GB2312" w:eastAsia="仿宋_GB2312" w:cs="仿宋_GB2312"/>
        </w:rPr>
        <w:t>项目名称：泾阳县县城吉元大街基础设施改造项目监理服务</w:t>
      </w:r>
    </w:p>
    <w:p w14:paraId="560BFD73">
      <w:pPr>
        <w:pStyle w:val="41"/>
      </w:pPr>
      <w:r>
        <w:rPr>
          <w:rFonts w:ascii="仿宋_GB2312" w:hAnsi="仿宋_GB2312" w:eastAsia="仿宋_GB2312" w:cs="仿宋_GB2312"/>
        </w:rPr>
        <w:t>采购方式：竞争性磋商</w:t>
      </w:r>
    </w:p>
    <w:p w14:paraId="64CAF529">
      <w:pPr>
        <w:pStyle w:val="41"/>
      </w:pPr>
      <w:r>
        <w:rPr>
          <w:rFonts w:ascii="仿宋_GB2312" w:hAnsi="仿宋_GB2312" w:eastAsia="仿宋_GB2312" w:cs="仿宋_GB2312"/>
        </w:rPr>
        <w:t>预算金额：177,000.00元</w:t>
      </w:r>
    </w:p>
    <w:p w14:paraId="6722A9C3">
      <w:pPr>
        <w:pStyle w:val="41"/>
      </w:pPr>
      <w:r>
        <w:rPr>
          <w:rFonts w:ascii="仿宋_GB2312" w:hAnsi="仿宋_GB2312" w:eastAsia="仿宋_GB2312" w:cs="仿宋_GB2312"/>
        </w:rPr>
        <w:t>采购需求：</w:t>
      </w:r>
    </w:p>
    <w:p w14:paraId="21DDC82E">
      <w:pPr>
        <w:pStyle w:val="41"/>
      </w:pPr>
      <w:r>
        <w:rPr>
          <w:rFonts w:ascii="仿宋_GB2312" w:hAnsi="仿宋_GB2312" w:eastAsia="仿宋_GB2312" w:cs="仿宋_GB2312"/>
        </w:rPr>
        <w:t>合同包1(泾阳县县城吉元大街基础设施改造项目监理服务):</w:t>
      </w:r>
    </w:p>
    <w:p w14:paraId="0D4E4339">
      <w:pPr>
        <w:pStyle w:val="41"/>
        <w:ind w:firstLine="630"/>
      </w:pPr>
      <w:r>
        <w:rPr>
          <w:rFonts w:ascii="仿宋_GB2312" w:hAnsi="仿宋_GB2312" w:eastAsia="仿宋_GB2312" w:cs="仿宋_GB2312"/>
        </w:rPr>
        <w:t>合同包预算金额：177,000.00元</w:t>
      </w:r>
    </w:p>
    <w:p w14:paraId="3C3D9711">
      <w:pPr>
        <w:pStyle w:val="41"/>
        <w:ind w:firstLine="630"/>
      </w:pPr>
      <w:r>
        <w:rPr>
          <w:rFonts w:ascii="仿宋_GB2312" w:hAnsi="仿宋_GB2312" w:eastAsia="仿宋_GB2312" w:cs="仿宋_GB2312"/>
        </w:rPr>
        <w:t xml:space="preserve"> 合同包最高限价：177,000.00元</w:t>
      </w:r>
    </w:p>
    <w:tbl>
      <w:tblPr>
        <w:tblStyle w:val="2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2FDA6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2E42B0E">
            <w:pPr>
              <w:pStyle w:val="41"/>
            </w:pPr>
            <w:r>
              <w:rPr>
                <w:rFonts w:ascii="仿宋_GB2312" w:hAnsi="仿宋_GB2312" w:eastAsia="仿宋_GB2312" w:cs="仿宋_GB2312"/>
              </w:rPr>
              <w:t>品目号</w:t>
            </w:r>
          </w:p>
        </w:tc>
        <w:tc>
          <w:tcPr>
            <w:tcW w:w="1384" w:type="dxa"/>
          </w:tcPr>
          <w:p w14:paraId="74004DEA">
            <w:pPr>
              <w:pStyle w:val="41"/>
            </w:pPr>
            <w:r>
              <w:rPr>
                <w:rFonts w:ascii="仿宋_GB2312" w:hAnsi="仿宋_GB2312" w:eastAsia="仿宋_GB2312" w:cs="仿宋_GB2312"/>
              </w:rPr>
              <w:t>品目名称</w:t>
            </w:r>
          </w:p>
        </w:tc>
        <w:tc>
          <w:tcPr>
            <w:tcW w:w="1384" w:type="dxa"/>
          </w:tcPr>
          <w:p w14:paraId="2035FDC8">
            <w:pPr>
              <w:pStyle w:val="41"/>
            </w:pPr>
            <w:r>
              <w:rPr>
                <w:rFonts w:ascii="仿宋_GB2312" w:hAnsi="仿宋_GB2312" w:eastAsia="仿宋_GB2312" w:cs="仿宋_GB2312"/>
              </w:rPr>
              <w:t>采购标的</w:t>
            </w:r>
          </w:p>
        </w:tc>
        <w:tc>
          <w:tcPr>
            <w:tcW w:w="1384" w:type="dxa"/>
          </w:tcPr>
          <w:p w14:paraId="35616AAF">
            <w:pPr>
              <w:pStyle w:val="41"/>
            </w:pPr>
            <w:r>
              <w:rPr>
                <w:rFonts w:ascii="仿宋_GB2312" w:hAnsi="仿宋_GB2312" w:eastAsia="仿宋_GB2312" w:cs="仿宋_GB2312"/>
              </w:rPr>
              <w:t>数量（单位）</w:t>
            </w:r>
          </w:p>
        </w:tc>
        <w:tc>
          <w:tcPr>
            <w:tcW w:w="1384" w:type="dxa"/>
          </w:tcPr>
          <w:p w14:paraId="7C659436">
            <w:pPr>
              <w:pStyle w:val="41"/>
            </w:pPr>
            <w:r>
              <w:rPr>
                <w:rFonts w:ascii="仿宋_GB2312" w:hAnsi="仿宋_GB2312" w:eastAsia="仿宋_GB2312" w:cs="仿宋_GB2312"/>
              </w:rPr>
              <w:t>技术规格、参数及要求</w:t>
            </w:r>
          </w:p>
        </w:tc>
        <w:tc>
          <w:tcPr>
            <w:tcW w:w="1384" w:type="dxa"/>
          </w:tcPr>
          <w:p w14:paraId="784977F6">
            <w:pPr>
              <w:pStyle w:val="41"/>
            </w:pPr>
            <w:r>
              <w:rPr>
                <w:rFonts w:ascii="仿宋_GB2312" w:hAnsi="仿宋_GB2312" w:eastAsia="仿宋_GB2312" w:cs="仿宋_GB2312"/>
              </w:rPr>
              <w:t>品目预算(元)</w:t>
            </w:r>
          </w:p>
        </w:tc>
      </w:tr>
      <w:tr w14:paraId="12083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A36C5C5">
            <w:pPr>
              <w:pStyle w:val="41"/>
            </w:pPr>
            <w:r>
              <w:rPr>
                <w:rFonts w:ascii="仿宋_GB2312" w:hAnsi="仿宋_GB2312" w:eastAsia="仿宋_GB2312" w:cs="仿宋_GB2312"/>
              </w:rPr>
              <w:t>1-1</w:t>
            </w:r>
          </w:p>
        </w:tc>
        <w:tc>
          <w:tcPr>
            <w:tcW w:w="1384" w:type="dxa"/>
          </w:tcPr>
          <w:p w14:paraId="773285F3">
            <w:pPr>
              <w:pStyle w:val="41"/>
            </w:pPr>
            <w:r>
              <w:rPr>
                <w:rFonts w:ascii="仿宋_GB2312" w:hAnsi="仿宋_GB2312" w:eastAsia="仿宋_GB2312" w:cs="仿宋_GB2312"/>
              </w:rPr>
              <w:t>工程监理服务</w:t>
            </w:r>
          </w:p>
        </w:tc>
        <w:tc>
          <w:tcPr>
            <w:tcW w:w="1384" w:type="dxa"/>
          </w:tcPr>
          <w:p w14:paraId="5BC1EDA7">
            <w:pPr>
              <w:pStyle w:val="41"/>
            </w:pPr>
            <w:r>
              <w:rPr>
                <w:rFonts w:ascii="仿宋_GB2312" w:hAnsi="仿宋_GB2312" w:eastAsia="仿宋_GB2312" w:cs="仿宋_GB2312"/>
              </w:rPr>
              <w:t>泾阳县县城吉元大街基础设施改造项目监理服务</w:t>
            </w:r>
          </w:p>
        </w:tc>
        <w:tc>
          <w:tcPr>
            <w:tcW w:w="1384" w:type="dxa"/>
          </w:tcPr>
          <w:p w14:paraId="1D0E2F22">
            <w:pPr>
              <w:pStyle w:val="41"/>
            </w:pPr>
            <w:r>
              <w:rPr>
                <w:rFonts w:ascii="仿宋_GB2312" w:hAnsi="仿宋_GB2312" w:eastAsia="仿宋_GB2312" w:cs="仿宋_GB2312"/>
              </w:rPr>
              <w:t>1(项)</w:t>
            </w:r>
          </w:p>
        </w:tc>
        <w:tc>
          <w:tcPr>
            <w:tcW w:w="1384" w:type="dxa"/>
          </w:tcPr>
          <w:p w14:paraId="10C13705">
            <w:pPr>
              <w:pStyle w:val="41"/>
            </w:pPr>
            <w:r>
              <w:rPr>
                <w:rFonts w:ascii="仿宋_GB2312" w:hAnsi="仿宋_GB2312" w:eastAsia="仿宋_GB2312" w:cs="仿宋_GB2312"/>
              </w:rPr>
              <w:t>详见采购文件</w:t>
            </w:r>
          </w:p>
        </w:tc>
        <w:tc>
          <w:tcPr>
            <w:tcW w:w="1384" w:type="dxa"/>
          </w:tcPr>
          <w:p w14:paraId="65FC6FE5">
            <w:pPr>
              <w:pStyle w:val="41"/>
            </w:pPr>
            <w:r>
              <w:rPr>
                <w:rFonts w:ascii="仿宋_GB2312" w:hAnsi="仿宋_GB2312" w:eastAsia="仿宋_GB2312" w:cs="仿宋_GB2312"/>
              </w:rPr>
              <w:t>177,000.00</w:t>
            </w:r>
          </w:p>
        </w:tc>
      </w:tr>
    </w:tbl>
    <w:p w14:paraId="01A9AD65">
      <w:pPr>
        <w:pStyle w:val="41"/>
      </w:pPr>
      <w:r>
        <w:rPr>
          <w:rFonts w:ascii="仿宋_GB2312" w:hAnsi="仿宋_GB2312" w:eastAsia="仿宋_GB2312" w:cs="仿宋_GB2312"/>
        </w:rPr>
        <w:t xml:space="preserve"> 本合同包不接受联合体投标</w:t>
      </w:r>
    </w:p>
    <w:p w14:paraId="27D22939">
      <w:pPr>
        <w:pStyle w:val="41"/>
      </w:pPr>
      <w:r>
        <w:rPr>
          <w:rFonts w:ascii="仿宋_GB2312" w:hAnsi="仿宋_GB2312" w:eastAsia="仿宋_GB2312" w:cs="仿宋_GB2312"/>
        </w:rPr>
        <w:t xml:space="preserve"> 合同履行期限：详见采购文件</w:t>
      </w:r>
    </w:p>
    <w:p w14:paraId="712C562F">
      <w:pPr>
        <w:pStyle w:val="41"/>
        <w:outlineLvl w:val="3"/>
      </w:pPr>
      <w:r>
        <w:rPr>
          <w:rFonts w:ascii="仿宋_GB2312" w:hAnsi="仿宋_GB2312" w:eastAsia="仿宋_GB2312" w:cs="仿宋_GB2312"/>
          <w:b/>
          <w:sz w:val="24"/>
        </w:rPr>
        <w:t>二、申请人的资格要求：</w:t>
      </w:r>
    </w:p>
    <w:p w14:paraId="0869DE65">
      <w:pPr>
        <w:pStyle w:val="41"/>
      </w:pPr>
      <w:r>
        <w:rPr>
          <w:rFonts w:ascii="仿宋_GB2312" w:hAnsi="仿宋_GB2312" w:eastAsia="仿宋_GB2312" w:cs="仿宋_GB2312"/>
        </w:rPr>
        <w:t>1.满足《中华人民共和国政府采购法》第二十二条规定;</w:t>
      </w:r>
    </w:p>
    <w:p w14:paraId="56E432DE">
      <w:pPr>
        <w:pStyle w:val="41"/>
      </w:pPr>
      <w:r>
        <w:rPr>
          <w:rFonts w:ascii="仿宋_GB2312" w:hAnsi="仿宋_GB2312" w:eastAsia="仿宋_GB2312" w:cs="仿宋_GB2312"/>
        </w:rPr>
        <w:t>2.落实政府采购政策需满足的资格要求：</w:t>
      </w:r>
    </w:p>
    <w:p w14:paraId="7895F752">
      <w:pPr>
        <w:pStyle w:val="41"/>
      </w:pPr>
      <w:r>
        <w:rPr>
          <w:rFonts w:ascii="仿宋_GB2312" w:hAnsi="仿宋_GB2312" w:eastAsia="仿宋_GB2312" w:cs="仿宋_GB2312"/>
        </w:rPr>
        <w:t>合同包1(泾阳县县城吉元大街基础设施改造项目监理服务)落实政府采购政策需满足的资格要求如下:</w:t>
      </w:r>
    </w:p>
    <w:p w14:paraId="5B28513B">
      <w:pPr>
        <w:pStyle w:val="41"/>
        <w:ind w:left="480"/>
      </w:pPr>
      <w:r>
        <w:rPr>
          <w:rFonts w:ascii="仿宋_GB2312" w:hAnsi="仿宋_GB2312" w:eastAsia="仿宋_GB2312" w:cs="仿宋_GB2312"/>
        </w:rPr>
        <w:t xml:space="preserve">（1）《政府采购促进中小企业发展管理办法》（财库〔2020〕46号）； </w:t>
      </w:r>
      <w:r>
        <w:br w:type="textWrapping"/>
      </w:r>
      <w:r>
        <w:rPr>
          <w:rFonts w:ascii="仿宋_GB2312" w:hAnsi="仿宋_GB2312" w:eastAsia="仿宋_GB2312" w:cs="仿宋_GB2312"/>
        </w:rPr>
        <w:t>（2）《关于进一步加大政府采购支持中小企业力度的通知》（财库〔2022〕19号）；</w:t>
      </w:r>
      <w:r>
        <w:br w:type="textWrapping"/>
      </w:r>
      <w:r>
        <w:rPr>
          <w:rFonts w:ascii="仿宋_GB2312" w:hAnsi="仿宋_GB2312" w:eastAsia="仿宋_GB2312" w:cs="仿宋_GB2312"/>
        </w:rPr>
        <w:t xml:space="preserve">（3）《财政部司法部关于政府采购支持监狱企业发展有关问题的通知》（财库〔2014〕68号）； </w:t>
      </w:r>
      <w:r>
        <w:br w:type="textWrapping"/>
      </w:r>
      <w:r>
        <w:rPr>
          <w:rFonts w:ascii="仿宋_GB2312" w:hAnsi="仿宋_GB2312" w:eastAsia="仿宋_GB2312" w:cs="仿宋_GB2312"/>
        </w:rPr>
        <w:t xml:space="preserve">（4）《国务院办公厅关于建立政府强制采购节能产品制度的通知》（国办发〔2007〕51号）； </w:t>
      </w:r>
      <w:r>
        <w:br w:type="textWrapping"/>
      </w:r>
      <w:r>
        <w:rPr>
          <w:rFonts w:ascii="仿宋_GB2312" w:hAnsi="仿宋_GB2312" w:eastAsia="仿宋_GB2312" w:cs="仿宋_GB2312"/>
        </w:rPr>
        <w:t xml:space="preserve">（5）《关于印发环境标志产品政府采购品目清单的通知》（财库〔2019〕18号）； </w:t>
      </w:r>
      <w:r>
        <w:br w:type="textWrapping"/>
      </w:r>
      <w:r>
        <w:rPr>
          <w:rFonts w:ascii="仿宋_GB2312" w:hAnsi="仿宋_GB2312" w:eastAsia="仿宋_GB2312" w:cs="仿宋_GB2312"/>
        </w:rPr>
        <w:t>（6）《关于印发节能产品政府采购品目清单的通知》（财库〔2019〕19号）；</w:t>
      </w:r>
      <w:r>
        <w:br w:type="textWrapping"/>
      </w:r>
      <w:r>
        <w:rPr>
          <w:rFonts w:ascii="仿宋_GB2312" w:hAnsi="仿宋_GB2312" w:eastAsia="仿宋_GB2312" w:cs="仿宋_GB2312"/>
        </w:rPr>
        <w:t xml:space="preserve">（7）《关于促进残疾人就业政府采购政策的通知》财库〔2017〕141号； </w:t>
      </w:r>
      <w:r>
        <w:br w:type="textWrapping"/>
      </w:r>
      <w:r>
        <w:rPr>
          <w:rFonts w:ascii="仿宋_GB2312" w:hAnsi="仿宋_GB2312" w:eastAsia="仿宋_GB2312" w:cs="仿宋_GB2312"/>
        </w:rPr>
        <w:t xml:space="preserve">（8）《关于调整优化节能产品、环境标志产品政府采购执行机制的通知》（财库〔2019〕9号）； </w:t>
      </w:r>
      <w:r>
        <w:br w:type="textWrapping"/>
      </w:r>
      <w:r>
        <w:rPr>
          <w:rFonts w:ascii="仿宋_GB2312" w:hAnsi="仿宋_GB2312" w:eastAsia="仿宋_GB2312" w:cs="仿宋_GB2312"/>
        </w:rPr>
        <w:t>（9）《财政部农业农村部国家乡村振兴局关于运用政府采购政策支持乡村产业振兴的通知》（财库〔2021〕19号）；</w:t>
      </w:r>
      <w:r>
        <w:br w:type="textWrapping"/>
      </w:r>
      <w:r>
        <w:rPr>
          <w:rFonts w:ascii="仿宋_GB2312" w:hAnsi="仿宋_GB2312" w:eastAsia="仿宋_GB2312" w:cs="仿宋_GB2312"/>
        </w:rPr>
        <w:t>（10）《陕西省中小企业政府采购信用融资办法》（陕财办采〔2018〕23号）；</w:t>
      </w:r>
      <w:r>
        <w:br w:type="textWrapping"/>
      </w:r>
      <w:r>
        <w:rPr>
          <w:rFonts w:ascii="仿宋_GB2312" w:hAnsi="仿宋_GB2312" w:eastAsia="仿宋_GB2312" w:cs="仿宋_GB2312"/>
        </w:rPr>
        <w:t xml:space="preserve">（11）《陕西省财政厅关于加快推进我省中小企业政府采购信用融资工作的通知》（陕财办采〔2020〕15号）； </w:t>
      </w:r>
      <w:r>
        <w:br w:type="textWrapping"/>
      </w:r>
      <w:r>
        <w:rPr>
          <w:rFonts w:ascii="仿宋_GB2312" w:hAnsi="仿宋_GB2312" w:eastAsia="仿宋_GB2312" w:cs="仿宋_GB2312"/>
        </w:rPr>
        <w:t>（12）《陕西省财政厅关于进一步加强政府绿色采购有关问题的通知》（陕财办采〔2021〕29号）；</w:t>
      </w:r>
      <w:r>
        <w:br w:type="textWrapping"/>
      </w:r>
      <w:r>
        <w:rPr>
          <w:rFonts w:ascii="仿宋_GB2312" w:hAnsi="仿宋_GB2312" w:eastAsia="仿宋_GB2312" w:cs="仿宋_GB2312"/>
        </w:rPr>
        <w:t>（13）其他需要落实的政府采购政策。</w:t>
      </w:r>
    </w:p>
    <w:p w14:paraId="70445EA4">
      <w:pPr>
        <w:pStyle w:val="41"/>
      </w:pPr>
      <w:r>
        <w:rPr>
          <w:rFonts w:ascii="仿宋_GB2312" w:hAnsi="仿宋_GB2312" w:eastAsia="仿宋_GB2312" w:cs="仿宋_GB2312"/>
        </w:rPr>
        <w:t>3.本项目的特定资格要求：</w:t>
      </w:r>
    </w:p>
    <w:p w14:paraId="673A5F00">
      <w:pPr>
        <w:pStyle w:val="41"/>
      </w:pPr>
      <w:r>
        <w:rPr>
          <w:rFonts w:ascii="仿宋_GB2312" w:hAnsi="仿宋_GB2312" w:eastAsia="仿宋_GB2312" w:cs="仿宋_GB2312"/>
        </w:rPr>
        <w:t>合同包1(泾阳县县城吉元大街基础设施改造项目监理服务)特定资格要求如下:</w:t>
      </w:r>
    </w:p>
    <w:p w14:paraId="68060952">
      <w:pPr>
        <w:pStyle w:val="41"/>
        <w:ind w:left="480"/>
      </w:pPr>
      <w:r>
        <w:rPr>
          <w:rFonts w:ascii="仿宋_GB2312" w:hAnsi="仿宋_GB2312" w:eastAsia="仿宋_GB2312" w:cs="仿宋_GB2312"/>
        </w:rPr>
        <w:t>（1）营业执照等主体资格证明文件：供应商应具有独立承担民事责任能力的法人或其他组织或自然人（法人或其他组织提供营业执照或事业单位法人证书等国家规定的相关证明，自然人提供身份证件）；</w:t>
      </w:r>
      <w:r>
        <w:br w:type="textWrapping"/>
      </w:r>
      <w:r>
        <w:rPr>
          <w:rFonts w:ascii="仿宋_GB2312" w:hAnsi="仿宋_GB2312" w:eastAsia="仿宋_GB2312" w:cs="仿宋_GB2312"/>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r>
        <w:br w:type="textWrapping"/>
      </w:r>
      <w:r>
        <w:rPr>
          <w:rFonts w:ascii="仿宋_GB2312" w:hAnsi="仿宋_GB2312" w:eastAsia="仿宋_GB2312" w:cs="仿宋_GB2312"/>
        </w:rPr>
        <w:t>（3）供应商资质：须具备工程监理综合资质或市政公用工程监理乙级及以上资质；</w:t>
      </w:r>
      <w:r>
        <w:br w:type="textWrapping"/>
      </w:r>
      <w:r>
        <w:rPr>
          <w:rFonts w:ascii="仿宋_GB2312" w:hAnsi="仿宋_GB2312" w:eastAsia="仿宋_GB2312" w:cs="仿宋_GB2312"/>
        </w:rPr>
        <w:t>(4)拟派总监理工程师：须具备【市政公用工程注册监理工程师】执业资格，且未担任其他在建工程项目的总监理工程师；</w:t>
      </w:r>
      <w:r>
        <w:br w:type="textWrapping"/>
      </w:r>
      <w:r>
        <w:rPr>
          <w:rFonts w:ascii="仿宋_GB2312" w:hAnsi="仿宋_GB2312" w:eastAsia="仿宋_GB2312" w:cs="仿宋_GB2312"/>
        </w:rPr>
        <w:t>（5）书面声明：出具参加本次采购活动前三年内在经营活动中没有重大违法记录的书面声明；</w:t>
      </w:r>
      <w:r>
        <w:br w:type="textWrapping"/>
      </w:r>
      <w:r>
        <w:rPr>
          <w:rFonts w:ascii="仿宋_GB2312" w:hAnsi="仿宋_GB2312" w:eastAsia="仿宋_GB2312" w:cs="仿宋_GB2312"/>
        </w:rPr>
        <w:t>（6）供应商须提供具有履行合同所必需的设备和专业技术能力的承诺；</w:t>
      </w:r>
      <w:r>
        <w:br w:type="textWrapping"/>
      </w:r>
      <w:r>
        <w:rPr>
          <w:rFonts w:ascii="仿宋_GB2312" w:hAnsi="仿宋_GB2312" w:eastAsia="仿宋_GB2312" w:cs="仿宋_GB2312"/>
        </w:rPr>
        <w:t>（7）财务状况报告：提供2024年度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r>
        <w:br w:type="textWrapping"/>
      </w:r>
      <w:r>
        <w:rPr>
          <w:rFonts w:ascii="仿宋_GB2312" w:hAnsi="仿宋_GB2312" w:eastAsia="仿宋_GB2312" w:cs="仿宋_GB2312"/>
        </w:rPr>
        <w:t>（8）社会保障资金缴纳证明：提供响应文件提交截止时间前6个月内任意一个月已缴纳的社会保障资金缴存单据或社保机构开具的社会保险参保缴费情况证明，依法不需要缴纳社会保障资金的应提供相关文件证明；</w:t>
      </w:r>
      <w:r>
        <w:br w:type="textWrapping"/>
      </w:r>
      <w:r>
        <w:rPr>
          <w:rFonts w:ascii="仿宋_GB2312" w:hAnsi="仿宋_GB2312" w:eastAsia="仿宋_GB2312" w:cs="仿宋_GB2312"/>
        </w:rPr>
        <w:t>（9）税收缴纳证明：提供响应文件提交截止时间前6个月内任意一个月已缴纳的完税凭证或税务机关开具的完税证明（任意税种），依法免税的应提供相关文件证明；</w:t>
      </w:r>
      <w:r>
        <w:br w:type="textWrapping"/>
      </w:r>
      <w:r>
        <w:rPr>
          <w:rFonts w:ascii="仿宋_GB2312" w:hAnsi="仿宋_GB2312" w:eastAsia="仿宋_GB2312" w:cs="仿宋_GB2312"/>
        </w:rPr>
        <w:t>（10）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br w:type="textWrapping"/>
      </w:r>
      <w:r>
        <w:rPr>
          <w:rFonts w:ascii="仿宋_GB2312" w:hAnsi="仿宋_GB2312" w:eastAsia="仿宋_GB2312" w:cs="仿宋_GB2312"/>
        </w:rPr>
        <w:t>（11）单位负责人为同一人或者存在直接控股、管理关系的不同供应商，不得同时参加同一采购活动；</w:t>
      </w:r>
      <w:r>
        <w:br w:type="textWrapping"/>
      </w:r>
      <w:r>
        <w:rPr>
          <w:rFonts w:ascii="仿宋_GB2312" w:hAnsi="仿宋_GB2312" w:eastAsia="仿宋_GB2312" w:cs="仿宋_GB2312"/>
        </w:rPr>
        <w:t>（12）本项目不接受联合体投标,供应商需保证资质文件的真实、合法、有效；</w:t>
      </w:r>
      <w:r>
        <w:br w:type="textWrapping"/>
      </w:r>
      <w:r>
        <w:rPr>
          <w:rFonts w:ascii="仿宋_GB2312" w:hAnsi="仿宋_GB2312" w:eastAsia="仿宋_GB2312" w:cs="仿宋_GB2312"/>
        </w:rPr>
        <w:t>（13）本项目专门面向中小企业采购，须符合《政府采购促进中小企业发展管理办法》（财库〔2020〕46号）规定的中小企业参加。</w:t>
      </w:r>
    </w:p>
    <w:p w14:paraId="5E98F71C">
      <w:pPr>
        <w:pStyle w:val="41"/>
        <w:outlineLvl w:val="3"/>
      </w:pPr>
      <w:r>
        <w:rPr>
          <w:rFonts w:ascii="仿宋_GB2312" w:hAnsi="仿宋_GB2312" w:eastAsia="仿宋_GB2312" w:cs="仿宋_GB2312"/>
          <w:b/>
          <w:sz w:val="24"/>
        </w:rPr>
        <w:t>三、获取采购文件</w:t>
      </w:r>
    </w:p>
    <w:p w14:paraId="3061BEB8">
      <w:pPr>
        <w:pStyle w:val="41"/>
      </w:pPr>
      <w:r>
        <w:rPr>
          <w:rFonts w:ascii="仿宋_GB2312" w:hAnsi="仿宋_GB2312" w:eastAsia="仿宋_GB2312" w:cs="仿宋_GB2312"/>
        </w:rPr>
        <w:t>时间： 2026年06月25日 至 2026年07月01日 ，每天上午 08:00:00 至 12:00:00 ，下午 14:30:00 至 18:00:00 （北京时间）</w:t>
      </w:r>
    </w:p>
    <w:p w14:paraId="768CD263">
      <w:pPr>
        <w:pStyle w:val="41"/>
      </w:pPr>
      <w:r>
        <w:rPr>
          <w:rFonts w:ascii="仿宋_GB2312" w:hAnsi="仿宋_GB2312" w:eastAsia="仿宋_GB2312" w:cs="仿宋_GB2312"/>
        </w:rPr>
        <w:t>途径：陕西省咸阳市人民西路美仑酒店6楼</w:t>
      </w:r>
    </w:p>
    <w:p w14:paraId="4496C22D">
      <w:pPr>
        <w:pStyle w:val="41"/>
      </w:pPr>
      <w:r>
        <w:rPr>
          <w:rFonts w:ascii="仿宋_GB2312" w:hAnsi="仿宋_GB2312" w:eastAsia="仿宋_GB2312" w:cs="仿宋_GB2312"/>
        </w:rPr>
        <w:t>方式：现场获取</w:t>
      </w:r>
    </w:p>
    <w:p w14:paraId="27FDFE68">
      <w:pPr>
        <w:pStyle w:val="41"/>
      </w:pPr>
      <w:r>
        <w:rPr>
          <w:rFonts w:ascii="仿宋_GB2312" w:hAnsi="仿宋_GB2312" w:eastAsia="仿宋_GB2312" w:cs="仿宋_GB2312"/>
        </w:rPr>
        <w:t>售价： 0元</w:t>
      </w:r>
    </w:p>
    <w:p w14:paraId="5460EE84">
      <w:pPr>
        <w:pStyle w:val="41"/>
        <w:outlineLvl w:val="3"/>
      </w:pPr>
      <w:r>
        <w:rPr>
          <w:rFonts w:ascii="仿宋_GB2312" w:hAnsi="仿宋_GB2312" w:eastAsia="仿宋_GB2312" w:cs="仿宋_GB2312"/>
          <w:b/>
          <w:sz w:val="24"/>
        </w:rPr>
        <w:t>四、响应文件提交</w:t>
      </w:r>
    </w:p>
    <w:p w14:paraId="71333D6F">
      <w:pPr>
        <w:pStyle w:val="41"/>
      </w:pPr>
      <w:r>
        <w:rPr>
          <w:rFonts w:ascii="仿宋_GB2312" w:hAnsi="仿宋_GB2312" w:eastAsia="仿宋_GB2312" w:cs="仿宋_GB2312"/>
        </w:rPr>
        <w:t>截止时间： 2026年07月07日 14时30分00秒 （北京时间）</w:t>
      </w:r>
    </w:p>
    <w:p w14:paraId="3B7C6E73">
      <w:pPr>
        <w:pStyle w:val="41"/>
      </w:pPr>
      <w:r>
        <w:rPr>
          <w:rFonts w:ascii="仿宋_GB2312" w:hAnsi="仿宋_GB2312" w:eastAsia="仿宋_GB2312" w:cs="仿宋_GB2312"/>
        </w:rPr>
        <w:t>地点：陕西省咸阳市人民西路美仑酒店8楼839会议室</w:t>
      </w:r>
    </w:p>
    <w:p w14:paraId="7F740C38">
      <w:pPr>
        <w:pStyle w:val="41"/>
        <w:outlineLvl w:val="3"/>
      </w:pPr>
      <w:r>
        <w:rPr>
          <w:rFonts w:ascii="仿宋_GB2312" w:hAnsi="仿宋_GB2312" w:eastAsia="仿宋_GB2312" w:cs="仿宋_GB2312"/>
          <w:b/>
          <w:sz w:val="24"/>
        </w:rPr>
        <w:t>五、开启</w:t>
      </w:r>
    </w:p>
    <w:p w14:paraId="7576B7B2">
      <w:pPr>
        <w:pStyle w:val="41"/>
      </w:pPr>
      <w:r>
        <w:rPr>
          <w:rFonts w:ascii="仿宋_GB2312" w:hAnsi="仿宋_GB2312" w:eastAsia="仿宋_GB2312" w:cs="仿宋_GB2312"/>
        </w:rPr>
        <w:t>时间： 2026年07月07日 14时30分00秒 （北京时间）</w:t>
      </w:r>
    </w:p>
    <w:p w14:paraId="60590D23">
      <w:pPr>
        <w:pStyle w:val="41"/>
      </w:pPr>
      <w:r>
        <w:rPr>
          <w:rFonts w:ascii="仿宋_GB2312" w:hAnsi="仿宋_GB2312" w:eastAsia="仿宋_GB2312" w:cs="仿宋_GB2312"/>
        </w:rPr>
        <w:t>地点：陕西省咸阳市人民西路美仑酒店8楼839会议室</w:t>
      </w:r>
    </w:p>
    <w:p w14:paraId="7334BFB7">
      <w:pPr>
        <w:pStyle w:val="41"/>
        <w:outlineLvl w:val="3"/>
      </w:pPr>
      <w:r>
        <w:rPr>
          <w:rFonts w:ascii="仿宋_GB2312" w:hAnsi="仿宋_GB2312" w:eastAsia="仿宋_GB2312" w:cs="仿宋_GB2312"/>
          <w:b/>
          <w:sz w:val="24"/>
        </w:rPr>
        <w:t>六、公告期限</w:t>
      </w:r>
    </w:p>
    <w:p w14:paraId="415C6666">
      <w:pPr>
        <w:pStyle w:val="41"/>
      </w:pPr>
      <w:r>
        <w:rPr>
          <w:rFonts w:ascii="仿宋_GB2312" w:hAnsi="仿宋_GB2312" w:eastAsia="仿宋_GB2312" w:cs="仿宋_GB2312"/>
        </w:rPr>
        <w:t>自本公告发布之日起3个工作日。</w:t>
      </w:r>
    </w:p>
    <w:p w14:paraId="4F91E0C0">
      <w:pPr>
        <w:pStyle w:val="41"/>
        <w:outlineLvl w:val="3"/>
      </w:pPr>
      <w:r>
        <w:rPr>
          <w:rFonts w:ascii="仿宋_GB2312" w:hAnsi="仿宋_GB2312" w:eastAsia="仿宋_GB2312" w:cs="仿宋_GB2312"/>
          <w:b/>
          <w:sz w:val="24"/>
        </w:rPr>
        <w:t>七、其他补充事宜</w:t>
      </w:r>
    </w:p>
    <w:p w14:paraId="33FF30FD">
      <w:pPr>
        <w:pStyle w:val="41"/>
      </w:pPr>
      <w:r>
        <w:rPr>
          <w:rFonts w:ascii="仿宋_GB2312" w:hAnsi="仿宋_GB2312" w:eastAsia="仿宋_GB2312" w:cs="仿宋_GB2312"/>
          <w:sz w:val="22"/>
          <w:shd w:val="clear" w:fill="FFFFFF"/>
        </w:rPr>
        <w:t>1、请供应商按照陕西省财政厅关于政府采购供应商注册登记有关事项的通知中的要求，通过陕西省政府采购网（http://www.ccgp-shaanxi.gov.cn/）注册登记加入陕西省政府采购供应商库。</w:t>
      </w:r>
    </w:p>
    <w:p w14:paraId="7A0A18DC">
      <w:pPr>
        <w:pStyle w:val="41"/>
        <w:ind w:firstLine="440"/>
      </w:pPr>
      <w:r>
        <w:rPr>
          <w:rFonts w:ascii="仿宋_GB2312" w:hAnsi="仿宋_GB2312" w:eastAsia="仿宋_GB2312" w:cs="仿宋_GB2312"/>
          <w:sz w:val="22"/>
          <w:shd w:val="clear" w:fill="FFFFFF"/>
        </w:rPr>
        <w:t>2、有意向供应商请携带单位介绍信（注明获取采购文件相关事宜）和经办人身份证复印件（加盖公章）及原件获取采购文件，谢绝邮寄,双休日及法定节假日除外。</w:t>
      </w:r>
    </w:p>
    <w:p w14:paraId="1C25AFEA">
      <w:pPr>
        <w:pStyle w:val="41"/>
        <w:outlineLvl w:val="3"/>
      </w:pPr>
      <w:r>
        <w:rPr>
          <w:rFonts w:ascii="仿宋_GB2312" w:hAnsi="仿宋_GB2312" w:eastAsia="仿宋_GB2312" w:cs="仿宋_GB2312"/>
          <w:b/>
          <w:sz w:val="24"/>
        </w:rPr>
        <w:t>八、对本次招标提出询问，请按以下方式联系。</w:t>
      </w:r>
    </w:p>
    <w:p w14:paraId="08C4ADBA">
      <w:pPr>
        <w:pStyle w:val="41"/>
        <w:outlineLvl w:val="5"/>
      </w:pPr>
      <w:r>
        <w:rPr>
          <w:rFonts w:ascii="仿宋_GB2312" w:hAnsi="仿宋_GB2312" w:eastAsia="仿宋_GB2312" w:cs="仿宋_GB2312"/>
          <w:b/>
          <w:sz w:val="15"/>
        </w:rPr>
        <w:t>1.采购人信息</w:t>
      </w:r>
    </w:p>
    <w:p w14:paraId="1A1CC555">
      <w:pPr>
        <w:pStyle w:val="41"/>
      </w:pPr>
      <w:r>
        <w:rPr>
          <w:rFonts w:ascii="仿宋_GB2312" w:hAnsi="仿宋_GB2312" w:eastAsia="仿宋_GB2312" w:cs="仿宋_GB2312"/>
        </w:rPr>
        <w:t>名称：泾阳县住房和城乡建设局</w:t>
      </w:r>
    </w:p>
    <w:p w14:paraId="68F27F74">
      <w:pPr>
        <w:pStyle w:val="41"/>
      </w:pPr>
      <w:r>
        <w:rPr>
          <w:rFonts w:ascii="仿宋_GB2312" w:hAnsi="仿宋_GB2312" w:eastAsia="仿宋_GB2312" w:cs="仿宋_GB2312"/>
        </w:rPr>
        <w:t>地址：泾阳县中心街201号</w:t>
      </w:r>
    </w:p>
    <w:p w14:paraId="55593E3B">
      <w:pPr>
        <w:pStyle w:val="41"/>
      </w:pPr>
      <w:r>
        <w:rPr>
          <w:rFonts w:ascii="仿宋_GB2312" w:hAnsi="仿宋_GB2312" w:eastAsia="仿宋_GB2312" w:cs="仿宋_GB2312"/>
        </w:rPr>
        <w:t>联系方式：15829956610</w:t>
      </w:r>
    </w:p>
    <w:p w14:paraId="0060067F">
      <w:pPr>
        <w:pStyle w:val="41"/>
        <w:outlineLvl w:val="5"/>
      </w:pPr>
      <w:r>
        <w:rPr>
          <w:rFonts w:ascii="仿宋_GB2312" w:hAnsi="仿宋_GB2312" w:eastAsia="仿宋_GB2312" w:cs="仿宋_GB2312"/>
          <w:b/>
          <w:sz w:val="15"/>
        </w:rPr>
        <w:t>2.采购代理机构信息</w:t>
      </w:r>
    </w:p>
    <w:p w14:paraId="0F0A1846">
      <w:pPr>
        <w:pStyle w:val="41"/>
      </w:pPr>
      <w:r>
        <w:rPr>
          <w:rFonts w:ascii="仿宋_GB2312" w:hAnsi="仿宋_GB2312" w:eastAsia="仿宋_GB2312" w:cs="仿宋_GB2312"/>
        </w:rPr>
        <w:t>名称：陕西信恒项目管理有限公司</w:t>
      </w:r>
    </w:p>
    <w:p w14:paraId="3D6DF644">
      <w:pPr>
        <w:pStyle w:val="41"/>
      </w:pPr>
      <w:r>
        <w:rPr>
          <w:rFonts w:ascii="仿宋_GB2312" w:hAnsi="仿宋_GB2312" w:eastAsia="仿宋_GB2312" w:cs="仿宋_GB2312"/>
        </w:rPr>
        <w:t>地址：陕西省咸阳市秦都区金华路华天大厦D座5单元701</w:t>
      </w:r>
    </w:p>
    <w:p w14:paraId="4D60BEDD">
      <w:pPr>
        <w:pStyle w:val="41"/>
      </w:pPr>
      <w:r>
        <w:rPr>
          <w:rFonts w:ascii="仿宋_GB2312" w:hAnsi="仿宋_GB2312" w:eastAsia="仿宋_GB2312" w:cs="仿宋_GB2312"/>
        </w:rPr>
        <w:t>联系方式：17868600926</w:t>
      </w:r>
    </w:p>
    <w:p w14:paraId="36F19EAA">
      <w:pPr>
        <w:pStyle w:val="41"/>
        <w:outlineLvl w:val="5"/>
      </w:pPr>
      <w:r>
        <w:rPr>
          <w:rFonts w:ascii="仿宋_GB2312" w:hAnsi="仿宋_GB2312" w:eastAsia="仿宋_GB2312" w:cs="仿宋_GB2312"/>
          <w:b/>
          <w:sz w:val="15"/>
        </w:rPr>
        <w:t>3.项目联系方式</w:t>
      </w:r>
    </w:p>
    <w:p w14:paraId="0EF134C8">
      <w:pPr>
        <w:pStyle w:val="41"/>
      </w:pPr>
      <w:r>
        <w:rPr>
          <w:rFonts w:ascii="仿宋_GB2312" w:hAnsi="仿宋_GB2312" w:eastAsia="仿宋_GB2312" w:cs="仿宋_GB2312"/>
        </w:rPr>
        <w:t>项目联系人：刘瑞</w:t>
      </w:r>
    </w:p>
    <w:p w14:paraId="492CE6CB">
      <w:pPr>
        <w:pStyle w:val="41"/>
      </w:pPr>
      <w:r>
        <w:rPr>
          <w:rFonts w:ascii="仿宋_GB2312" w:hAnsi="仿宋_GB2312" w:eastAsia="仿宋_GB2312" w:cs="仿宋_GB2312"/>
        </w:rPr>
        <w:t>电话：17868600926</w:t>
      </w:r>
    </w:p>
    <w:p w14:paraId="7A66325A">
      <w:pPr>
        <w:pStyle w:val="41"/>
        <w:spacing w:line="360" w:lineRule="auto"/>
        <w:ind w:firstLine="440" w:firstLineChars="200"/>
        <w:rPr>
          <w:rFonts w:hint="default" w:ascii="宋体" w:hAnsi="宋体" w:eastAsia="宋体" w:cs="宋体"/>
          <w:sz w:val="22"/>
          <w:szCs w:val="22"/>
          <w:lang w:val="en-US" w:eastAsia="zh-CN"/>
        </w:rPr>
      </w:pPr>
    </w:p>
    <w:p w14:paraId="02B29690">
      <w:pPr>
        <w:jc w:val="both"/>
        <w:outlineLvl w:val="0"/>
        <w:rPr>
          <w:rFonts w:hint="eastAsia" w:ascii="宋体" w:hAnsi="宋体" w:cs="宋体"/>
          <w:b/>
          <w:bCs/>
          <w:kern w:val="0"/>
          <w:sz w:val="32"/>
          <w:szCs w:val="32"/>
        </w:rPr>
      </w:pPr>
    </w:p>
    <w:p w14:paraId="6E7B7A44">
      <w:pPr>
        <w:jc w:val="center"/>
        <w:outlineLvl w:val="0"/>
        <w:rPr>
          <w:rFonts w:hint="eastAsia" w:ascii="宋体" w:hAnsi="宋体" w:cs="宋体"/>
          <w:b/>
          <w:bCs/>
          <w:kern w:val="0"/>
          <w:sz w:val="32"/>
          <w:szCs w:val="32"/>
        </w:rPr>
      </w:pPr>
    </w:p>
    <w:p w14:paraId="2CFFF596">
      <w:pPr>
        <w:jc w:val="center"/>
        <w:outlineLvl w:val="0"/>
        <w:rPr>
          <w:rFonts w:hint="eastAsia" w:ascii="宋体" w:hAnsi="宋体" w:cs="宋体"/>
          <w:b/>
          <w:bCs/>
          <w:kern w:val="0"/>
          <w:sz w:val="32"/>
          <w:szCs w:val="32"/>
        </w:rPr>
      </w:pPr>
    </w:p>
    <w:p w14:paraId="5C8EB39C">
      <w:pPr>
        <w:jc w:val="center"/>
        <w:outlineLvl w:val="0"/>
        <w:rPr>
          <w:rFonts w:hint="eastAsia" w:ascii="宋体" w:hAnsi="宋体" w:cs="宋体"/>
          <w:b/>
          <w:bCs/>
          <w:kern w:val="0"/>
          <w:sz w:val="32"/>
          <w:szCs w:val="32"/>
        </w:rPr>
      </w:pPr>
    </w:p>
    <w:p w14:paraId="6B580B80">
      <w:pPr>
        <w:jc w:val="center"/>
        <w:outlineLvl w:val="0"/>
        <w:rPr>
          <w:rFonts w:hint="eastAsia" w:ascii="宋体" w:hAnsi="宋体" w:cs="宋体"/>
          <w:b/>
          <w:bCs/>
          <w:kern w:val="0"/>
          <w:sz w:val="32"/>
          <w:szCs w:val="32"/>
        </w:rPr>
      </w:pPr>
    </w:p>
    <w:p w14:paraId="0C7B4E5E">
      <w:pPr>
        <w:jc w:val="center"/>
        <w:outlineLvl w:val="0"/>
        <w:rPr>
          <w:rFonts w:hint="eastAsia" w:ascii="宋体" w:hAnsi="宋体" w:cs="宋体"/>
          <w:b/>
          <w:bCs/>
          <w:kern w:val="0"/>
          <w:sz w:val="32"/>
          <w:szCs w:val="32"/>
        </w:rPr>
      </w:pPr>
    </w:p>
    <w:p w14:paraId="01245127">
      <w:pPr>
        <w:jc w:val="center"/>
        <w:outlineLvl w:val="0"/>
        <w:rPr>
          <w:rFonts w:hint="eastAsia" w:ascii="宋体" w:hAnsi="宋体" w:cs="宋体"/>
          <w:b/>
          <w:bCs/>
          <w:kern w:val="0"/>
          <w:sz w:val="32"/>
          <w:szCs w:val="32"/>
        </w:rPr>
      </w:pPr>
    </w:p>
    <w:p w14:paraId="3960B2C6">
      <w:pPr>
        <w:jc w:val="center"/>
        <w:outlineLvl w:val="0"/>
        <w:rPr>
          <w:rFonts w:hint="eastAsia" w:ascii="宋体" w:hAnsi="宋体" w:cs="宋体"/>
          <w:b/>
          <w:bCs/>
          <w:kern w:val="0"/>
          <w:sz w:val="32"/>
          <w:szCs w:val="32"/>
        </w:rPr>
      </w:pPr>
    </w:p>
    <w:p w14:paraId="57CC20E5">
      <w:pPr>
        <w:jc w:val="center"/>
        <w:outlineLvl w:val="0"/>
        <w:rPr>
          <w:rFonts w:hint="eastAsia" w:ascii="宋体" w:hAnsi="宋体" w:cs="宋体"/>
          <w:b/>
          <w:bCs/>
          <w:kern w:val="0"/>
          <w:sz w:val="32"/>
          <w:szCs w:val="32"/>
        </w:rPr>
      </w:pPr>
    </w:p>
    <w:p w14:paraId="2CE9E722">
      <w:pPr>
        <w:jc w:val="both"/>
        <w:outlineLvl w:val="0"/>
        <w:rPr>
          <w:rFonts w:hint="eastAsia" w:ascii="宋体" w:hAnsi="宋体" w:cs="宋体"/>
          <w:b/>
          <w:bCs/>
          <w:kern w:val="0"/>
          <w:sz w:val="32"/>
          <w:szCs w:val="32"/>
        </w:rPr>
      </w:pPr>
    </w:p>
    <w:p w14:paraId="7ADDF20A">
      <w:pPr>
        <w:pStyle w:val="2"/>
        <w:rPr>
          <w:rFonts w:hint="eastAsia" w:ascii="宋体" w:hAnsi="宋体" w:cs="宋体"/>
          <w:b/>
          <w:bCs/>
          <w:kern w:val="0"/>
          <w:sz w:val="32"/>
          <w:szCs w:val="32"/>
        </w:rPr>
      </w:pPr>
    </w:p>
    <w:p w14:paraId="23C5E823">
      <w:pPr>
        <w:rPr>
          <w:rFonts w:hint="eastAsia" w:ascii="宋体" w:hAnsi="宋体" w:cs="宋体"/>
          <w:b/>
          <w:bCs/>
          <w:kern w:val="0"/>
          <w:sz w:val="32"/>
          <w:szCs w:val="32"/>
        </w:rPr>
      </w:pPr>
    </w:p>
    <w:p w14:paraId="42C7D822">
      <w:pPr>
        <w:pStyle w:val="2"/>
        <w:rPr>
          <w:rFonts w:hint="eastAsia"/>
        </w:rPr>
      </w:pPr>
    </w:p>
    <w:p w14:paraId="36031826">
      <w:pPr>
        <w:jc w:val="center"/>
        <w:outlineLvl w:val="0"/>
        <w:rPr>
          <w:rFonts w:ascii="宋体" w:hAnsi="宋体" w:cs="宋体"/>
          <w:b/>
          <w:bCs/>
          <w:kern w:val="0"/>
          <w:sz w:val="32"/>
          <w:szCs w:val="32"/>
        </w:rPr>
      </w:pPr>
      <w:r>
        <w:rPr>
          <w:rFonts w:hint="eastAsia" w:ascii="宋体" w:hAnsi="宋体" w:cs="宋体"/>
          <w:b/>
          <w:bCs/>
          <w:kern w:val="0"/>
          <w:sz w:val="32"/>
          <w:szCs w:val="32"/>
        </w:rPr>
        <w:t xml:space="preserve">第二章  </w:t>
      </w:r>
      <w:bookmarkStart w:id="18" w:name="_Toc334081524"/>
      <w:r>
        <w:rPr>
          <w:rFonts w:hint="eastAsia" w:ascii="宋体" w:hAnsi="宋体" w:cs="宋体"/>
          <w:b/>
          <w:sz w:val="32"/>
          <w:szCs w:val="32"/>
        </w:rPr>
        <w:t>供应商须知前附表、磋商须知及评标办法</w:t>
      </w:r>
      <w:bookmarkEnd w:id="14"/>
      <w:bookmarkEnd w:id="15"/>
    </w:p>
    <w:p w14:paraId="6B12DE91">
      <w:pPr>
        <w:keepNext/>
        <w:keepLines/>
        <w:jc w:val="center"/>
        <w:outlineLvl w:val="1"/>
        <w:rPr>
          <w:rFonts w:ascii="宋体" w:hAnsi="宋体" w:cs="宋体"/>
          <w:b/>
          <w:bCs/>
          <w:szCs w:val="20"/>
        </w:rPr>
      </w:pPr>
      <w:r>
        <w:rPr>
          <w:rFonts w:hint="eastAsia" w:ascii="宋体" w:hAnsi="宋体" w:cs="宋体"/>
          <w:b/>
          <w:bCs/>
          <w:sz w:val="28"/>
        </w:rPr>
        <w:t>一、  磋商须知前附表</w:t>
      </w:r>
      <w:bookmarkEnd w:id="18"/>
    </w:p>
    <w:tbl>
      <w:tblPr>
        <w:tblStyle w:val="22"/>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837"/>
        <w:gridCol w:w="7493"/>
      </w:tblGrid>
      <w:tr w14:paraId="4DF5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E570928">
            <w:pPr>
              <w:spacing w:line="480" w:lineRule="exact"/>
              <w:jc w:val="center"/>
              <w:rPr>
                <w:rFonts w:ascii="宋体" w:hAnsi="宋体" w:cs="宋体"/>
                <w:sz w:val="28"/>
                <w:szCs w:val="28"/>
              </w:rPr>
            </w:pPr>
            <w:r>
              <w:rPr>
                <w:rFonts w:hint="eastAsia" w:ascii="宋体" w:hAnsi="宋体" w:cs="宋体"/>
                <w:sz w:val="28"/>
                <w:szCs w:val="28"/>
              </w:rPr>
              <w:t>序号</w:t>
            </w:r>
          </w:p>
        </w:tc>
        <w:tc>
          <w:tcPr>
            <w:tcW w:w="1837" w:type="dxa"/>
            <w:tcBorders>
              <w:top w:val="single" w:color="auto" w:sz="4" w:space="0"/>
              <w:left w:val="single" w:color="auto" w:sz="4" w:space="0"/>
              <w:bottom w:val="single" w:color="auto" w:sz="4" w:space="0"/>
              <w:right w:val="single" w:color="auto" w:sz="4" w:space="0"/>
            </w:tcBorders>
            <w:vAlign w:val="center"/>
          </w:tcPr>
          <w:p w14:paraId="09E9B700">
            <w:pPr>
              <w:spacing w:line="480" w:lineRule="exact"/>
              <w:jc w:val="center"/>
              <w:rPr>
                <w:rFonts w:ascii="宋体" w:hAnsi="宋体" w:cs="宋体"/>
                <w:sz w:val="28"/>
                <w:szCs w:val="28"/>
              </w:rPr>
            </w:pPr>
            <w:r>
              <w:rPr>
                <w:rFonts w:hint="eastAsia" w:ascii="宋体" w:hAnsi="宋体" w:cs="宋体"/>
                <w:sz w:val="28"/>
                <w:szCs w:val="28"/>
              </w:rPr>
              <w:t>内  容</w:t>
            </w:r>
          </w:p>
        </w:tc>
        <w:tc>
          <w:tcPr>
            <w:tcW w:w="7493" w:type="dxa"/>
            <w:tcBorders>
              <w:top w:val="single" w:color="auto" w:sz="4" w:space="0"/>
              <w:left w:val="single" w:color="auto" w:sz="4" w:space="0"/>
              <w:bottom w:val="single" w:color="auto" w:sz="4" w:space="0"/>
              <w:right w:val="single" w:color="auto" w:sz="4" w:space="0"/>
            </w:tcBorders>
            <w:vAlign w:val="center"/>
          </w:tcPr>
          <w:p w14:paraId="3884A4C6">
            <w:pPr>
              <w:spacing w:line="480" w:lineRule="exact"/>
              <w:jc w:val="center"/>
              <w:rPr>
                <w:rFonts w:ascii="宋体" w:hAnsi="宋体" w:cs="宋体"/>
                <w:sz w:val="28"/>
                <w:szCs w:val="28"/>
              </w:rPr>
            </w:pPr>
            <w:r>
              <w:rPr>
                <w:rFonts w:hint="eastAsia" w:ascii="宋体" w:hAnsi="宋体" w:cs="宋体"/>
                <w:sz w:val="28"/>
                <w:szCs w:val="28"/>
              </w:rPr>
              <w:t>说 明 与 要 求</w:t>
            </w:r>
          </w:p>
        </w:tc>
      </w:tr>
      <w:tr w14:paraId="585D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7B0245B">
            <w:pPr>
              <w:spacing w:line="480" w:lineRule="exact"/>
              <w:jc w:val="center"/>
              <w:rPr>
                <w:rFonts w:ascii="宋体" w:hAnsi="宋体" w:cs="宋体"/>
                <w:sz w:val="24"/>
              </w:rPr>
            </w:pPr>
            <w:r>
              <w:rPr>
                <w:rFonts w:hint="eastAsia" w:ascii="宋体" w:hAnsi="宋体" w:cs="宋体"/>
                <w:sz w:val="24"/>
              </w:rPr>
              <w:t>1</w:t>
            </w:r>
          </w:p>
        </w:tc>
        <w:tc>
          <w:tcPr>
            <w:tcW w:w="1837" w:type="dxa"/>
            <w:tcBorders>
              <w:top w:val="single" w:color="auto" w:sz="4" w:space="0"/>
              <w:left w:val="single" w:color="auto" w:sz="4" w:space="0"/>
              <w:bottom w:val="single" w:color="auto" w:sz="4" w:space="0"/>
              <w:right w:val="single" w:color="auto" w:sz="4" w:space="0"/>
            </w:tcBorders>
            <w:vAlign w:val="center"/>
          </w:tcPr>
          <w:p w14:paraId="79F4EB23">
            <w:pPr>
              <w:spacing w:line="480" w:lineRule="exact"/>
              <w:jc w:val="center"/>
              <w:rPr>
                <w:rFonts w:ascii="宋体" w:hAnsi="宋体" w:cs="宋体"/>
                <w:sz w:val="24"/>
              </w:rPr>
            </w:pPr>
            <w:r>
              <w:rPr>
                <w:rFonts w:hint="eastAsia" w:ascii="宋体" w:hAnsi="宋体" w:cs="宋体"/>
                <w:sz w:val="24"/>
              </w:rPr>
              <w:t>项目名称</w:t>
            </w:r>
          </w:p>
        </w:tc>
        <w:tc>
          <w:tcPr>
            <w:tcW w:w="7493" w:type="dxa"/>
            <w:tcBorders>
              <w:top w:val="single" w:color="auto" w:sz="4" w:space="0"/>
              <w:left w:val="single" w:color="auto" w:sz="4" w:space="0"/>
              <w:bottom w:val="single" w:color="auto" w:sz="4" w:space="0"/>
              <w:right w:val="single" w:color="auto" w:sz="4" w:space="0"/>
            </w:tcBorders>
            <w:vAlign w:val="center"/>
          </w:tcPr>
          <w:p w14:paraId="032D310A">
            <w:pPr>
              <w:widowControl/>
              <w:spacing w:line="480" w:lineRule="exact"/>
              <w:jc w:val="left"/>
              <w:rPr>
                <w:rFonts w:hint="eastAsia" w:ascii="宋体" w:hAnsi="宋体" w:eastAsia="宋体" w:cs="宋体"/>
                <w:sz w:val="24"/>
                <w:lang w:eastAsia="zh-CN"/>
              </w:rPr>
            </w:pPr>
            <w:r>
              <w:rPr>
                <w:rFonts w:hint="eastAsia" w:ascii="宋体" w:hAnsi="宋体" w:cs="宋体"/>
                <w:sz w:val="24"/>
                <w:lang w:eastAsia="zh-CN"/>
              </w:rPr>
              <w:t>泾阳县县城吉元大街基础设施改造项目监理服务</w:t>
            </w:r>
          </w:p>
        </w:tc>
      </w:tr>
      <w:tr w14:paraId="2F8A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9FCA380">
            <w:pPr>
              <w:spacing w:line="480" w:lineRule="exact"/>
              <w:jc w:val="center"/>
              <w:rPr>
                <w:rFonts w:ascii="宋体" w:hAnsi="宋体" w:cs="宋体"/>
                <w:sz w:val="24"/>
              </w:rPr>
            </w:pPr>
            <w:r>
              <w:rPr>
                <w:rFonts w:hint="eastAsia" w:ascii="宋体" w:hAnsi="宋体" w:cs="宋体"/>
                <w:sz w:val="24"/>
              </w:rPr>
              <w:t>2</w:t>
            </w:r>
          </w:p>
        </w:tc>
        <w:tc>
          <w:tcPr>
            <w:tcW w:w="1837" w:type="dxa"/>
            <w:tcBorders>
              <w:top w:val="single" w:color="auto" w:sz="4" w:space="0"/>
              <w:left w:val="single" w:color="auto" w:sz="4" w:space="0"/>
              <w:bottom w:val="single" w:color="auto" w:sz="4" w:space="0"/>
              <w:right w:val="single" w:color="auto" w:sz="4" w:space="0"/>
            </w:tcBorders>
            <w:vAlign w:val="center"/>
          </w:tcPr>
          <w:p w14:paraId="01A548F7">
            <w:pPr>
              <w:spacing w:line="480" w:lineRule="exact"/>
              <w:jc w:val="center"/>
              <w:rPr>
                <w:rFonts w:ascii="宋体" w:hAnsi="宋体" w:cs="宋体"/>
                <w:sz w:val="24"/>
              </w:rPr>
            </w:pPr>
            <w:r>
              <w:rPr>
                <w:rFonts w:hint="eastAsia" w:ascii="宋体" w:hAnsi="宋体" w:cs="宋体"/>
                <w:color w:val="333333"/>
                <w:kern w:val="0"/>
                <w:sz w:val="24"/>
                <w:shd w:val="clear" w:color="auto" w:fill="FFFFFF"/>
                <w:lang w:bidi="ar"/>
              </w:rPr>
              <w:t>项目编号</w:t>
            </w:r>
          </w:p>
        </w:tc>
        <w:tc>
          <w:tcPr>
            <w:tcW w:w="7493" w:type="dxa"/>
            <w:tcBorders>
              <w:top w:val="single" w:color="auto" w:sz="4" w:space="0"/>
              <w:left w:val="single" w:color="auto" w:sz="4" w:space="0"/>
              <w:bottom w:val="single" w:color="auto" w:sz="4" w:space="0"/>
              <w:right w:val="single" w:color="auto" w:sz="4" w:space="0"/>
            </w:tcBorders>
            <w:vAlign w:val="center"/>
          </w:tcPr>
          <w:p w14:paraId="7A6C1A9E">
            <w:pPr>
              <w:spacing w:line="480" w:lineRule="exact"/>
              <w:rPr>
                <w:rFonts w:hint="eastAsia" w:ascii="宋体" w:hAnsi="宋体" w:eastAsia="宋体" w:cs="宋体"/>
                <w:sz w:val="24"/>
                <w:lang w:eastAsia="zh-CN"/>
              </w:rPr>
            </w:pPr>
            <w:r>
              <w:rPr>
                <w:rFonts w:hint="eastAsia" w:ascii="宋体" w:hAnsi="宋体" w:cs="宋体"/>
                <w:color w:val="333333"/>
                <w:kern w:val="0"/>
                <w:sz w:val="24"/>
                <w:shd w:val="clear" w:color="auto" w:fill="FFFFFF"/>
                <w:lang w:eastAsia="zh-CN" w:bidi="ar"/>
              </w:rPr>
              <w:t>XH-2026-008</w:t>
            </w:r>
          </w:p>
        </w:tc>
      </w:tr>
      <w:tr w14:paraId="0B6C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962259F">
            <w:pPr>
              <w:spacing w:line="480" w:lineRule="exact"/>
              <w:jc w:val="center"/>
              <w:rPr>
                <w:rFonts w:ascii="宋体" w:hAnsi="宋体" w:cs="宋体"/>
                <w:sz w:val="24"/>
              </w:rPr>
            </w:pPr>
            <w:r>
              <w:rPr>
                <w:rFonts w:hint="eastAsia" w:ascii="宋体" w:hAnsi="宋体" w:cs="宋体"/>
                <w:sz w:val="24"/>
              </w:rPr>
              <w:t>3</w:t>
            </w:r>
          </w:p>
        </w:tc>
        <w:tc>
          <w:tcPr>
            <w:tcW w:w="1837" w:type="dxa"/>
            <w:tcBorders>
              <w:top w:val="single" w:color="auto" w:sz="4" w:space="0"/>
              <w:left w:val="single" w:color="auto" w:sz="4" w:space="0"/>
              <w:bottom w:val="single" w:color="auto" w:sz="4" w:space="0"/>
              <w:right w:val="single" w:color="auto" w:sz="4" w:space="0"/>
            </w:tcBorders>
            <w:vAlign w:val="center"/>
          </w:tcPr>
          <w:p w14:paraId="0760EC42">
            <w:pPr>
              <w:spacing w:line="480" w:lineRule="exact"/>
              <w:jc w:val="center"/>
              <w:rPr>
                <w:rFonts w:ascii="宋体" w:hAnsi="宋体" w:cs="宋体"/>
                <w:sz w:val="24"/>
              </w:rPr>
            </w:pPr>
            <w:r>
              <w:rPr>
                <w:rFonts w:hint="eastAsia" w:ascii="宋体" w:hAnsi="宋体" w:cs="宋体"/>
                <w:sz w:val="24"/>
              </w:rPr>
              <w:t>采购单位</w:t>
            </w:r>
          </w:p>
        </w:tc>
        <w:tc>
          <w:tcPr>
            <w:tcW w:w="7493" w:type="dxa"/>
            <w:tcBorders>
              <w:top w:val="single" w:color="auto" w:sz="4" w:space="0"/>
              <w:left w:val="single" w:color="auto" w:sz="4" w:space="0"/>
              <w:bottom w:val="single" w:color="auto" w:sz="4" w:space="0"/>
              <w:right w:val="single" w:color="auto" w:sz="4" w:space="0"/>
            </w:tcBorders>
            <w:vAlign w:val="center"/>
          </w:tcPr>
          <w:p w14:paraId="0C4FE13B">
            <w:pPr>
              <w:spacing w:line="480" w:lineRule="exact"/>
              <w:ind w:right="-197" w:rightChars="-94"/>
              <w:rPr>
                <w:rFonts w:hint="eastAsia" w:ascii="宋体" w:hAnsi="宋体" w:eastAsia="宋体" w:cs="宋体"/>
                <w:sz w:val="24"/>
                <w:lang w:eastAsia="zh-CN"/>
              </w:rPr>
            </w:pPr>
            <w:r>
              <w:rPr>
                <w:rFonts w:hint="eastAsia" w:ascii="宋体" w:hAnsi="宋体" w:cs="宋体"/>
                <w:sz w:val="24"/>
                <w:lang w:eastAsia="zh-CN"/>
              </w:rPr>
              <w:t>泾阳县住房和城乡建设局</w:t>
            </w:r>
          </w:p>
        </w:tc>
      </w:tr>
      <w:tr w14:paraId="2BD6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40161BB">
            <w:pPr>
              <w:spacing w:line="480" w:lineRule="exact"/>
              <w:jc w:val="center"/>
              <w:rPr>
                <w:rFonts w:ascii="宋体" w:hAnsi="宋体" w:cs="宋体"/>
                <w:sz w:val="24"/>
              </w:rPr>
            </w:pPr>
            <w:r>
              <w:rPr>
                <w:rFonts w:hint="eastAsia" w:ascii="宋体" w:hAnsi="宋体" w:cs="宋体"/>
                <w:sz w:val="24"/>
              </w:rPr>
              <w:t>4</w:t>
            </w:r>
          </w:p>
        </w:tc>
        <w:tc>
          <w:tcPr>
            <w:tcW w:w="1837" w:type="dxa"/>
            <w:tcBorders>
              <w:top w:val="single" w:color="auto" w:sz="4" w:space="0"/>
              <w:left w:val="single" w:color="auto" w:sz="4" w:space="0"/>
              <w:bottom w:val="single" w:color="auto" w:sz="4" w:space="0"/>
              <w:right w:val="single" w:color="auto" w:sz="4" w:space="0"/>
            </w:tcBorders>
            <w:vAlign w:val="center"/>
          </w:tcPr>
          <w:p w14:paraId="5C29B402">
            <w:pPr>
              <w:spacing w:line="480" w:lineRule="exact"/>
              <w:jc w:val="center"/>
              <w:rPr>
                <w:rFonts w:ascii="宋体" w:hAnsi="宋体" w:cs="宋体"/>
                <w:sz w:val="24"/>
              </w:rPr>
            </w:pPr>
            <w:r>
              <w:rPr>
                <w:rFonts w:hint="eastAsia" w:ascii="宋体" w:hAnsi="宋体" w:cs="宋体"/>
                <w:sz w:val="24"/>
              </w:rPr>
              <w:t>采购内容</w:t>
            </w:r>
          </w:p>
        </w:tc>
        <w:tc>
          <w:tcPr>
            <w:tcW w:w="7493" w:type="dxa"/>
            <w:tcBorders>
              <w:top w:val="single" w:color="auto" w:sz="4" w:space="0"/>
              <w:left w:val="single" w:color="auto" w:sz="4" w:space="0"/>
              <w:bottom w:val="single" w:color="auto" w:sz="4" w:space="0"/>
              <w:right w:val="single" w:color="auto" w:sz="4" w:space="0"/>
            </w:tcBorders>
            <w:vAlign w:val="center"/>
          </w:tcPr>
          <w:p w14:paraId="15670A10">
            <w:pPr>
              <w:tabs>
                <w:tab w:val="left" w:pos="0"/>
                <w:tab w:val="left" w:pos="160"/>
                <w:tab w:val="left" w:pos="640"/>
                <w:tab w:val="left" w:pos="5120"/>
                <w:tab w:val="left" w:pos="6720"/>
                <w:tab w:val="left" w:pos="8960"/>
              </w:tabs>
              <w:spacing w:line="480" w:lineRule="exact"/>
              <w:ind w:right="-31" w:rightChars="-15"/>
              <w:rPr>
                <w:rFonts w:hint="eastAsia" w:ascii="宋体" w:hAnsi="宋体" w:eastAsia="宋体" w:cs="宋体"/>
                <w:sz w:val="24"/>
                <w:lang w:eastAsia="zh-CN"/>
              </w:rPr>
            </w:pPr>
            <w:r>
              <w:rPr>
                <w:rFonts w:hint="eastAsia" w:ascii="宋体" w:hAnsi="宋体" w:cs="宋体"/>
                <w:sz w:val="24"/>
              </w:rPr>
              <w:t>详见竞争性磋商文件“第四章服务内容及要求</w:t>
            </w:r>
            <w:r>
              <w:rPr>
                <w:rFonts w:hint="eastAsia" w:ascii="宋体" w:hAnsi="宋体" w:cs="宋体"/>
                <w:sz w:val="24"/>
                <w:lang w:eastAsia="zh-CN"/>
              </w:rPr>
              <w:t>”</w:t>
            </w:r>
          </w:p>
        </w:tc>
      </w:tr>
      <w:tr w14:paraId="7528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F0BEC16">
            <w:pPr>
              <w:spacing w:line="480" w:lineRule="exact"/>
              <w:jc w:val="center"/>
              <w:rPr>
                <w:rFonts w:ascii="宋体" w:hAnsi="宋体" w:cs="宋体"/>
                <w:sz w:val="24"/>
              </w:rPr>
            </w:pPr>
            <w:r>
              <w:rPr>
                <w:rFonts w:hint="eastAsia" w:ascii="宋体" w:hAnsi="宋体" w:cs="宋体"/>
                <w:sz w:val="24"/>
              </w:rPr>
              <w:t>5</w:t>
            </w:r>
          </w:p>
        </w:tc>
        <w:tc>
          <w:tcPr>
            <w:tcW w:w="1837" w:type="dxa"/>
            <w:tcBorders>
              <w:top w:val="single" w:color="auto" w:sz="4" w:space="0"/>
              <w:left w:val="single" w:color="auto" w:sz="4" w:space="0"/>
              <w:bottom w:val="single" w:color="auto" w:sz="4" w:space="0"/>
              <w:right w:val="single" w:color="auto" w:sz="4" w:space="0"/>
            </w:tcBorders>
            <w:vAlign w:val="center"/>
          </w:tcPr>
          <w:p w14:paraId="3353BF99">
            <w:pPr>
              <w:spacing w:line="480" w:lineRule="exact"/>
              <w:jc w:val="center"/>
              <w:rPr>
                <w:rFonts w:hint="eastAsia" w:ascii="宋体" w:hAnsi="宋体" w:eastAsia="宋体" w:cs="宋体"/>
                <w:sz w:val="24"/>
                <w:lang w:eastAsia="zh-CN"/>
              </w:rPr>
            </w:pPr>
            <w:r>
              <w:rPr>
                <w:rFonts w:hint="eastAsia" w:ascii="宋体" w:hAnsi="宋体" w:cs="宋体"/>
                <w:sz w:val="24"/>
                <w:lang w:eastAsia="zh-CN"/>
              </w:rPr>
              <w:t>监理服务期</w:t>
            </w:r>
          </w:p>
        </w:tc>
        <w:tc>
          <w:tcPr>
            <w:tcW w:w="7493" w:type="dxa"/>
            <w:tcBorders>
              <w:top w:val="single" w:color="auto" w:sz="4" w:space="0"/>
              <w:left w:val="single" w:color="auto" w:sz="4" w:space="0"/>
              <w:bottom w:val="single" w:color="auto" w:sz="4" w:space="0"/>
              <w:right w:val="single" w:color="auto" w:sz="4" w:space="0"/>
            </w:tcBorders>
            <w:vAlign w:val="center"/>
          </w:tcPr>
          <w:p w14:paraId="11BC8C63">
            <w:pPr>
              <w:spacing w:line="480" w:lineRule="exact"/>
              <w:rPr>
                <w:rFonts w:hint="default" w:ascii="宋体" w:hAnsi="宋体" w:eastAsia="宋体" w:cs="宋体"/>
                <w:sz w:val="24"/>
                <w:lang w:val="en-US" w:eastAsia="zh-CN"/>
              </w:rPr>
            </w:pPr>
            <w:r>
              <w:rPr>
                <w:rFonts w:hint="default" w:ascii="宋体" w:hAnsi="宋体" w:eastAsia="宋体" w:cs="宋体"/>
                <w:sz w:val="24"/>
                <w:lang w:val="en-US" w:eastAsia="zh-CN"/>
              </w:rPr>
              <w:t>监理服务</w:t>
            </w:r>
            <w:r>
              <w:rPr>
                <w:rFonts w:hint="eastAsia" w:ascii="宋体" w:hAnsi="宋体" w:cs="宋体"/>
                <w:sz w:val="24"/>
                <w:lang w:val="en-US" w:eastAsia="zh-CN"/>
              </w:rPr>
              <w:t>5</w:t>
            </w:r>
            <w:r>
              <w:rPr>
                <w:rFonts w:hint="default" w:ascii="宋体" w:hAnsi="宋体" w:eastAsia="宋体" w:cs="宋体"/>
                <w:sz w:val="24"/>
                <w:lang w:val="en-US" w:eastAsia="zh-CN"/>
              </w:rPr>
              <w:t>个月</w:t>
            </w:r>
          </w:p>
        </w:tc>
      </w:tr>
      <w:tr w14:paraId="0448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A523BE0">
            <w:pPr>
              <w:spacing w:line="480" w:lineRule="exact"/>
              <w:jc w:val="center"/>
              <w:rPr>
                <w:rFonts w:ascii="宋体" w:hAnsi="宋体" w:cs="宋体"/>
                <w:sz w:val="24"/>
              </w:rPr>
            </w:pPr>
            <w:r>
              <w:rPr>
                <w:rFonts w:hint="eastAsia" w:ascii="宋体" w:hAnsi="宋体" w:cs="宋体"/>
                <w:sz w:val="24"/>
              </w:rPr>
              <w:t>6</w:t>
            </w:r>
          </w:p>
        </w:tc>
        <w:tc>
          <w:tcPr>
            <w:tcW w:w="1837" w:type="dxa"/>
            <w:tcBorders>
              <w:top w:val="single" w:color="auto" w:sz="4" w:space="0"/>
              <w:left w:val="single" w:color="auto" w:sz="4" w:space="0"/>
              <w:bottom w:val="single" w:color="auto" w:sz="4" w:space="0"/>
              <w:right w:val="single" w:color="auto" w:sz="4" w:space="0"/>
            </w:tcBorders>
            <w:vAlign w:val="center"/>
          </w:tcPr>
          <w:p w14:paraId="53D4F301">
            <w:pPr>
              <w:spacing w:line="480" w:lineRule="exact"/>
              <w:jc w:val="center"/>
              <w:rPr>
                <w:rFonts w:ascii="宋体" w:hAnsi="宋体" w:cs="宋体"/>
                <w:sz w:val="24"/>
              </w:rPr>
            </w:pPr>
            <w:r>
              <w:rPr>
                <w:rFonts w:hint="eastAsia" w:ascii="宋体" w:hAnsi="宋体" w:cs="宋体"/>
                <w:sz w:val="24"/>
              </w:rPr>
              <w:t>服务地点</w:t>
            </w:r>
          </w:p>
        </w:tc>
        <w:tc>
          <w:tcPr>
            <w:tcW w:w="7493" w:type="dxa"/>
            <w:tcBorders>
              <w:top w:val="single" w:color="auto" w:sz="4" w:space="0"/>
              <w:left w:val="single" w:color="auto" w:sz="4" w:space="0"/>
              <w:bottom w:val="single" w:color="auto" w:sz="4" w:space="0"/>
              <w:right w:val="single" w:color="auto" w:sz="4" w:space="0"/>
            </w:tcBorders>
            <w:vAlign w:val="center"/>
          </w:tcPr>
          <w:p w14:paraId="27256491">
            <w:pPr>
              <w:spacing w:line="480" w:lineRule="exact"/>
              <w:rPr>
                <w:rFonts w:ascii="宋体" w:hAnsi="宋体" w:cs="宋体"/>
                <w:sz w:val="24"/>
              </w:rPr>
            </w:pPr>
            <w:r>
              <w:rPr>
                <w:rFonts w:hint="eastAsia" w:ascii="宋体" w:hAnsi="宋体" w:cs="宋体"/>
                <w:sz w:val="24"/>
              </w:rPr>
              <w:t>采购人指定地点</w:t>
            </w:r>
          </w:p>
        </w:tc>
      </w:tr>
      <w:tr w14:paraId="69DEA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8C2CB96">
            <w:pPr>
              <w:spacing w:line="480" w:lineRule="exact"/>
              <w:jc w:val="center"/>
              <w:rPr>
                <w:rFonts w:ascii="宋体" w:hAnsi="宋体" w:cs="宋体"/>
                <w:sz w:val="24"/>
              </w:rPr>
            </w:pPr>
            <w:r>
              <w:rPr>
                <w:rFonts w:hint="eastAsia" w:ascii="宋体" w:hAnsi="宋体" w:cs="宋体"/>
                <w:sz w:val="24"/>
              </w:rPr>
              <w:t>7</w:t>
            </w:r>
          </w:p>
        </w:tc>
        <w:tc>
          <w:tcPr>
            <w:tcW w:w="1837" w:type="dxa"/>
            <w:tcBorders>
              <w:top w:val="single" w:color="auto" w:sz="4" w:space="0"/>
              <w:left w:val="single" w:color="auto" w:sz="4" w:space="0"/>
              <w:bottom w:val="single" w:color="auto" w:sz="4" w:space="0"/>
              <w:right w:val="single" w:color="auto" w:sz="4" w:space="0"/>
            </w:tcBorders>
            <w:vAlign w:val="center"/>
          </w:tcPr>
          <w:p w14:paraId="66378BE8">
            <w:pPr>
              <w:spacing w:line="480" w:lineRule="exact"/>
              <w:jc w:val="center"/>
              <w:rPr>
                <w:rFonts w:ascii="宋体" w:hAnsi="宋体" w:cs="宋体"/>
                <w:sz w:val="24"/>
              </w:rPr>
            </w:pPr>
            <w:r>
              <w:rPr>
                <w:rFonts w:hint="eastAsia" w:ascii="宋体" w:hAnsi="宋体" w:cs="宋体"/>
                <w:sz w:val="24"/>
              </w:rPr>
              <w:t>招标范围</w:t>
            </w:r>
          </w:p>
        </w:tc>
        <w:tc>
          <w:tcPr>
            <w:tcW w:w="7493" w:type="dxa"/>
            <w:tcBorders>
              <w:top w:val="single" w:color="auto" w:sz="4" w:space="0"/>
              <w:left w:val="single" w:color="auto" w:sz="4" w:space="0"/>
              <w:bottom w:val="single" w:color="auto" w:sz="4" w:space="0"/>
              <w:right w:val="single" w:color="auto" w:sz="4" w:space="0"/>
            </w:tcBorders>
            <w:vAlign w:val="center"/>
          </w:tcPr>
          <w:p w14:paraId="6B76D71A">
            <w:pPr>
              <w:spacing w:line="480" w:lineRule="exact"/>
              <w:rPr>
                <w:rFonts w:ascii="宋体" w:hAnsi="宋体" w:cs="宋体"/>
                <w:sz w:val="24"/>
              </w:rPr>
            </w:pPr>
            <w:r>
              <w:rPr>
                <w:rFonts w:hint="eastAsia" w:ascii="宋体" w:hAnsi="宋体" w:cs="宋体"/>
                <w:sz w:val="24"/>
              </w:rPr>
              <w:t>详见第四章“服务内容及要求”</w:t>
            </w:r>
          </w:p>
        </w:tc>
      </w:tr>
      <w:tr w14:paraId="523F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9C9E0CA">
            <w:pPr>
              <w:spacing w:line="480" w:lineRule="exact"/>
              <w:jc w:val="center"/>
              <w:rPr>
                <w:rFonts w:ascii="宋体" w:hAnsi="宋体" w:cs="宋体"/>
                <w:sz w:val="24"/>
              </w:rPr>
            </w:pPr>
            <w:r>
              <w:rPr>
                <w:rFonts w:hint="eastAsia" w:ascii="宋体" w:hAnsi="宋体" w:cs="宋体"/>
                <w:sz w:val="24"/>
              </w:rPr>
              <w:t>8</w:t>
            </w:r>
          </w:p>
        </w:tc>
        <w:tc>
          <w:tcPr>
            <w:tcW w:w="1837" w:type="dxa"/>
            <w:tcBorders>
              <w:top w:val="single" w:color="auto" w:sz="4" w:space="0"/>
              <w:left w:val="single" w:color="auto" w:sz="4" w:space="0"/>
              <w:bottom w:val="single" w:color="auto" w:sz="4" w:space="0"/>
              <w:right w:val="single" w:color="auto" w:sz="4" w:space="0"/>
            </w:tcBorders>
            <w:vAlign w:val="center"/>
          </w:tcPr>
          <w:p w14:paraId="5BF0FBBA">
            <w:pPr>
              <w:spacing w:line="480" w:lineRule="exact"/>
              <w:jc w:val="center"/>
              <w:rPr>
                <w:rFonts w:ascii="宋体" w:hAnsi="宋体" w:cs="宋体"/>
                <w:sz w:val="24"/>
              </w:rPr>
            </w:pPr>
            <w:r>
              <w:rPr>
                <w:rFonts w:hint="eastAsia" w:ascii="宋体" w:hAnsi="宋体"/>
                <w:sz w:val="24"/>
              </w:rPr>
              <w:t>最高限价</w:t>
            </w:r>
          </w:p>
        </w:tc>
        <w:tc>
          <w:tcPr>
            <w:tcW w:w="7493" w:type="dxa"/>
            <w:tcBorders>
              <w:top w:val="single" w:color="auto" w:sz="4" w:space="0"/>
              <w:left w:val="single" w:color="auto" w:sz="4" w:space="0"/>
              <w:bottom w:val="single" w:color="auto" w:sz="4" w:space="0"/>
              <w:right w:val="single" w:color="auto" w:sz="4" w:space="0"/>
            </w:tcBorders>
            <w:vAlign w:val="center"/>
          </w:tcPr>
          <w:p w14:paraId="2D54BC52">
            <w:pPr>
              <w:spacing w:line="480" w:lineRule="exact"/>
              <w:jc w:val="left"/>
              <w:rPr>
                <w:rFonts w:ascii="宋体" w:hAnsi="宋体" w:cs="宋体"/>
                <w:sz w:val="24"/>
              </w:rPr>
            </w:pPr>
            <w:r>
              <w:rPr>
                <w:rFonts w:hint="eastAsia" w:ascii="宋体" w:hAnsi="宋体" w:cs="宋体"/>
                <w:b/>
                <w:bCs/>
                <w:sz w:val="24"/>
                <w:lang w:eastAsia="zh-CN"/>
              </w:rPr>
              <w:t>本项目最高限价为</w:t>
            </w:r>
            <w:r>
              <w:rPr>
                <w:rFonts w:hint="eastAsia" w:ascii="宋体" w:hAnsi="宋体" w:cs="宋体"/>
                <w:b/>
                <w:bCs/>
                <w:sz w:val="24"/>
                <w:lang w:val="en-US" w:eastAsia="zh-CN"/>
              </w:rPr>
              <w:t>177000</w:t>
            </w:r>
            <w:r>
              <w:rPr>
                <w:rFonts w:hint="eastAsia" w:ascii="宋体" w:hAnsi="宋体" w:cs="宋体"/>
                <w:b/>
                <w:bCs/>
                <w:sz w:val="24"/>
                <w:lang w:eastAsia="zh-CN"/>
              </w:rPr>
              <w:t>.00元（大写：</w:t>
            </w:r>
            <w:r>
              <w:rPr>
                <w:rFonts w:hint="eastAsia" w:ascii="宋体" w:hAnsi="宋体" w:cs="宋体"/>
                <w:b/>
                <w:bCs/>
                <w:sz w:val="24"/>
                <w:lang w:val="en-US" w:eastAsia="zh-CN"/>
              </w:rPr>
              <w:t>壹拾柒万柒仟元整</w:t>
            </w:r>
            <w:r>
              <w:rPr>
                <w:rFonts w:hint="eastAsia" w:ascii="宋体" w:hAnsi="宋体" w:cs="宋体"/>
                <w:b/>
                <w:bCs/>
                <w:sz w:val="24"/>
                <w:lang w:eastAsia="zh-CN"/>
              </w:rPr>
              <w:t>）。</w:t>
            </w:r>
          </w:p>
        </w:tc>
      </w:tr>
      <w:tr w14:paraId="4966A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5A18541">
            <w:pPr>
              <w:spacing w:line="480" w:lineRule="exact"/>
              <w:jc w:val="center"/>
              <w:rPr>
                <w:rFonts w:ascii="宋体" w:hAnsi="宋体" w:cs="宋体"/>
                <w:sz w:val="24"/>
              </w:rPr>
            </w:pPr>
            <w:r>
              <w:rPr>
                <w:rFonts w:hint="eastAsia" w:ascii="宋体" w:hAnsi="宋体" w:cs="宋体"/>
                <w:sz w:val="24"/>
              </w:rPr>
              <w:t>9</w:t>
            </w:r>
          </w:p>
        </w:tc>
        <w:tc>
          <w:tcPr>
            <w:tcW w:w="1837" w:type="dxa"/>
            <w:tcBorders>
              <w:top w:val="single" w:color="auto" w:sz="4" w:space="0"/>
              <w:left w:val="single" w:color="auto" w:sz="4" w:space="0"/>
              <w:bottom w:val="single" w:color="auto" w:sz="4" w:space="0"/>
              <w:right w:val="single" w:color="auto" w:sz="4" w:space="0"/>
            </w:tcBorders>
            <w:vAlign w:val="center"/>
          </w:tcPr>
          <w:p w14:paraId="5976D140">
            <w:pPr>
              <w:spacing w:line="480" w:lineRule="exact"/>
              <w:jc w:val="center"/>
              <w:rPr>
                <w:rFonts w:ascii="宋体" w:hAnsi="宋体" w:cs="宋体"/>
                <w:sz w:val="24"/>
              </w:rPr>
            </w:pPr>
            <w:r>
              <w:rPr>
                <w:rFonts w:hint="eastAsia" w:ascii="宋体" w:hAnsi="宋体" w:cs="宋体"/>
                <w:sz w:val="24"/>
              </w:rPr>
              <w:t>资金性质</w:t>
            </w:r>
          </w:p>
        </w:tc>
        <w:tc>
          <w:tcPr>
            <w:tcW w:w="7493" w:type="dxa"/>
            <w:tcBorders>
              <w:top w:val="single" w:color="auto" w:sz="4" w:space="0"/>
              <w:left w:val="single" w:color="auto" w:sz="4" w:space="0"/>
              <w:bottom w:val="single" w:color="auto" w:sz="4" w:space="0"/>
              <w:right w:val="single" w:color="auto" w:sz="4" w:space="0"/>
            </w:tcBorders>
            <w:vAlign w:val="center"/>
          </w:tcPr>
          <w:p w14:paraId="49553A19">
            <w:pPr>
              <w:spacing w:line="480" w:lineRule="exact"/>
              <w:rPr>
                <w:rFonts w:ascii="宋体" w:hAnsi="宋体" w:cs="宋体"/>
                <w:sz w:val="24"/>
              </w:rPr>
            </w:pPr>
            <w:r>
              <w:rPr>
                <w:rFonts w:hint="eastAsia" w:ascii="宋体" w:hAnsi="宋体" w:cs="宋体"/>
                <w:sz w:val="24"/>
              </w:rPr>
              <w:t>财政资金</w:t>
            </w:r>
          </w:p>
        </w:tc>
      </w:tr>
      <w:tr w14:paraId="5028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6F8E239">
            <w:pPr>
              <w:spacing w:line="480" w:lineRule="exact"/>
              <w:jc w:val="center"/>
              <w:rPr>
                <w:rFonts w:ascii="宋体" w:hAnsi="宋体" w:cs="宋体"/>
                <w:sz w:val="24"/>
              </w:rPr>
            </w:pPr>
            <w:r>
              <w:rPr>
                <w:rFonts w:hint="eastAsia" w:ascii="宋体" w:hAnsi="宋体" w:cs="宋体"/>
                <w:sz w:val="24"/>
              </w:rPr>
              <w:t>10</w:t>
            </w:r>
          </w:p>
        </w:tc>
        <w:tc>
          <w:tcPr>
            <w:tcW w:w="1837" w:type="dxa"/>
            <w:tcBorders>
              <w:top w:val="single" w:color="auto" w:sz="4" w:space="0"/>
              <w:left w:val="single" w:color="auto" w:sz="4" w:space="0"/>
              <w:bottom w:val="single" w:color="auto" w:sz="4" w:space="0"/>
              <w:right w:val="single" w:color="auto" w:sz="4" w:space="0"/>
            </w:tcBorders>
            <w:vAlign w:val="center"/>
          </w:tcPr>
          <w:p w14:paraId="53F2E80C">
            <w:pPr>
              <w:spacing w:line="480" w:lineRule="exact"/>
              <w:jc w:val="center"/>
              <w:rPr>
                <w:rFonts w:ascii="宋体" w:hAnsi="宋体" w:cs="宋体"/>
                <w:sz w:val="24"/>
              </w:rPr>
            </w:pPr>
            <w:r>
              <w:rPr>
                <w:rFonts w:hint="eastAsia" w:ascii="宋体" w:hAnsi="宋体" w:cs="宋体"/>
                <w:sz w:val="24"/>
              </w:rPr>
              <w:t>供应商资质</w:t>
            </w:r>
          </w:p>
          <w:p w14:paraId="428355A8">
            <w:pPr>
              <w:spacing w:line="480" w:lineRule="exact"/>
              <w:jc w:val="center"/>
              <w:rPr>
                <w:rFonts w:ascii="宋体" w:hAnsi="宋体" w:cs="宋体"/>
                <w:sz w:val="24"/>
              </w:rPr>
            </w:pPr>
            <w:r>
              <w:rPr>
                <w:rFonts w:hint="eastAsia" w:ascii="宋体" w:hAnsi="宋体" w:cs="宋体"/>
                <w:sz w:val="24"/>
              </w:rPr>
              <w:t>要求</w:t>
            </w:r>
          </w:p>
        </w:tc>
        <w:tc>
          <w:tcPr>
            <w:tcW w:w="7493" w:type="dxa"/>
            <w:tcBorders>
              <w:top w:val="single" w:color="auto" w:sz="4" w:space="0"/>
              <w:left w:val="single" w:color="auto" w:sz="4" w:space="0"/>
              <w:bottom w:val="single" w:color="auto" w:sz="4" w:space="0"/>
              <w:right w:val="single" w:color="auto" w:sz="4" w:space="0"/>
            </w:tcBorders>
            <w:vAlign w:val="center"/>
          </w:tcPr>
          <w:p w14:paraId="514FDDCF">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1.满足《中华人民共和国政府采购法》第二十二条规定;</w:t>
            </w:r>
          </w:p>
          <w:p w14:paraId="307D4D9C">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2.落实政府采购政策需满足的资格要求：</w:t>
            </w:r>
          </w:p>
          <w:p w14:paraId="0E836887">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合同包1(</w:t>
            </w:r>
            <w:r>
              <w:rPr>
                <w:rFonts w:hint="eastAsia" w:ascii="宋体" w:hAnsi="宋体" w:cs="宋体"/>
                <w:szCs w:val="24"/>
                <w:lang w:eastAsia="zh-CN"/>
              </w:rPr>
              <w:t>泾阳县县城吉元大街基础设施改造项目监理服务</w:t>
            </w:r>
            <w:r>
              <w:rPr>
                <w:rFonts w:hint="eastAsia" w:ascii="宋体" w:hAnsi="宋体" w:cs="宋体"/>
                <w:szCs w:val="24"/>
              </w:rPr>
              <w:t>)落实政府采购政策需满足的资格要求如下:</w:t>
            </w:r>
          </w:p>
          <w:p w14:paraId="35F6D7D9">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《政府采购促进中小企业发展管理办法》（财库〔2020〕46号）； </w:t>
            </w:r>
            <w:r>
              <w:rPr>
                <w:rFonts w:hint="eastAsia" w:ascii="宋体" w:hAnsi="宋体" w:cs="宋体"/>
                <w:szCs w:val="24"/>
              </w:rPr>
              <w:br w:type="textWrapping"/>
            </w:r>
            <w:r>
              <w:rPr>
                <w:rFonts w:hint="eastAsia" w:ascii="宋体" w:hAnsi="宋体" w:cs="宋体"/>
                <w:szCs w:val="24"/>
              </w:rPr>
              <w:t>（2）《关于进一步加大政府采购支持中小企业力度的通知》（财库〔2022〕19号）；</w:t>
            </w:r>
            <w:r>
              <w:rPr>
                <w:rFonts w:hint="eastAsia" w:ascii="宋体" w:hAnsi="宋体" w:cs="宋体"/>
                <w:szCs w:val="24"/>
              </w:rPr>
              <w:br w:type="textWrapping"/>
            </w:r>
            <w:r>
              <w:rPr>
                <w:rFonts w:hint="eastAsia" w:ascii="宋体" w:hAnsi="宋体" w:cs="宋体"/>
                <w:szCs w:val="24"/>
              </w:rPr>
              <w:t>（3）《财政部司法部关于政府采购支持监狱企业发展有关问题的通知》（财库〔2014〕68号）； </w:t>
            </w:r>
            <w:r>
              <w:rPr>
                <w:rFonts w:hint="eastAsia" w:ascii="宋体" w:hAnsi="宋体" w:cs="宋体"/>
                <w:szCs w:val="24"/>
              </w:rPr>
              <w:br w:type="textWrapping"/>
            </w:r>
            <w:r>
              <w:rPr>
                <w:rFonts w:hint="eastAsia" w:ascii="宋体" w:hAnsi="宋体" w:cs="宋体"/>
                <w:szCs w:val="24"/>
              </w:rPr>
              <w:t>（4）《国务院办公厅关于建立政府强制采购节能产品制度的通知》（国办发〔2007〕51号）； </w:t>
            </w:r>
            <w:r>
              <w:rPr>
                <w:rFonts w:hint="eastAsia" w:ascii="宋体" w:hAnsi="宋体" w:cs="宋体"/>
                <w:szCs w:val="24"/>
              </w:rPr>
              <w:br w:type="textWrapping"/>
            </w:r>
            <w:r>
              <w:rPr>
                <w:rFonts w:hint="eastAsia" w:ascii="宋体" w:hAnsi="宋体" w:cs="宋体"/>
                <w:szCs w:val="24"/>
              </w:rPr>
              <w:t>（5）《关于印发环境标志产品政府采购品目清单的通知》（财库〔2019〕18号）； </w:t>
            </w:r>
            <w:r>
              <w:rPr>
                <w:rFonts w:hint="eastAsia" w:ascii="宋体" w:hAnsi="宋体" w:cs="宋体"/>
                <w:szCs w:val="24"/>
              </w:rPr>
              <w:br w:type="textWrapping"/>
            </w:r>
            <w:r>
              <w:rPr>
                <w:rFonts w:hint="eastAsia" w:ascii="宋体" w:hAnsi="宋体" w:cs="宋体"/>
                <w:szCs w:val="24"/>
              </w:rPr>
              <w:t>（6）《关于印发节能产品政府采购品目清单的通知》（财库〔2019〕19号）；</w:t>
            </w:r>
            <w:r>
              <w:rPr>
                <w:rFonts w:hint="eastAsia" w:ascii="宋体" w:hAnsi="宋体" w:cs="宋体"/>
                <w:szCs w:val="24"/>
              </w:rPr>
              <w:br w:type="textWrapping"/>
            </w:r>
            <w:r>
              <w:rPr>
                <w:rFonts w:hint="eastAsia" w:ascii="宋体" w:hAnsi="宋体" w:cs="宋体"/>
                <w:szCs w:val="24"/>
              </w:rPr>
              <w:t>（7）《关于促进残疾人就业政府采购政策的通知》财库〔2017〕141号； </w:t>
            </w:r>
            <w:r>
              <w:rPr>
                <w:rFonts w:hint="eastAsia" w:ascii="宋体" w:hAnsi="宋体" w:cs="宋体"/>
                <w:szCs w:val="24"/>
              </w:rPr>
              <w:br w:type="textWrapping"/>
            </w:r>
            <w:r>
              <w:rPr>
                <w:rFonts w:hint="eastAsia" w:ascii="宋体" w:hAnsi="宋体" w:cs="宋体"/>
                <w:szCs w:val="24"/>
              </w:rPr>
              <w:t>（8）《关于调整优化节能产品、环境标志产品政府采购执行机制的通知》（财库〔2019〕9号）； </w:t>
            </w:r>
            <w:r>
              <w:rPr>
                <w:rFonts w:hint="eastAsia" w:ascii="宋体" w:hAnsi="宋体" w:cs="宋体"/>
                <w:szCs w:val="24"/>
              </w:rPr>
              <w:br w:type="textWrapping"/>
            </w:r>
            <w:r>
              <w:rPr>
                <w:rFonts w:hint="eastAsia" w:ascii="宋体" w:hAnsi="宋体" w:cs="宋体"/>
                <w:szCs w:val="24"/>
              </w:rPr>
              <w:t>（9）《财政部农业农村部国家乡村振兴局关于运用政府采购政策支持乡村产业振兴的通知》（财库〔2021〕19号）；</w:t>
            </w:r>
            <w:r>
              <w:rPr>
                <w:rFonts w:hint="eastAsia" w:ascii="宋体" w:hAnsi="宋体" w:cs="宋体"/>
                <w:szCs w:val="24"/>
              </w:rPr>
              <w:br w:type="textWrapping"/>
            </w:r>
            <w:r>
              <w:rPr>
                <w:rFonts w:hint="eastAsia" w:ascii="宋体" w:hAnsi="宋体" w:cs="宋体"/>
                <w:szCs w:val="24"/>
              </w:rPr>
              <w:t>（10）《陕西省中小企业政府采购信用融资办法》（陕财办采〔2018〕23号）；</w:t>
            </w:r>
            <w:r>
              <w:rPr>
                <w:rFonts w:hint="eastAsia" w:ascii="宋体" w:hAnsi="宋体" w:cs="宋体"/>
                <w:szCs w:val="24"/>
              </w:rPr>
              <w:br w:type="textWrapping"/>
            </w:r>
            <w:r>
              <w:rPr>
                <w:rFonts w:hint="eastAsia" w:ascii="宋体" w:hAnsi="宋体" w:cs="宋体"/>
                <w:szCs w:val="24"/>
              </w:rPr>
              <w:t>（11）《陕西省财政厅关于加快推进我省中小企业政府采购信用融资工作的通知》（陕财办采〔2020〕15号）； </w:t>
            </w:r>
            <w:r>
              <w:rPr>
                <w:rFonts w:hint="eastAsia" w:ascii="宋体" w:hAnsi="宋体" w:cs="宋体"/>
                <w:szCs w:val="24"/>
              </w:rPr>
              <w:br w:type="textWrapping"/>
            </w:r>
            <w:r>
              <w:rPr>
                <w:rFonts w:hint="eastAsia" w:ascii="宋体" w:hAnsi="宋体" w:cs="宋体"/>
                <w:szCs w:val="24"/>
              </w:rPr>
              <w:t>（12）《陕西省财政厅关于进一步加强政府绿色采购有关问题的通知》（陕财办采〔2021〕29号）；</w:t>
            </w:r>
            <w:r>
              <w:rPr>
                <w:rFonts w:hint="eastAsia" w:ascii="宋体" w:hAnsi="宋体" w:cs="宋体"/>
                <w:szCs w:val="24"/>
              </w:rPr>
              <w:br w:type="textWrapping"/>
            </w:r>
            <w:r>
              <w:rPr>
                <w:rFonts w:hint="eastAsia" w:ascii="宋体" w:hAnsi="宋体" w:cs="宋体"/>
                <w:szCs w:val="24"/>
              </w:rPr>
              <w:t>（13）其他需要落实的政府采购政策。</w:t>
            </w:r>
          </w:p>
          <w:p w14:paraId="42E6D865">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3.本项目的特定资格要求：</w:t>
            </w:r>
          </w:p>
          <w:p w14:paraId="1F8CC09D">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合同包1(</w:t>
            </w:r>
            <w:r>
              <w:rPr>
                <w:rFonts w:hint="eastAsia" w:ascii="宋体" w:hAnsi="宋体" w:cs="宋体"/>
                <w:szCs w:val="24"/>
                <w:lang w:eastAsia="zh-CN"/>
              </w:rPr>
              <w:t>泾阳县县城吉元大街基础设施改造项目监理服务</w:t>
            </w:r>
            <w:r>
              <w:rPr>
                <w:rFonts w:hint="eastAsia" w:ascii="宋体" w:hAnsi="宋体" w:cs="宋体"/>
                <w:szCs w:val="24"/>
              </w:rPr>
              <w:t>)特定资格要求如下:</w:t>
            </w:r>
          </w:p>
          <w:p w14:paraId="027EF63E">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1</w:t>
            </w:r>
            <w:r>
              <w:rPr>
                <w:rFonts w:hint="eastAsia" w:ascii="宋体" w:hAnsi="宋体" w:cs="宋体"/>
                <w:szCs w:val="24"/>
                <w:lang w:eastAsia="zh-CN"/>
              </w:rPr>
              <w:t>）</w:t>
            </w:r>
            <w:r>
              <w:rPr>
                <w:rFonts w:hint="eastAsia" w:ascii="宋体" w:hAnsi="宋体" w:cs="宋体"/>
                <w:szCs w:val="24"/>
              </w:rPr>
              <w:t>营业执照等主体资格证明文件：供应商应具有独立承担民事责任能力的法人或其他组织或自然人（法人或其他组织提供营业执照或事业单位法人证书等国家规定的相关证明，自然人提供身份证件）；</w:t>
            </w:r>
          </w:p>
          <w:p w14:paraId="60B9BDE7">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2</w:t>
            </w:r>
            <w:r>
              <w:rPr>
                <w:rFonts w:hint="eastAsia" w:ascii="宋体" w:hAnsi="宋体" w:cs="宋体"/>
                <w:szCs w:val="24"/>
                <w:lang w:eastAsia="zh-CN"/>
              </w:rPr>
              <w:t>）</w:t>
            </w:r>
            <w:r>
              <w:rPr>
                <w:rFonts w:hint="eastAsia" w:ascii="宋体" w:hAnsi="宋体" w:cs="宋体"/>
                <w:szCs w:val="24"/>
              </w:rPr>
              <w:t>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5BBF41B8">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lang w:eastAsia="zh-CN"/>
              </w:rPr>
            </w:pPr>
            <w:r>
              <w:rPr>
                <w:rFonts w:hint="eastAsia" w:ascii="宋体" w:hAnsi="宋体" w:cs="宋体"/>
                <w:szCs w:val="24"/>
              </w:rPr>
              <w:t>（</w:t>
            </w:r>
            <w:r>
              <w:rPr>
                <w:rFonts w:hint="eastAsia" w:ascii="宋体" w:hAnsi="宋体" w:cs="宋体"/>
                <w:szCs w:val="24"/>
                <w:lang w:val="en-US" w:eastAsia="zh-CN"/>
              </w:rPr>
              <w:t>3</w:t>
            </w:r>
            <w:r>
              <w:rPr>
                <w:rFonts w:hint="eastAsia" w:ascii="宋体" w:hAnsi="宋体" w:cs="宋体"/>
                <w:szCs w:val="24"/>
              </w:rPr>
              <w:t>）供应商须具备工程监理综合资质或市政公用工程监理乙级及以上资质</w:t>
            </w:r>
            <w:r>
              <w:rPr>
                <w:rFonts w:hint="eastAsia" w:ascii="宋体" w:hAnsi="宋体" w:cs="宋体"/>
                <w:szCs w:val="24"/>
                <w:lang w:eastAsia="zh-CN"/>
              </w:rPr>
              <w:t>；</w:t>
            </w:r>
          </w:p>
          <w:p w14:paraId="073668D8">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(4)拟派总监理工程师须具备【市政公用工程注册监理工程师】执业资格，且未担任其他在建工程项目的总监理工程师</w:t>
            </w:r>
            <w:r>
              <w:rPr>
                <w:rFonts w:hint="eastAsia" w:ascii="宋体" w:hAnsi="宋体" w:cs="宋体"/>
                <w:szCs w:val="24"/>
                <w:lang w:eastAsia="zh-CN"/>
              </w:rPr>
              <w:t>；</w:t>
            </w:r>
          </w:p>
          <w:p w14:paraId="3FA03D3B">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5</w:t>
            </w:r>
            <w:r>
              <w:rPr>
                <w:rFonts w:hint="eastAsia" w:ascii="宋体" w:hAnsi="宋体" w:cs="宋体"/>
                <w:szCs w:val="24"/>
                <w:lang w:eastAsia="zh-CN"/>
              </w:rPr>
              <w:t>）</w:t>
            </w:r>
            <w:r>
              <w:rPr>
                <w:rFonts w:hint="eastAsia" w:ascii="宋体" w:hAnsi="宋体" w:cs="宋体"/>
                <w:szCs w:val="24"/>
              </w:rPr>
              <w:t>书面声明：出具参加本次采购活动前三年内在经营活动中没有重大违法记录的书面声明；</w:t>
            </w:r>
          </w:p>
          <w:p w14:paraId="50809070">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6</w:t>
            </w:r>
            <w:r>
              <w:rPr>
                <w:rFonts w:hint="eastAsia" w:ascii="宋体" w:hAnsi="宋体" w:cs="宋体"/>
                <w:szCs w:val="24"/>
              </w:rPr>
              <w:t>）供应商须提供具有履行合同所必需的设备和专业技术能力的承诺；</w:t>
            </w:r>
          </w:p>
          <w:p w14:paraId="2D37B164">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7</w:t>
            </w:r>
            <w:r>
              <w:rPr>
                <w:rFonts w:hint="eastAsia" w:ascii="宋体" w:hAnsi="宋体" w:cs="宋体"/>
                <w:szCs w:val="24"/>
              </w:rPr>
              <w:t>）财务状况报告：提供</w:t>
            </w:r>
            <w:r>
              <w:rPr>
                <w:rFonts w:hint="eastAsia" w:ascii="宋体" w:hAnsi="宋体" w:cs="宋体"/>
                <w:szCs w:val="24"/>
                <w:lang w:val="en-US" w:eastAsia="zh-CN"/>
              </w:rPr>
              <w:t>2024年度或2025年度</w:t>
            </w:r>
            <w:r>
              <w:rPr>
                <w:rFonts w:hint="eastAsia" w:ascii="宋体" w:hAnsi="宋体" w:cs="宋体"/>
                <w:szCs w:val="24"/>
              </w:rPr>
              <w:t>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077F149A">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8</w:t>
            </w:r>
            <w:r>
              <w:rPr>
                <w:rFonts w:hint="eastAsia" w:ascii="宋体" w:hAnsi="宋体" w:cs="宋体"/>
                <w:szCs w:val="24"/>
              </w:rPr>
              <w:t>）社会保障资金缴纳证明：提供响应文件提交截止时间前6个月内任意一个月已缴纳的社会保障资金缴存单据或社保机构开具的社会保险参保缴费情况证明，依法不需要缴纳社会保障资金的应提供相关文件证明；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07826896">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9</w:t>
            </w:r>
            <w:r>
              <w:rPr>
                <w:rFonts w:hint="eastAsia" w:ascii="宋体" w:hAnsi="宋体" w:cs="宋体"/>
                <w:szCs w:val="24"/>
              </w:rPr>
              <w:t>）税收缴纳证明：提供响应文件提交截止时间前6个月内任意一个月已缴纳的完税凭证或税务机关开具的完税证明（任意税种），依法免税的应提供相关文件证明；</w:t>
            </w:r>
          </w:p>
          <w:p w14:paraId="5A9BE998">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10</w:t>
            </w:r>
            <w:r>
              <w:rPr>
                <w:rFonts w:hint="eastAsia" w:ascii="宋体" w:hAnsi="宋体" w:cs="宋体"/>
                <w:szCs w:val="24"/>
              </w:rPr>
              <w:t>）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p>
          <w:p w14:paraId="7CA0AE37">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11</w:t>
            </w:r>
            <w:r>
              <w:rPr>
                <w:rFonts w:hint="eastAsia" w:ascii="宋体" w:hAnsi="宋体" w:cs="宋体"/>
                <w:szCs w:val="24"/>
              </w:rPr>
              <w:t>）单位负责人为同一人或者存在直接控股、管理关系的不同供应商，不得同时参加同一采购活动；</w:t>
            </w:r>
          </w:p>
          <w:p w14:paraId="68039398">
            <w:pPr>
              <w:pStyle w:val="20"/>
              <w:keepNext w:val="0"/>
              <w:keepLines w:val="0"/>
              <w:pageBreakBefore w:val="0"/>
              <w:widowControl/>
              <w:kinsoku/>
              <w:wordWrap w:val="0"/>
              <w:overflowPunct/>
              <w:topLinePunct w:val="0"/>
              <w:autoSpaceDE/>
              <w:autoSpaceDN/>
              <w:bidi w:val="0"/>
              <w:adjustRightInd/>
              <w:snapToGrid/>
              <w:spacing w:beforeAutospacing="0" w:afterAutospacing="0" w:line="440" w:lineRule="exact"/>
              <w:jc w:val="both"/>
              <w:textAlignment w:val="auto"/>
              <w:rPr>
                <w:rFonts w:ascii="宋体" w:hAnsi="宋体" w:cs="宋体"/>
                <w:szCs w:val="24"/>
              </w:rPr>
            </w:pPr>
            <w:r>
              <w:rPr>
                <w:rFonts w:hint="eastAsia" w:ascii="宋体" w:hAnsi="宋体" w:cs="宋体"/>
                <w:szCs w:val="24"/>
              </w:rPr>
              <w:t>（1</w:t>
            </w:r>
            <w:r>
              <w:rPr>
                <w:rFonts w:hint="eastAsia" w:ascii="宋体" w:hAnsi="宋体" w:cs="宋体"/>
                <w:szCs w:val="24"/>
                <w:lang w:val="en-US" w:eastAsia="zh-CN"/>
              </w:rPr>
              <w:t>2</w:t>
            </w:r>
            <w:r>
              <w:rPr>
                <w:rFonts w:hint="eastAsia" w:ascii="宋体" w:hAnsi="宋体" w:cs="宋体"/>
                <w:szCs w:val="24"/>
              </w:rPr>
              <w:t>）本项目不接受联合体投标,供应商需保证资质文件的真实、合法、有效；</w:t>
            </w:r>
            <w:r>
              <w:rPr>
                <w:rFonts w:hint="eastAsia" w:ascii="宋体" w:hAnsi="宋体" w:cs="宋体"/>
                <w:szCs w:val="24"/>
              </w:rPr>
              <w:br w:type="textWrapping"/>
            </w:r>
            <w:r>
              <w:rPr>
                <w:rFonts w:hint="eastAsia" w:ascii="宋体" w:hAnsi="宋体" w:cs="宋体"/>
                <w:szCs w:val="24"/>
              </w:rPr>
              <w:t>（1</w:t>
            </w:r>
            <w:r>
              <w:rPr>
                <w:rFonts w:hint="eastAsia" w:ascii="宋体" w:hAnsi="宋体" w:cs="宋体"/>
                <w:szCs w:val="24"/>
                <w:lang w:val="en-US" w:eastAsia="zh-CN"/>
              </w:rPr>
              <w:t>3</w:t>
            </w:r>
            <w:r>
              <w:rPr>
                <w:rFonts w:hint="eastAsia" w:ascii="宋体" w:hAnsi="宋体" w:cs="宋体"/>
                <w:szCs w:val="24"/>
              </w:rPr>
              <w:t>）本项目专门面向中小企业采购，须符合《政府采购促进中小企业发展管理办法》（财库〔2020〕46号）规定的中小企业参加。</w:t>
            </w:r>
          </w:p>
        </w:tc>
      </w:tr>
      <w:tr w14:paraId="7E880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1B64F9A">
            <w:pPr>
              <w:spacing w:line="480" w:lineRule="exact"/>
              <w:jc w:val="center"/>
              <w:rPr>
                <w:rFonts w:ascii="宋体" w:hAnsi="宋体" w:cs="宋体"/>
                <w:sz w:val="24"/>
              </w:rPr>
            </w:pPr>
            <w:r>
              <w:rPr>
                <w:rFonts w:hint="eastAsia" w:ascii="宋体" w:hAnsi="宋体" w:cs="宋体"/>
                <w:sz w:val="24"/>
              </w:rPr>
              <w:t>11</w:t>
            </w:r>
          </w:p>
        </w:tc>
        <w:tc>
          <w:tcPr>
            <w:tcW w:w="1837" w:type="dxa"/>
            <w:tcBorders>
              <w:top w:val="single" w:color="auto" w:sz="4" w:space="0"/>
              <w:left w:val="single" w:color="auto" w:sz="4" w:space="0"/>
              <w:bottom w:val="single" w:color="auto" w:sz="4" w:space="0"/>
              <w:right w:val="single" w:color="auto" w:sz="4" w:space="0"/>
            </w:tcBorders>
            <w:vAlign w:val="center"/>
          </w:tcPr>
          <w:p w14:paraId="47AA801C">
            <w:pPr>
              <w:spacing w:line="480" w:lineRule="exact"/>
              <w:jc w:val="center"/>
              <w:rPr>
                <w:rFonts w:ascii="宋体" w:hAnsi="宋体"/>
                <w:sz w:val="24"/>
              </w:rPr>
            </w:pPr>
            <w:r>
              <w:rPr>
                <w:rFonts w:hint="eastAsia" w:ascii="宋体" w:hAnsi="宋体"/>
                <w:sz w:val="24"/>
              </w:rPr>
              <w:t>备选磋商方案</w:t>
            </w:r>
          </w:p>
          <w:p w14:paraId="1CDA097F">
            <w:pPr>
              <w:spacing w:line="480" w:lineRule="exact"/>
              <w:jc w:val="center"/>
              <w:rPr>
                <w:rFonts w:ascii="宋体" w:hAnsi="宋体" w:cs="宋体"/>
                <w:sz w:val="24"/>
              </w:rPr>
            </w:pPr>
            <w:r>
              <w:rPr>
                <w:rFonts w:hint="eastAsia" w:ascii="宋体" w:hAnsi="宋体"/>
                <w:sz w:val="24"/>
              </w:rPr>
              <w:t>和报价</w:t>
            </w:r>
          </w:p>
        </w:tc>
        <w:tc>
          <w:tcPr>
            <w:tcW w:w="7493" w:type="dxa"/>
            <w:tcBorders>
              <w:top w:val="single" w:color="auto" w:sz="4" w:space="0"/>
              <w:left w:val="single" w:color="auto" w:sz="4" w:space="0"/>
              <w:bottom w:val="single" w:color="auto" w:sz="4" w:space="0"/>
              <w:right w:val="single" w:color="auto" w:sz="4" w:space="0"/>
            </w:tcBorders>
            <w:vAlign w:val="center"/>
          </w:tcPr>
          <w:p w14:paraId="47B67DCE">
            <w:pPr>
              <w:tabs>
                <w:tab w:val="left" w:pos="7013"/>
              </w:tabs>
              <w:spacing w:line="480" w:lineRule="exact"/>
              <w:rPr>
                <w:rFonts w:ascii="宋体" w:hAnsi="宋体" w:cs="宋体"/>
                <w:sz w:val="24"/>
              </w:rPr>
            </w:pPr>
            <w:r>
              <w:rPr>
                <w:rFonts w:hint="eastAsia" w:ascii="宋体" w:hAnsi="宋体"/>
                <w:sz w:val="24"/>
              </w:rPr>
              <w:t>不接受备选磋商方案和多个报价。</w:t>
            </w:r>
          </w:p>
        </w:tc>
      </w:tr>
      <w:tr w14:paraId="2595D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97A67B8">
            <w:pPr>
              <w:spacing w:line="480" w:lineRule="exact"/>
              <w:jc w:val="center"/>
              <w:rPr>
                <w:rFonts w:ascii="宋体" w:hAnsi="宋体" w:cs="宋体"/>
                <w:sz w:val="24"/>
              </w:rPr>
            </w:pPr>
            <w:r>
              <w:rPr>
                <w:rFonts w:hint="eastAsia" w:ascii="宋体" w:hAnsi="宋体" w:cs="宋体"/>
                <w:sz w:val="24"/>
              </w:rPr>
              <w:t>12</w:t>
            </w:r>
          </w:p>
        </w:tc>
        <w:tc>
          <w:tcPr>
            <w:tcW w:w="1837" w:type="dxa"/>
            <w:tcBorders>
              <w:top w:val="single" w:color="auto" w:sz="4" w:space="0"/>
              <w:left w:val="single" w:color="auto" w:sz="4" w:space="0"/>
              <w:bottom w:val="single" w:color="auto" w:sz="4" w:space="0"/>
              <w:right w:val="single" w:color="auto" w:sz="4" w:space="0"/>
            </w:tcBorders>
            <w:vAlign w:val="center"/>
          </w:tcPr>
          <w:p w14:paraId="0A736611">
            <w:pPr>
              <w:spacing w:line="480" w:lineRule="exact"/>
              <w:jc w:val="center"/>
              <w:rPr>
                <w:rFonts w:ascii="宋体" w:hAnsi="宋体"/>
                <w:sz w:val="24"/>
              </w:rPr>
            </w:pPr>
            <w:r>
              <w:rPr>
                <w:rFonts w:hint="eastAsia" w:ascii="宋体" w:hAnsi="宋体"/>
                <w:sz w:val="24"/>
              </w:rPr>
              <w:t>报价方式</w:t>
            </w:r>
          </w:p>
        </w:tc>
        <w:tc>
          <w:tcPr>
            <w:tcW w:w="7493" w:type="dxa"/>
            <w:tcBorders>
              <w:top w:val="single" w:color="auto" w:sz="4" w:space="0"/>
              <w:left w:val="single" w:color="auto" w:sz="4" w:space="0"/>
              <w:bottom w:val="single" w:color="auto" w:sz="4" w:space="0"/>
              <w:right w:val="single" w:color="auto" w:sz="4" w:space="0"/>
            </w:tcBorders>
            <w:vAlign w:val="center"/>
          </w:tcPr>
          <w:p w14:paraId="63D638DD">
            <w:pPr>
              <w:spacing w:line="480" w:lineRule="exact"/>
              <w:jc w:val="left"/>
              <w:rPr>
                <w:rFonts w:ascii="宋体" w:hAnsi="宋体"/>
                <w:sz w:val="24"/>
              </w:rPr>
            </w:pPr>
            <w:r>
              <w:rPr>
                <w:rFonts w:hint="eastAsia" w:ascii="宋体" w:hAnsi="宋体"/>
                <w:sz w:val="24"/>
              </w:rPr>
              <w:t>本次磋商采取二轮报价的方法。第一轮报价后，经磋商小组评审、磋商、补充有关要求后，磋商小组应当要求所有实质性响应的供应商在规定时间内提交第二轮报价。</w:t>
            </w:r>
          </w:p>
        </w:tc>
      </w:tr>
      <w:tr w14:paraId="06B0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9C3C1FC">
            <w:pPr>
              <w:spacing w:line="460" w:lineRule="exact"/>
              <w:jc w:val="center"/>
              <w:rPr>
                <w:rFonts w:ascii="宋体" w:hAnsi="宋体" w:cs="宋体"/>
                <w:sz w:val="24"/>
              </w:rPr>
            </w:pPr>
            <w:r>
              <w:rPr>
                <w:rFonts w:hint="eastAsia" w:ascii="宋体" w:hAnsi="宋体" w:cs="宋体"/>
                <w:sz w:val="24"/>
              </w:rPr>
              <w:t>13</w:t>
            </w:r>
          </w:p>
        </w:tc>
        <w:tc>
          <w:tcPr>
            <w:tcW w:w="1837" w:type="dxa"/>
            <w:tcBorders>
              <w:top w:val="single" w:color="auto" w:sz="4" w:space="0"/>
              <w:left w:val="single" w:color="auto" w:sz="4" w:space="0"/>
              <w:bottom w:val="single" w:color="auto" w:sz="4" w:space="0"/>
              <w:right w:val="single" w:color="auto" w:sz="4" w:space="0"/>
            </w:tcBorders>
            <w:vAlign w:val="center"/>
          </w:tcPr>
          <w:p w14:paraId="1217ACF2">
            <w:pPr>
              <w:spacing w:line="460" w:lineRule="exact"/>
              <w:jc w:val="center"/>
              <w:rPr>
                <w:rFonts w:ascii="宋体" w:hAnsi="宋体"/>
                <w:sz w:val="24"/>
              </w:rPr>
            </w:pPr>
            <w:r>
              <w:rPr>
                <w:rFonts w:hint="eastAsia" w:ascii="宋体" w:hAnsi="宋体"/>
                <w:sz w:val="24"/>
              </w:rPr>
              <w:t>磋商报价</w:t>
            </w:r>
          </w:p>
          <w:p w14:paraId="1871BE87">
            <w:pPr>
              <w:spacing w:line="460" w:lineRule="exact"/>
              <w:jc w:val="center"/>
              <w:rPr>
                <w:rFonts w:ascii="宋体" w:hAnsi="宋体"/>
                <w:sz w:val="24"/>
              </w:rPr>
            </w:pPr>
            <w:r>
              <w:rPr>
                <w:rFonts w:hint="eastAsia" w:ascii="宋体" w:hAnsi="宋体"/>
                <w:sz w:val="24"/>
              </w:rPr>
              <w:t>的其他要求</w:t>
            </w:r>
          </w:p>
        </w:tc>
        <w:tc>
          <w:tcPr>
            <w:tcW w:w="7493" w:type="dxa"/>
            <w:tcBorders>
              <w:top w:val="single" w:color="auto" w:sz="4" w:space="0"/>
              <w:left w:val="single" w:color="auto" w:sz="4" w:space="0"/>
              <w:bottom w:val="single" w:color="auto" w:sz="4" w:space="0"/>
              <w:right w:val="single" w:color="auto" w:sz="4" w:space="0"/>
            </w:tcBorders>
            <w:vAlign w:val="center"/>
          </w:tcPr>
          <w:p w14:paraId="5C44DB28">
            <w:pPr>
              <w:spacing w:line="460" w:lineRule="exact"/>
              <w:jc w:val="left"/>
            </w:pPr>
            <w:r>
              <w:rPr>
                <w:rFonts w:hint="eastAsia" w:ascii="宋体" w:hAnsi="宋体"/>
                <w:sz w:val="24"/>
              </w:rPr>
              <w:t>1.供应商的磋商报价应包括完成该项目的成本、利润、税金技术措施费、设备费、风险费、保险费、政策性文件规定费用和供应商必须的其他费用等全部费用；</w:t>
            </w:r>
          </w:p>
          <w:p w14:paraId="0D4E053D">
            <w:pPr>
              <w:spacing w:line="460" w:lineRule="exact"/>
              <w:jc w:val="left"/>
              <w:rPr>
                <w:rFonts w:ascii="宋体" w:hAnsi="宋体"/>
                <w:sz w:val="24"/>
              </w:rPr>
            </w:pPr>
            <w:r>
              <w:rPr>
                <w:rFonts w:hint="eastAsia" w:ascii="宋体" w:hAnsi="宋体"/>
                <w:sz w:val="24"/>
              </w:rPr>
              <w:t>2.最低报价不是成交的唯一依据；</w:t>
            </w:r>
          </w:p>
          <w:p w14:paraId="3319FEF6">
            <w:pPr>
              <w:spacing w:line="460" w:lineRule="exact"/>
              <w:jc w:val="left"/>
              <w:rPr>
                <w:rFonts w:ascii="宋体" w:hAnsi="宋体"/>
                <w:sz w:val="24"/>
              </w:rPr>
            </w:pPr>
            <w:r>
              <w:rPr>
                <w:rFonts w:hint="eastAsia" w:ascii="宋体" w:hAnsi="宋体"/>
                <w:sz w:val="24"/>
              </w:rPr>
              <w:t>3.磋商报价其他说明:</w:t>
            </w:r>
          </w:p>
          <w:p w14:paraId="019C8E06">
            <w:pPr>
              <w:spacing w:line="460" w:lineRule="exact"/>
              <w:jc w:val="left"/>
              <w:rPr>
                <w:rFonts w:ascii="宋体" w:hAnsi="宋体"/>
                <w:sz w:val="24"/>
              </w:rPr>
            </w:pPr>
            <w:r>
              <w:rPr>
                <w:rFonts w:hint="eastAsia" w:ascii="宋体" w:hAnsi="宋体"/>
                <w:sz w:val="24"/>
              </w:rPr>
              <w:t>(1)本次磋商第二轮报价为</w:t>
            </w:r>
            <w:r>
              <w:rPr>
                <w:rFonts w:hint="eastAsia" w:ascii="宋体" w:hAnsi="宋体"/>
                <w:sz w:val="24"/>
                <w:lang w:eastAsia="zh-CN"/>
              </w:rPr>
              <w:t>最后报价</w:t>
            </w:r>
            <w:r>
              <w:rPr>
                <w:rFonts w:hint="eastAsia" w:ascii="宋体" w:hAnsi="宋体"/>
                <w:sz w:val="24"/>
              </w:rPr>
              <w:t>；</w:t>
            </w:r>
          </w:p>
          <w:p w14:paraId="5B2A7195">
            <w:pPr>
              <w:spacing w:line="460" w:lineRule="exact"/>
              <w:jc w:val="left"/>
              <w:rPr>
                <w:rFonts w:ascii="宋体" w:hAnsi="宋体"/>
                <w:sz w:val="24"/>
              </w:rPr>
            </w:pPr>
            <w:r>
              <w:rPr>
                <w:rFonts w:hint="eastAsia" w:ascii="宋体" w:hAnsi="宋体"/>
                <w:sz w:val="24"/>
              </w:rPr>
              <w:t>(2)磋商过程中，每次磋商结束时均不公开各供应商的报价；</w:t>
            </w:r>
          </w:p>
          <w:p w14:paraId="0B05EA39">
            <w:pPr>
              <w:spacing w:line="460" w:lineRule="exact"/>
              <w:jc w:val="left"/>
            </w:pPr>
            <w:r>
              <w:rPr>
                <w:rFonts w:hint="eastAsia" w:ascii="宋体" w:hAnsi="宋体"/>
                <w:sz w:val="24"/>
              </w:rPr>
              <w:t>(3)任何一轮磋商报价超出采购预算的，按无效响应处理。</w:t>
            </w:r>
          </w:p>
        </w:tc>
      </w:tr>
      <w:tr w14:paraId="507F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3"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12197412">
            <w:pPr>
              <w:spacing w:line="460" w:lineRule="exact"/>
              <w:jc w:val="center"/>
              <w:rPr>
                <w:rFonts w:ascii="宋体" w:hAnsi="宋体" w:cs="宋体"/>
                <w:sz w:val="24"/>
              </w:rPr>
            </w:pPr>
            <w:r>
              <w:rPr>
                <w:rFonts w:hint="eastAsia" w:ascii="宋体" w:hAnsi="宋体" w:cs="宋体"/>
                <w:sz w:val="24"/>
              </w:rPr>
              <w:t>14</w:t>
            </w:r>
          </w:p>
        </w:tc>
        <w:tc>
          <w:tcPr>
            <w:tcW w:w="1837" w:type="dxa"/>
            <w:tcBorders>
              <w:top w:val="single" w:color="auto" w:sz="4" w:space="0"/>
              <w:left w:val="single" w:color="auto" w:sz="4" w:space="0"/>
              <w:bottom w:val="single" w:color="auto" w:sz="4" w:space="0"/>
              <w:right w:val="single" w:color="auto" w:sz="4" w:space="0"/>
            </w:tcBorders>
            <w:vAlign w:val="center"/>
          </w:tcPr>
          <w:p w14:paraId="3480D24B">
            <w:pPr>
              <w:spacing w:line="460" w:lineRule="exact"/>
              <w:jc w:val="center"/>
              <w:rPr>
                <w:rFonts w:ascii="宋体" w:hAnsi="宋体" w:cs="宋体"/>
                <w:sz w:val="24"/>
              </w:rPr>
            </w:pPr>
            <w:r>
              <w:rPr>
                <w:rFonts w:hint="eastAsia" w:ascii="宋体" w:hAnsi="宋体"/>
                <w:sz w:val="24"/>
              </w:rPr>
              <w:t>构成竞争性磋商文件的其他文件</w:t>
            </w:r>
          </w:p>
        </w:tc>
        <w:tc>
          <w:tcPr>
            <w:tcW w:w="7493" w:type="dxa"/>
            <w:tcBorders>
              <w:top w:val="single" w:color="auto" w:sz="4" w:space="0"/>
              <w:left w:val="single" w:color="auto" w:sz="4" w:space="0"/>
              <w:bottom w:val="single" w:color="auto" w:sz="4" w:space="0"/>
              <w:right w:val="single" w:color="auto" w:sz="4" w:space="0"/>
            </w:tcBorders>
            <w:vAlign w:val="center"/>
          </w:tcPr>
          <w:p w14:paraId="58A22039">
            <w:pPr>
              <w:spacing w:line="460" w:lineRule="exact"/>
              <w:rPr>
                <w:rFonts w:ascii="宋体" w:hAnsi="宋体" w:cs="宋体"/>
                <w:sz w:val="24"/>
              </w:rPr>
            </w:pPr>
            <w:r>
              <w:rPr>
                <w:rFonts w:hint="eastAsia" w:ascii="宋体" w:hAnsi="宋体"/>
                <w:sz w:val="24"/>
              </w:rPr>
              <w:t>竞争性磋商文件的澄清、修改书及有关补充通知为竞争性磋商文件的有效组成部分。</w:t>
            </w:r>
          </w:p>
        </w:tc>
      </w:tr>
      <w:tr w14:paraId="19500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E106A02">
            <w:pPr>
              <w:spacing w:line="460" w:lineRule="exact"/>
              <w:jc w:val="center"/>
              <w:rPr>
                <w:rFonts w:ascii="宋体" w:hAnsi="宋体" w:cs="宋体"/>
                <w:sz w:val="24"/>
              </w:rPr>
            </w:pPr>
            <w:r>
              <w:rPr>
                <w:rFonts w:hint="eastAsia" w:ascii="宋体" w:hAnsi="宋体" w:cs="宋体"/>
                <w:sz w:val="24"/>
              </w:rPr>
              <w:t>15</w:t>
            </w:r>
          </w:p>
        </w:tc>
        <w:tc>
          <w:tcPr>
            <w:tcW w:w="1837" w:type="dxa"/>
            <w:tcBorders>
              <w:top w:val="single" w:color="auto" w:sz="4" w:space="0"/>
              <w:left w:val="single" w:color="auto" w:sz="4" w:space="0"/>
              <w:bottom w:val="single" w:color="auto" w:sz="4" w:space="0"/>
              <w:right w:val="single" w:color="auto" w:sz="4" w:space="0"/>
            </w:tcBorders>
            <w:vAlign w:val="center"/>
          </w:tcPr>
          <w:p w14:paraId="0CBA8334">
            <w:pPr>
              <w:spacing w:line="460" w:lineRule="exact"/>
              <w:jc w:val="center"/>
              <w:rPr>
                <w:rFonts w:ascii="宋体" w:hAnsi="宋体" w:cs="宋体"/>
                <w:sz w:val="24"/>
              </w:rPr>
            </w:pPr>
            <w:r>
              <w:rPr>
                <w:rFonts w:hint="eastAsia" w:ascii="宋体" w:hAnsi="宋体"/>
                <w:sz w:val="24"/>
              </w:rPr>
              <w:t>供应商对竞争性磋商文件提出质疑的时间</w:t>
            </w:r>
          </w:p>
        </w:tc>
        <w:tc>
          <w:tcPr>
            <w:tcW w:w="7493" w:type="dxa"/>
            <w:tcBorders>
              <w:top w:val="single" w:color="auto" w:sz="4" w:space="0"/>
              <w:left w:val="single" w:color="auto" w:sz="4" w:space="0"/>
              <w:bottom w:val="single" w:color="auto" w:sz="4" w:space="0"/>
              <w:right w:val="single" w:color="auto" w:sz="4" w:space="0"/>
            </w:tcBorders>
          </w:tcPr>
          <w:p w14:paraId="4AE1F2ED">
            <w:pPr>
              <w:spacing w:line="460" w:lineRule="exact"/>
              <w:rPr>
                <w:rFonts w:ascii="宋体" w:hAnsi="宋体" w:cs="宋体"/>
                <w:sz w:val="24"/>
              </w:rPr>
            </w:pPr>
            <w:r>
              <w:rPr>
                <w:rFonts w:hint="eastAsia" w:ascii="宋体" w:hAnsi="宋体"/>
                <w:sz w:val="24"/>
              </w:rPr>
              <w:t>供应商若对竞争性磋商文件有质疑的，在收到竞争性磋商文件之日起七个工作日内，以书面形式向采购代理机构提出，在此之后提出的质疑无效。</w:t>
            </w:r>
          </w:p>
        </w:tc>
      </w:tr>
      <w:tr w14:paraId="74B0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9DAE64A">
            <w:pPr>
              <w:spacing w:line="460" w:lineRule="exact"/>
              <w:jc w:val="center"/>
              <w:rPr>
                <w:rFonts w:ascii="宋体" w:hAnsi="宋体" w:cs="宋体"/>
                <w:sz w:val="24"/>
              </w:rPr>
            </w:pPr>
            <w:r>
              <w:rPr>
                <w:rFonts w:hint="eastAsia" w:ascii="宋体" w:hAnsi="宋体" w:cs="宋体"/>
                <w:sz w:val="24"/>
              </w:rPr>
              <w:t>16</w:t>
            </w:r>
          </w:p>
        </w:tc>
        <w:tc>
          <w:tcPr>
            <w:tcW w:w="1837" w:type="dxa"/>
            <w:tcBorders>
              <w:top w:val="single" w:color="auto" w:sz="4" w:space="0"/>
              <w:left w:val="single" w:color="auto" w:sz="4" w:space="0"/>
              <w:bottom w:val="single" w:color="auto" w:sz="4" w:space="0"/>
              <w:right w:val="single" w:color="auto" w:sz="4" w:space="0"/>
            </w:tcBorders>
            <w:vAlign w:val="center"/>
          </w:tcPr>
          <w:p w14:paraId="41751B4E">
            <w:pPr>
              <w:spacing w:line="460" w:lineRule="exact"/>
              <w:jc w:val="center"/>
              <w:rPr>
                <w:rFonts w:ascii="宋体" w:hAnsi="宋体" w:cs="宋体"/>
                <w:sz w:val="24"/>
              </w:rPr>
            </w:pPr>
            <w:r>
              <w:rPr>
                <w:rFonts w:hint="eastAsia" w:ascii="宋体" w:hAnsi="宋体" w:cs="宋体"/>
                <w:sz w:val="24"/>
              </w:rPr>
              <w:t>磋商响应文件有效期</w:t>
            </w:r>
          </w:p>
        </w:tc>
        <w:tc>
          <w:tcPr>
            <w:tcW w:w="7493" w:type="dxa"/>
            <w:tcBorders>
              <w:top w:val="single" w:color="auto" w:sz="4" w:space="0"/>
              <w:left w:val="single" w:color="auto" w:sz="4" w:space="0"/>
              <w:bottom w:val="single" w:color="auto" w:sz="4" w:space="0"/>
              <w:right w:val="single" w:color="auto" w:sz="4" w:space="0"/>
            </w:tcBorders>
            <w:vAlign w:val="center"/>
          </w:tcPr>
          <w:p w14:paraId="09602DAA">
            <w:pPr>
              <w:spacing w:line="460" w:lineRule="exact"/>
              <w:rPr>
                <w:rFonts w:ascii="宋体" w:hAnsi="宋体" w:cs="宋体"/>
                <w:sz w:val="24"/>
              </w:rPr>
            </w:pPr>
            <w:r>
              <w:rPr>
                <w:rFonts w:hint="eastAsia" w:ascii="宋体" w:hAnsi="宋体" w:cs="宋体"/>
                <w:sz w:val="24"/>
              </w:rPr>
              <w:t>90个日历天（从递交磋商响应文件截止之日起计算）</w:t>
            </w:r>
          </w:p>
        </w:tc>
      </w:tr>
      <w:tr w14:paraId="77AA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5"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9E018D0">
            <w:pPr>
              <w:spacing w:line="460" w:lineRule="exact"/>
              <w:jc w:val="center"/>
              <w:rPr>
                <w:rFonts w:ascii="宋体" w:hAnsi="宋体" w:cs="宋体"/>
                <w:sz w:val="24"/>
              </w:rPr>
            </w:pPr>
            <w:r>
              <w:rPr>
                <w:rFonts w:hint="eastAsia" w:ascii="宋体" w:hAnsi="宋体" w:cs="宋体"/>
                <w:sz w:val="24"/>
              </w:rPr>
              <w:t>17</w:t>
            </w:r>
          </w:p>
        </w:tc>
        <w:tc>
          <w:tcPr>
            <w:tcW w:w="1837" w:type="dxa"/>
            <w:tcBorders>
              <w:top w:val="single" w:color="auto" w:sz="4" w:space="0"/>
              <w:left w:val="single" w:color="auto" w:sz="4" w:space="0"/>
              <w:bottom w:val="single" w:color="auto" w:sz="4" w:space="0"/>
              <w:right w:val="single" w:color="auto" w:sz="4" w:space="0"/>
            </w:tcBorders>
            <w:vAlign w:val="center"/>
          </w:tcPr>
          <w:p w14:paraId="6F741DEB">
            <w:pPr>
              <w:spacing w:line="460" w:lineRule="exact"/>
              <w:jc w:val="center"/>
              <w:rPr>
                <w:rFonts w:ascii="宋体" w:hAnsi="宋体" w:cs="宋体"/>
                <w:sz w:val="24"/>
              </w:rPr>
            </w:pPr>
            <w:r>
              <w:rPr>
                <w:rFonts w:hint="eastAsia" w:ascii="宋体" w:hAnsi="宋体" w:cs="宋体"/>
                <w:sz w:val="24"/>
              </w:rPr>
              <w:t>磋商文件获取</w:t>
            </w:r>
          </w:p>
        </w:tc>
        <w:tc>
          <w:tcPr>
            <w:tcW w:w="7493" w:type="dxa"/>
            <w:tcBorders>
              <w:top w:val="single" w:color="auto" w:sz="4" w:space="0"/>
              <w:left w:val="single" w:color="auto" w:sz="4" w:space="0"/>
              <w:bottom w:val="single" w:color="auto" w:sz="4" w:space="0"/>
              <w:right w:val="single" w:color="auto" w:sz="4" w:space="0"/>
            </w:tcBorders>
            <w:vAlign w:val="center"/>
          </w:tcPr>
          <w:p w14:paraId="3BCD7794">
            <w:pPr>
              <w:spacing w:line="460" w:lineRule="exact"/>
              <w:rPr>
                <w:rFonts w:hint="eastAsia" w:ascii="宋体" w:hAnsi="宋体" w:eastAsia="宋体" w:cs="Times New Roman"/>
                <w:sz w:val="24"/>
              </w:rPr>
            </w:pPr>
            <w:r>
              <w:rPr>
                <w:rFonts w:hint="eastAsia" w:ascii="宋体" w:hAnsi="宋体" w:eastAsia="宋体" w:cs="Times New Roman"/>
                <w:sz w:val="24"/>
              </w:rPr>
              <w:t>时间： 2026年06月25日 至 2026年07月01日 ，每天上午 08:00:00 至 12:00:00 ，下午 14:30:00 至 18:00:00 （北京时间）</w:t>
            </w:r>
          </w:p>
          <w:p w14:paraId="74F85F39">
            <w:pPr>
              <w:spacing w:line="460" w:lineRule="exact"/>
              <w:rPr>
                <w:rFonts w:hint="eastAsia" w:ascii="宋体" w:hAnsi="宋体" w:eastAsia="宋体" w:cs="宋体"/>
                <w:sz w:val="24"/>
                <w:lang w:eastAsia="zh-CN"/>
              </w:rPr>
            </w:pPr>
            <w:r>
              <w:rPr>
                <w:rFonts w:hint="eastAsia" w:ascii="宋体" w:hAnsi="宋体" w:eastAsia="宋体" w:cs="Times New Roman"/>
                <w:sz w:val="24"/>
              </w:rPr>
              <w:t>地  点：</w:t>
            </w:r>
            <w:r>
              <w:rPr>
                <w:rFonts w:hint="eastAsia" w:ascii="宋体" w:hAnsi="宋体" w:cs="Times New Roman"/>
                <w:sz w:val="24"/>
                <w:lang w:eastAsia="zh-CN"/>
              </w:rPr>
              <w:t>陕西省咸阳市秦都区金华路华天大厦D座5单元701</w:t>
            </w:r>
          </w:p>
        </w:tc>
      </w:tr>
      <w:tr w14:paraId="22A6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EE90257">
            <w:pPr>
              <w:spacing w:line="460" w:lineRule="exact"/>
              <w:jc w:val="center"/>
              <w:rPr>
                <w:rFonts w:ascii="宋体" w:hAnsi="宋体" w:cs="宋体"/>
                <w:sz w:val="24"/>
              </w:rPr>
            </w:pPr>
            <w:r>
              <w:rPr>
                <w:rFonts w:hint="eastAsia" w:ascii="宋体" w:hAnsi="宋体" w:cs="宋体"/>
                <w:sz w:val="24"/>
              </w:rPr>
              <w:t>18</w:t>
            </w:r>
          </w:p>
        </w:tc>
        <w:tc>
          <w:tcPr>
            <w:tcW w:w="1837" w:type="dxa"/>
            <w:tcBorders>
              <w:top w:val="single" w:color="auto" w:sz="4" w:space="0"/>
              <w:left w:val="single" w:color="auto" w:sz="4" w:space="0"/>
              <w:bottom w:val="single" w:color="auto" w:sz="4" w:space="0"/>
              <w:right w:val="single" w:color="auto" w:sz="4" w:space="0"/>
            </w:tcBorders>
            <w:vAlign w:val="center"/>
          </w:tcPr>
          <w:p w14:paraId="55576B5F">
            <w:pPr>
              <w:spacing w:line="460" w:lineRule="exact"/>
              <w:jc w:val="center"/>
              <w:rPr>
                <w:rFonts w:ascii="宋体" w:hAnsi="宋体" w:cs="宋体"/>
                <w:sz w:val="24"/>
              </w:rPr>
            </w:pPr>
            <w:r>
              <w:rPr>
                <w:rFonts w:hint="eastAsia" w:ascii="宋体" w:hAnsi="宋体"/>
                <w:sz w:val="24"/>
              </w:rPr>
              <w:t>现场勘查、标前答疑会</w:t>
            </w:r>
          </w:p>
        </w:tc>
        <w:tc>
          <w:tcPr>
            <w:tcW w:w="7493" w:type="dxa"/>
            <w:tcBorders>
              <w:top w:val="single" w:color="auto" w:sz="4" w:space="0"/>
              <w:left w:val="single" w:color="auto" w:sz="4" w:space="0"/>
              <w:bottom w:val="single" w:color="auto" w:sz="4" w:space="0"/>
              <w:right w:val="single" w:color="auto" w:sz="4" w:space="0"/>
            </w:tcBorders>
            <w:vAlign w:val="center"/>
          </w:tcPr>
          <w:p w14:paraId="4CF37585">
            <w:pPr>
              <w:spacing w:line="460" w:lineRule="exact"/>
              <w:rPr>
                <w:rFonts w:ascii="宋体" w:hAnsi="宋体" w:cs="宋体"/>
                <w:sz w:val="24"/>
              </w:rPr>
            </w:pPr>
            <w:r>
              <w:rPr>
                <w:rFonts w:hint="eastAsia" w:ascii="宋体" w:hAnsi="宋体"/>
                <w:sz w:val="24"/>
              </w:rPr>
              <w:t>不组织。</w:t>
            </w:r>
          </w:p>
        </w:tc>
      </w:tr>
      <w:tr w14:paraId="20F0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42FB727D">
            <w:pPr>
              <w:spacing w:line="460" w:lineRule="exact"/>
              <w:jc w:val="center"/>
              <w:rPr>
                <w:rFonts w:ascii="宋体" w:hAnsi="宋体" w:cs="宋体"/>
                <w:sz w:val="24"/>
              </w:rPr>
            </w:pPr>
            <w:r>
              <w:rPr>
                <w:rFonts w:hint="eastAsia" w:ascii="宋体" w:hAnsi="宋体" w:cs="宋体"/>
                <w:sz w:val="24"/>
              </w:rPr>
              <w:t>19</w:t>
            </w:r>
          </w:p>
        </w:tc>
        <w:tc>
          <w:tcPr>
            <w:tcW w:w="1837" w:type="dxa"/>
            <w:tcBorders>
              <w:top w:val="single" w:color="auto" w:sz="4" w:space="0"/>
              <w:left w:val="single" w:color="auto" w:sz="4" w:space="0"/>
              <w:bottom w:val="single" w:color="auto" w:sz="4" w:space="0"/>
              <w:right w:val="single" w:color="auto" w:sz="4" w:space="0"/>
            </w:tcBorders>
            <w:vAlign w:val="center"/>
          </w:tcPr>
          <w:p w14:paraId="0F7FDBE5">
            <w:pPr>
              <w:spacing w:line="460" w:lineRule="exact"/>
              <w:jc w:val="center"/>
              <w:rPr>
                <w:rFonts w:ascii="宋体" w:hAnsi="宋体" w:cs="宋体"/>
                <w:sz w:val="24"/>
              </w:rPr>
            </w:pPr>
            <w:r>
              <w:rPr>
                <w:rFonts w:hint="eastAsia" w:ascii="宋体" w:hAnsi="宋体" w:cs="宋体"/>
                <w:sz w:val="24"/>
              </w:rPr>
              <w:t>磋商响应</w:t>
            </w:r>
          </w:p>
          <w:p w14:paraId="779B951C">
            <w:pPr>
              <w:spacing w:line="460" w:lineRule="exact"/>
              <w:jc w:val="center"/>
              <w:rPr>
                <w:rFonts w:ascii="宋体" w:hAnsi="宋体" w:cs="宋体"/>
                <w:sz w:val="24"/>
              </w:rPr>
            </w:pPr>
            <w:r>
              <w:rPr>
                <w:rFonts w:hint="eastAsia" w:ascii="宋体" w:hAnsi="宋体" w:cs="宋体"/>
                <w:sz w:val="24"/>
              </w:rPr>
              <w:t>文件份数</w:t>
            </w:r>
          </w:p>
        </w:tc>
        <w:tc>
          <w:tcPr>
            <w:tcW w:w="7493" w:type="dxa"/>
            <w:tcBorders>
              <w:top w:val="single" w:color="auto" w:sz="4" w:space="0"/>
              <w:left w:val="single" w:color="auto" w:sz="4" w:space="0"/>
              <w:bottom w:val="single" w:color="auto" w:sz="4" w:space="0"/>
              <w:right w:val="single" w:color="auto" w:sz="4" w:space="0"/>
            </w:tcBorders>
            <w:vAlign w:val="center"/>
          </w:tcPr>
          <w:p w14:paraId="21E3F033">
            <w:pPr>
              <w:tabs>
                <w:tab w:val="left" w:pos="1180"/>
              </w:tabs>
              <w:spacing w:line="460" w:lineRule="exact"/>
              <w:rPr>
                <w:rFonts w:ascii="宋体" w:hAnsi="宋体" w:cs="宋体"/>
                <w:sz w:val="24"/>
              </w:rPr>
            </w:pPr>
            <w:r>
              <w:rPr>
                <w:rFonts w:hint="eastAsia" w:ascii="宋体" w:hAnsi="宋体" w:cs="宋体"/>
                <w:sz w:val="24"/>
              </w:rPr>
              <w:t>正本的份数：壹份；</w:t>
            </w:r>
          </w:p>
          <w:p w14:paraId="1DA23B40">
            <w:pPr>
              <w:tabs>
                <w:tab w:val="left" w:pos="1180"/>
              </w:tabs>
              <w:spacing w:line="460" w:lineRule="exact"/>
              <w:rPr>
                <w:rFonts w:ascii="宋体" w:hAnsi="宋体" w:cs="宋体"/>
                <w:sz w:val="24"/>
              </w:rPr>
            </w:pPr>
            <w:r>
              <w:rPr>
                <w:rFonts w:hint="eastAsia" w:ascii="宋体" w:hAnsi="宋体" w:cs="宋体"/>
                <w:sz w:val="24"/>
              </w:rPr>
              <w:t>副本的份数：壹份；</w:t>
            </w:r>
          </w:p>
          <w:p w14:paraId="77F0A06D">
            <w:pPr>
              <w:tabs>
                <w:tab w:val="left" w:pos="1180"/>
              </w:tabs>
              <w:spacing w:line="460" w:lineRule="exact"/>
              <w:rPr>
                <w:rFonts w:ascii="宋体" w:hAnsi="宋体" w:cs="宋体"/>
                <w:sz w:val="24"/>
              </w:rPr>
            </w:pPr>
            <w:r>
              <w:rPr>
                <w:rFonts w:hint="eastAsia" w:ascii="宋体" w:hAnsi="宋体" w:cs="宋体"/>
                <w:sz w:val="24"/>
              </w:rPr>
              <w:t>电子版文件（U盘）：贰份（需在盘面上标注供应商全称、项目名称、编号）。</w:t>
            </w:r>
          </w:p>
          <w:p w14:paraId="333800F5">
            <w:pPr>
              <w:spacing w:line="460" w:lineRule="exact"/>
              <w:rPr>
                <w:rFonts w:ascii="宋体" w:hAnsi="宋体" w:cs="宋体"/>
                <w:sz w:val="24"/>
              </w:rPr>
            </w:pPr>
            <w:r>
              <w:rPr>
                <w:rFonts w:hint="eastAsia" w:ascii="宋体" w:hAnsi="宋体" w:cs="宋体"/>
                <w:sz w:val="24"/>
              </w:rPr>
              <w:t>电子版文件包括：word版本（可编辑）和PDF版本磋商响应文件，PDF版本磋商响应文件为签字、盖章的完整正本扫描件。</w:t>
            </w:r>
          </w:p>
        </w:tc>
      </w:tr>
      <w:tr w14:paraId="1A7B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9"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5DBFCA4">
            <w:pPr>
              <w:spacing w:line="460" w:lineRule="exact"/>
              <w:jc w:val="center"/>
              <w:rPr>
                <w:rFonts w:ascii="宋体" w:hAnsi="宋体" w:cs="宋体"/>
                <w:sz w:val="24"/>
              </w:rPr>
            </w:pPr>
            <w:r>
              <w:rPr>
                <w:rFonts w:hint="eastAsia" w:ascii="宋体" w:hAnsi="宋体" w:cs="宋体"/>
                <w:sz w:val="24"/>
              </w:rPr>
              <w:t>20</w:t>
            </w:r>
          </w:p>
        </w:tc>
        <w:tc>
          <w:tcPr>
            <w:tcW w:w="1837" w:type="dxa"/>
            <w:tcBorders>
              <w:top w:val="single" w:color="auto" w:sz="4" w:space="0"/>
              <w:left w:val="single" w:color="auto" w:sz="4" w:space="0"/>
              <w:bottom w:val="single" w:color="auto" w:sz="4" w:space="0"/>
              <w:right w:val="single" w:color="auto" w:sz="4" w:space="0"/>
            </w:tcBorders>
            <w:vAlign w:val="center"/>
          </w:tcPr>
          <w:p w14:paraId="29C1833F">
            <w:pPr>
              <w:spacing w:line="460" w:lineRule="exact"/>
              <w:jc w:val="center"/>
              <w:rPr>
                <w:rFonts w:ascii="宋体" w:hAnsi="宋体" w:cs="宋体"/>
                <w:sz w:val="24"/>
              </w:rPr>
            </w:pPr>
            <w:r>
              <w:rPr>
                <w:rFonts w:hint="eastAsia" w:ascii="宋体" w:hAnsi="宋体" w:cs="宋体"/>
                <w:sz w:val="24"/>
              </w:rPr>
              <w:t>磋商响应文件递交地点</w:t>
            </w:r>
          </w:p>
          <w:p w14:paraId="294D4494">
            <w:pPr>
              <w:spacing w:line="460" w:lineRule="exact"/>
              <w:jc w:val="center"/>
              <w:rPr>
                <w:rFonts w:ascii="宋体" w:hAnsi="宋体" w:cs="宋体"/>
                <w:sz w:val="24"/>
              </w:rPr>
            </w:pPr>
            <w:r>
              <w:rPr>
                <w:rFonts w:hint="eastAsia" w:ascii="宋体" w:hAnsi="宋体" w:cs="宋体"/>
                <w:sz w:val="24"/>
              </w:rPr>
              <w:t>及截止时间</w:t>
            </w:r>
          </w:p>
        </w:tc>
        <w:tc>
          <w:tcPr>
            <w:tcW w:w="7493" w:type="dxa"/>
            <w:tcBorders>
              <w:top w:val="single" w:color="auto" w:sz="4" w:space="0"/>
              <w:left w:val="single" w:color="auto" w:sz="4" w:space="0"/>
              <w:bottom w:val="single" w:color="auto" w:sz="4" w:space="0"/>
              <w:right w:val="single" w:color="auto" w:sz="4" w:space="0"/>
            </w:tcBorders>
            <w:vAlign w:val="center"/>
          </w:tcPr>
          <w:p w14:paraId="60F9E6ED">
            <w:pPr>
              <w:spacing w:line="460" w:lineRule="exact"/>
              <w:ind w:left="1200" w:hanging="1200" w:hangingChars="500"/>
              <w:rPr>
                <w:rFonts w:hint="eastAsia" w:ascii="宋体" w:hAnsi="宋体" w:eastAsia="宋体" w:cs="宋体"/>
                <w:sz w:val="24"/>
                <w:lang w:eastAsia="zh-CN"/>
              </w:rPr>
            </w:pPr>
            <w:r>
              <w:rPr>
                <w:rFonts w:hint="eastAsia" w:ascii="宋体" w:hAnsi="宋体" w:cs="宋体"/>
                <w:sz w:val="24"/>
              </w:rPr>
              <w:t>递交地点：</w:t>
            </w:r>
            <w:r>
              <w:rPr>
                <w:rFonts w:hint="eastAsia" w:ascii="宋体" w:hAnsi="宋体" w:cs="宋体"/>
                <w:color w:val="333333"/>
                <w:kern w:val="0"/>
                <w:sz w:val="24"/>
                <w:shd w:val="clear" w:color="auto" w:fill="FFFFFF"/>
                <w:lang w:eastAsia="zh-CN" w:bidi="ar"/>
              </w:rPr>
              <w:t>陕西省咸阳市人民西路美仑酒店8楼839会议室</w:t>
            </w:r>
          </w:p>
          <w:p w14:paraId="733F9713">
            <w:pPr>
              <w:spacing w:line="460" w:lineRule="exact"/>
              <w:rPr>
                <w:rFonts w:ascii="宋体" w:hAnsi="宋体" w:cs="宋体"/>
                <w:sz w:val="24"/>
              </w:rPr>
            </w:pPr>
            <w:r>
              <w:rPr>
                <w:rFonts w:hint="eastAsia" w:ascii="宋体" w:hAnsi="宋体" w:cs="宋体"/>
                <w:sz w:val="24"/>
              </w:rPr>
              <w:t>递交时间： 2026年07月07日 14时30分 （北京时间）</w:t>
            </w:r>
          </w:p>
        </w:tc>
      </w:tr>
      <w:tr w14:paraId="0CB7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39D845AD">
            <w:pPr>
              <w:spacing w:line="460" w:lineRule="exact"/>
              <w:jc w:val="center"/>
              <w:rPr>
                <w:rFonts w:ascii="宋体" w:hAnsi="宋体" w:cs="宋体"/>
                <w:sz w:val="24"/>
              </w:rPr>
            </w:pPr>
            <w:r>
              <w:rPr>
                <w:rFonts w:hint="eastAsia" w:ascii="宋体" w:hAnsi="宋体" w:cs="宋体"/>
                <w:sz w:val="24"/>
              </w:rPr>
              <w:t>21</w:t>
            </w:r>
          </w:p>
        </w:tc>
        <w:tc>
          <w:tcPr>
            <w:tcW w:w="1837" w:type="dxa"/>
            <w:tcBorders>
              <w:top w:val="single" w:color="auto" w:sz="4" w:space="0"/>
              <w:left w:val="single" w:color="auto" w:sz="4" w:space="0"/>
              <w:bottom w:val="single" w:color="auto" w:sz="4" w:space="0"/>
              <w:right w:val="single" w:color="auto" w:sz="4" w:space="0"/>
            </w:tcBorders>
            <w:vAlign w:val="center"/>
          </w:tcPr>
          <w:p w14:paraId="637349D5">
            <w:pPr>
              <w:spacing w:line="460" w:lineRule="exact"/>
              <w:jc w:val="center"/>
              <w:rPr>
                <w:rFonts w:ascii="宋体" w:hAnsi="宋体" w:cs="宋体"/>
                <w:sz w:val="24"/>
              </w:rPr>
            </w:pPr>
            <w:r>
              <w:rPr>
                <w:rFonts w:hint="eastAsia" w:ascii="宋体" w:hAnsi="宋体" w:cs="宋体"/>
                <w:sz w:val="24"/>
              </w:rPr>
              <w:t>磋  商</w:t>
            </w:r>
          </w:p>
        </w:tc>
        <w:tc>
          <w:tcPr>
            <w:tcW w:w="7493" w:type="dxa"/>
            <w:tcBorders>
              <w:top w:val="single" w:color="auto" w:sz="4" w:space="0"/>
              <w:left w:val="single" w:color="auto" w:sz="4" w:space="0"/>
              <w:bottom w:val="single" w:color="auto" w:sz="4" w:space="0"/>
              <w:right w:val="single" w:color="auto" w:sz="4" w:space="0"/>
            </w:tcBorders>
            <w:vAlign w:val="center"/>
          </w:tcPr>
          <w:p w14:paraId="78834F80">
            <w:pPr>
              <w:spacing w:line="460" w:lineRule="exact"/>
              <w:rPr>
                <w:rFonts w:ascii="宋体" w:hAnsi="宋体" w:cs="宋体"/>
                <w:sz w:val="24"/>
              </w:rPr>
            </w:pPr>
            <w:r>
              <w:rPr>
                <w:rFonts w:hint="eastAsia" w:ascii="宋体" w:hAnsi="宋体" w:cs="宋体"/>
                <w:sz w:val="24"/>
              </w:rPr>
              <w:t>时    间： 2026年07月07日 14时30分 （北京时间）</w:t>
            </w:r>
          </w:p>
          <w:p w14:paraId="4646314C">
            <w:pPr>
              <w:spacing w:line="460" w:lineRule="exact"/>
              <w:rPr>
                <w:rFonts w:hint="eastAsia" w:ascii="宋体" w:hAnsi="宋体" w:eastAsia="宋体" w:cs="宋体"/>
                <w:sz w:val="24"/>
                <w:lang w:eastAsia="zh-CN"/>
              </w:rPr>
            </w:pPr>
            <w:r>
              <w:rPr>
                <w:rFonts w:hint="eastAsia" w:ascii="宋体" w:hAnsi="宋体" w:cs="宋体"/>
                <w:sz w:val="24"/>
              </w:rPr>
              <w:t>地    点：</w:t>
            </w:r>
            <w:r>
              <w:rPr>
                <w:rFonts w:hint="eastAsia" w:ascii="宋体" w:hAnsi="宋体" w:cs="宋体"/>
                <w:color w:val="333333"/>
                <w:kern w:val="0"/>
                <w:sz w:val="24"/>
                <w:shd w:val="clear" w:color="auto" w:fill="FFFFFF"/>
                <w:lang w:eastAsia="zh-CN" w:bidi="ar"/>
              </w:rPr>
              <w:t>陕西省咸阳市人民西路美仑酒店8楼839会议室</w:t>
            </w:r>
          </w:p>
        </w:tc>
      </w:tr>
      <w:tr w14:paraId="3FC9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025329F6">
            <w:pPr>
              <w:spacing w:line="460" w:lineRule="exact"/>
              <w:jc w:val="center"/>
              <w:rPr>
                <w:rFonts w:ascii="宋体" w:hAnsi="宋体" w:cs="宋体"/>
                <w:sz w:val="24"/>
              </w:rPr>
            </w:pPr>
            <w:r>
              <w:rPr>
                <w:rFonts w:hint="eastAsia" w:ascii="宋体" w:hAnsi="宋体" w:cs="宋体"/>
                <w:sz w:val="24"/>
              </w:rPr>
              <w:t>22</w:t>
            </w:r>
          </w:p>
        </w:tc>
        <w:tc>
          <w:tcPr>
            <w:tcW w:w="1837" w:type="dxa"/>
            <w:tcBorders>
              <w:top w:val="single" w:color="auto" w:sz="4" w:space="0"/>
              <w:left w:val="single" w:color="auto" w:sz="4" w:space="0"/>
              <w:bottom w:val="single" w:color="auto" w:sz="4" w:space="0"/>
              <w:right w:val="single" w:color="auto" w:sz="4" w:space="0"/>
            </w:tcBorders>
            <w:vAlign w:val="center"/>
          </w:tcPr>
          <w:p w14:paraId="0F805F49">
            <w:pPr>
              <w:spacing w:line="460" w:lineRule="exact"/>
              <w:jc w:val="center"/>
              <w:rPr>
                <w:rFonts w:ascii="宋体" w:hAnsi="宋体" w:cs="宋体"/>
                <w:sz w:val="24"/>
              </w:rPr>
            </w:pPr>
            <w:r>
              <w:rPr>
                <w:rFonts w:hint="eastAsia" w:ascii="宋体" w:hAnsi="宋体" w:cs="宋体"/>
                <w:sz w:val="24"/>
              </w:rPr>
              <w:t>评审方法</w:t>
            </w:r>
          </w:p>
        </w:tc>
        <w:tc>
          <w:tcPr>
            <w:tcW w:w="7493" w:type="dxa"/>
            <w:tcBorders>
              <w:top w:val="single" w:color="auto" w:sz="4" w:space="0"/>
              <w:left w:val="single" w:color="auto" w:sz="4" w:space="0"/>
              <w:bottom w:val="single" w:color="auto" w:sz="4" w:space="0"/>
              <w:right w:val="single" w:color="auto" w:sz="4" w:space="0"/>
            </w:tcBorders>
            <w:vAlign w:val="center"/>
          </w:tcPr>
          <w:p w14:paraId="54A41369">
            <w:pPr>
              <w:spacing w:line="460" w:lineRule="exact"/>
              <w:rPr>
                <w:rFonts w:ascii="宋体" w:hAnsi="宋体" w:cs="宋体"/>
                <w:sz w:val="24"/>
              </w:rPr>
            </w:pPr>
            <w:r>
              <w:rPr>
                <w:rFonts w:hint="eastAsia" w:ascii="宋体" w:hAnsi="宋体" w:cs="宋体"/>
                <w:sz w:val="24"/>
              </w:rPr>
              <w:t>详见评审办法</w:t>
            </w:r>
          </w:p>
        </w:tc>
      </w:tr>
      <w:tr w14:paraId="36FB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549A621B">
            <w:pPr>
              <w:spacing w:line="460" w:lineRule="exact"/>
              <w:jc w:val="center"/>
              <w:rPr>
                <w:rFonts w:ascii="宋体" w:hAnsi="宋体" w:cs="宋体"/>
                <w:color w:val="auto"/>
                <w:sz w:val="24"/>
              </w:rPr>
            </w:pPr>
            <w:r>
              <w:rPr>
                <w:rFonts w:hint="eastAsia" w:ascii="宋体" w:hAnsi="宋体" w:cs="宋体"/>
                <w:color w:val="auto"/>
                <w:sz w:val="24"/>
              </w:rPr>
              <w:t>23</w:t>
            </w:r>
          </w:p>
        </w:tc>
        <w:tc>
          <w:tcPr>
            <w:tcW w:w="1837" w:type="dxa"/>
            <w:tcBorders>
              <w:top w:val="single" w:color="auto" w:sz="4" w:space="0"/>
              <w:left w:val="single" w:color="auto" w:sz="4" w:space="0"/>
              <w:bottom w:val="single" w:color="auto" w:sz="4" w:space="0"/>
              <w:right w:val="single" w:color="auto" w:sz="4" w:space="0"/>
            </w:tcBorders>
            <w:vAlign w:val="center"/>
          </w:tcPr>
          <w:p w14:paraId="18718ABA">
            <w:pPr>
              <w:spacing w:line="460" w:lineRule="exact"/>
              <w:jc w:val="center"/>
              <w:rPr>
                <w:rFonts w:ascii="宋体" w:hAnsi="宋体" w:cs="宋体"/>
                <w:color w:val="auto"/>
                <w:sz w:val="24"/>
              </w:rPr>
            </w:pPr>
            <w:r>
              <w:rPr>
                <w:rFonts w:hint="eastAsia" w:ascii="宋体" w:hAnsi="宋体" w:cs="宋体"/>
                <w:color w:val="auto"/>
                <w:sz w:val="24"/>
              </w:rPr>
              <w:t>付款方式</w:t>
            </w:r>
          </w:p>
        </w:tc>
        <w:tc>
          <w:tcPr>
            <w:tcW w:w="7493" w:type="dxa"/>
            <w:tcBorders>
              <w:top w:val="single" w:color="auto" w:sz="4" w:space="0"/>
              <w:left w:val="single" w:color="auto" w:sz="4" w:space="0"/>
              <w:bottom w:val="single" w:color="auto" w:sz="4" w:space="0"/>
              <w:right w:val="single" w:color="auto" w:sz="4" w:space="0"/>
            </w:tcBorders>
            <w:vAlign w:val="center"/>
          </w:tcPr>
          <w:p w14:paraId="39ED146A">
            <w:pPr>
              <w:tabs>
                <w:tab w:val="left" w:pos="0"/>
                <w:tab w:val="left" w:pos="160"/>
                <w:tab w:val="left" w:pos="640"/>
                <w:tab w:val="left" w:pos="5120"/>
                <w:tab w:val="left" w:pos="6720"/>
                <w:tab w:val="left" w:pos="8960"/>
              </w:tabs>
              <w:spacing w:line="460" w:lineRule="exact"/>
              <w:ind w:right="-31" w:rightChars="-15"/>
              <w:rPr>
                <w:rFonts w:hint="eastAsia" w:ascii="宋体" w:hAnsi="宋体" w:eastAsia="宋体"/>
                <w:color w:val="auto"/>
                <w:sz w:val="24"/>
                <w:lang w:eastAsia="zh-CN"/>
              </w:rPr>
            </w:pPr>
            <w:r>
              <w:rPr>
                <w:rFonts w:hint="eastAsia" w:ascii="宋体" w:hAnsi="宋体" w:eastAsia="宋体"/>
                <w:color w:val="auto"/>
                <w:sz w:val="24"/>
                <w:lang w:eastAsia="zh-CN"/>
              </w:rPr>
              <w:t>（1）本项目</w:t>
            </w:r>
            <w:r>
              <w:rPr>
                <w:rFonts w:hint="eastAsia" w:ascii="宋体" w:hAnsi="宋体" w:eastAsia="宋体"/>
                <w:color w:val="auto"/>
                <w:sz w:val="24"/>
                <w:lang w:val="en-US" w:eastAsia="zh-CN"/>
              </w:rPr>
              <w:t>按固定费率支付，随工程量产值对应的监理费</w:t>
            </w:r>
            <w:r>
              <w:rPr>
                <w:rFonts w:hint="eastAsia" w:ascii="宋体" w:hAnsi="宋体" w:eastAsia="宋体"/>
                <w:color w:val="auto"/>
                <w:sz w:val="24"/>
                <w:lang w:eastAsia="zh-CN"/>
              </w:rPr>
              <w:t>付款，当</w:t>
            </w:r>
            <w:r>
              <w:rPr>
                <w:rFonts w:hint="eastAsia" w:ascii="宋体" w:hAnsi="宋体" w:eastAsia="宋体"/>
                <w:color w:val="auto"/>
                <w:sz w:val="24"/>
                <w:lang w:val="en-US" w:eastAsia="zh-CN"/>
              </w:rPr>
              <w:t>月</w:t>
            </w:r>
            <w:r>
              <w:rPr>
                <w:rFonts w:hint="eastAsia" w:ascii="宋体" w:hAnsi="宋体" w:eastAsia="宋体"/>
                <w:color w:val="auto"/>
                <w:sz w:val="24"/>
                <w:lang w:eastAsia="zh-CN"/>
              </w:rPr>
              <w:t>进度计量经委托人审核完毕后，支付至相应当</w:t>
            </w:r>
            <w:r>
              <w:rPr>
                <w:rFonts w:hint="eastAsia" w:ascii="宋体" w:hAnsi="宋体" w:eastAsia="宋体"/>
                <w:color w:val="auto"/>
                <w:sz w:val="24"/>
                <w:lang w:val="en-US" w:eastAsia="zh-CN"/>
              </w:rPr>
              <w:t>月</w:t>
            </w:r>
            <w:r>
              <w:rPr>
                <w:rFonts w:hint="eastAsia" w:ascii="宋体" w:hAnsi="宋体" w:eastAsia="宋体"/>
                <w:color w:val="auto"/>
                <w:sz w:val="24"/>
                <w:lang w:eastAsia="zh-CN"/>
              </w:rPr>
              <w:t>经委托人审核完毕的进度计量中已完成工程量产值对应监理费的80%。进度付款额不足1万元时，当</w:t>
            </w:r>
            <w:r>
              <w:rPr>
                <w:rFonts w:hint="eastAsia" w:ascii="宋体" w:hAnsi="宋体" w:eastAsia="宋体"/>
                <w:color w:val="auto"/>
                <w:sz w:val="24"/>
                <w:lang w:val="en-US" w:eastAsia="zh-CN"/>
              </w:rPr>
              <w:t>月</w:t>
            </w:r>
            <w:r>
              <w:rPr>
                <w:rFonts w:hint="eastAsia" w:ascii="宋体" w:hAnsi="宋体" w:eastAsia="宋体"/>
                <w:color w:val="auto"/>
                <w:sz w:val="24"/>
                <w:lang w:eastAsia="zh-CN"/>
              </w:rPr>
              <w:t>度不予支付，合并至次</w:t>
            </w:r>
            <w:r>
              <w:rPr>
                <w:rFonts w:hint="eastAsia" w:ascii="宋体" w:hAnsi="宋体" w:eastAsia="宋体"/>
                <w:color w:val="auto"/>
                <w:sz w:val="24"/>
                <w:lang w:val="en-US" w:eastAsia="zh-CN"/>
              </w:rPr>
              <w:t>月</w:t>
            </w:r>
            <w:r>
              <w:rPr>
                <w:rFonts w:hint="eastAsia" w:ascii="宋体" w:hAnsi="宋体" w:eastAsia="宋体"/>
                <w:color w:val="auto"/>
                <w:sz w:val="24"/>
                <w:lang w:eastAsia="zh-CN"/>
              </w:rPr>
              <w:t>支付；</w:t>
            </w:r>
          </w:p>
          <w:p w14:paraId="03A65D52">
            <w:pPr>
              <w:tabs>
                <w:tab w:val="left" w:pos="0"/>
                <w:tab w:val="left" w:pos="160"/>
                <w:tab w:val="left" w:pos="640"/>
                <w:tab w:val="left" w:pos="5120"/>
                <w:tab w:val="left" w:pos="6720"/>
                <w:tab w:val="left" w:pos="8960"/>
              </w:tabs>
              <w:spacing w:line="460" w:lineRule="exact"/>
              <w:ind w:right="-31" w:rightChars="-15"/>
              <w:rPr>
                <w:rFonts w:hint="eastAsia" w:ascii="宋体" w:hAnsi="宋体" w:eastAsia="宋体"/>
                <w:color w:val="auto"/>
                <w:sz w:val="24"/>
                <w:lang w:eastAsia="zh-CN"/>
              </w:rPr>
            </w:pPr>
            <w:r>
              <w:rPr>
                <w:rFonts w:hint="eastAsia" w:ascii="宋体" w:hAnsi="宋体" w:eastAsia="宋体"/>
                <w:color w:val="auto"/>
                <w:sz w:val="24"/>
                <w:lang w:eastAsia="zh-CN"/>
              </w:rPr>
              <w:t>（2）工程竣工验收合格后，支付至相对应监理费的</w:t>
            </w:r>
            <w:r>
              <w:rPr>
                <w:rFonts w:hint="eastAsia" w:ascii="宋体" w:hAnsi="宋体" w:eastAsia="宋体"/>
                <w:color w:val="auto"/>
                <w:sz w:val="24"/>
                <w:lang w:val="en-US" w:eastAsia="zh-CN"/>
              </w:rPr>
              <w:t>90</w:t>
            </w:r>
            <w:r>
              <w:rPr>
                <w:rFonts w:hint="eastAsia" w:ascii="宋体" w:hAnsi="宋体" w:eastAsia="宋体"/>
                <w:color w:val="auto"/>
                <w:sz w:val="24"/>
                <w:lang w:eastAsia="zh-CN"/>
              </w:rPr>
              <w:t>%；</w:t>
            </w:r>
          </w:p>
          <w:p w14:paraId="20F4D345">
            <w:pPr>
              <w:tabs>
                <w:tab w:val="left" w:pos="0"/>
                <w:tab w:val="left" w:pos="160"/>
                <w:tab w:val="left" w:pos="640"/>
                <w:tab w:val="left" w:pos="5120"/>
                <w:tab w:val="left" w:pos="6720"/>
                <w:tab w:val="left" w:pos="8960"/>
              </w:tabs>
              <w:spacing w:line="460" w:lineRule="exact"/>
              <w:ind w:right="-31" w:rightChars="-15"/>
              <w:rPr>
                <w:rFonts w:hint="eastAsia" w:ascii="宋体" w:hAnsi="宋体" w:eastAsia="宋体"/>
                <w:color w:val="0000FF"/>
                <w:sz w:val="24"/>
                <w:lang w:eastAsia="zh-CN"/>
              </w:rPr>
            </w:pPr>
            <w:r>
              <w:rPr>
                <w:rFonts w:hint="eastAsia" w:ascii="宋体" w:hAnsi="宋体" w:eastAsia="宋体"/>
                <w:color w:val="auto"/>
                <w:sz w:val="24"/>
                <w:lang w:eastAsia="zh-CN"/>
              </w:rPr>
              <w:t>（3）竣工资料</w:t>
            </w:r>
            <w:r>
              <w:rPr>
                <w:rFonts w:hint="eastAsia" w:ascii="宋体" w:hAnsi="宋体" w:eastAsia="宋体"/>
                <w:color w:val="auto"/>
                <w:sz w:val="24"/>
                <w:lang w:val="en-US" w:eastAsia="zh-CN"/>
              </w:rPr>
              <w:t>审查完成</w:t>
            </w:r>
            <w:r>
              <w:rPr>
                <w:rFonts w:hint="eastAsia" w:ascii="宋体" w:hAnsi="宋体" w:eastAsia="宋体"/>
                <w:color w:val="auto"/>
                <w:sz w:val="24"/>
                <w:lang w:eastAsia="zh-CN"/>
              </w:rPr>
              <w:t>移交委托人，并配合完成结算审核工作，支付至</w:t>
            </w:r>
            <w:r>
              <w:rPr>
                <w:rFonts w:hint="eastAsia" w:ascii="宋体" w:hAnsi="宋体" w:eastAsia="宋体"/>
                <w:color w:val="auto"/>
                <w:sz w:val="24"/>
                <w:lang w:val="en-US" w:eastAsia="zh-CN"/>
              </w:rPr>
              <w:t>审计后工程量产值</w:t>
            </w:r>
            <w:r>
              <w:rPr>
                <w:rFonts w:hint="eastAsia" w:ascii="宋体" w:hAnsi="宋体" w:eastAsia="宋体"/>
                <w:color w:val="auto"/>
                <w:sz w:val="24"/>
                <w:lang w:eastAsia="zh-CN"/>
              </w:rPr>
              <w:t>相对应监理费用的100%；</w:t>
            </w:r>
          </w:p>
        </w:tc>
      </w:tr>
      <w:tr w14:paraId="75076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8"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8789B07">
            <w:pPr>
              <w:spacing w:line="460" w:lineRule="exact"/>
              <w:jc w:val="center"/>
              <w:rPr>
                <w:rFonts w:ascii="宋体" w:hAnsi="宋体" w:cs="宋体"/>
                <w:sz w:val="24"/>
              </w:rPr>
            </w:pPr>
            <w:r>
              <w:rPr>
                <w:rFonts w:hint="eastAsia" w:ascii="宋体" w:hAnsi="宋体" w:cs="宋体"/>
                <w:sz w:val="24"/>
              </w:rPr>
              <w:t>24</w:t>
            </w:r>
          </w:p>
        </w:tc>
        <w:tc>
          <w:tcPr>
            <w:tcW w:w="1837" w:type="dxa"/>
            <w:tcBorders>
              <w:top w:val="single" w:color="auto" w:sz="4" w:space="0"/>
              <w:left w:val="single" w:color="auto" w:sz="4" w:space="0"/>
              <w:bottom w:val="single" w:color="auto" w:sz="4" w:space="0"/>
              <w:right w:val="single" w:color="auto" w:sz="4" w:space="0"/>
            </w:tcBorders>
            <w:vAlign w:val="center"/>
          </w:tcPr>
          <w:p w14:paraId="19554F1C">
            <w:pPr>
              <w:spacing w:line="460" w:lineRule="exact"/>
              <w:jc w:val="center"/>
              <w:rPr>
                <w:rFonts w:ascii="宋体" w:hAnsi="宋体" w:cs="宋体"/>
                <w:sz w:val="24"/>
              </w:rPr>
            </w:pPr>
            <w:r>
              <w:rPr>
                <w:rFonts w:hint="eastAsia" w:ascii="宋体" w:hAnsi="宋体" w:cs="宋体"/>
                <w:sz w:val="24"/>
              </w:rPr>
              <w:t>磋商会议现场监标人查验的供应商资料</w:t>
            </w:r>
          </w:p>
        </w:tc>
        <w:tc>
          <w:tcPr>
            <w:tcW w:w="7493" w:type="dxa"/>
            <w:tcBorders>
              <w:top w:val="single" w:color="auto" w:sz="4" w:space="0"/>
              <w:left w:val="single" w:color="auto" w:sz="4" w:space="0"/>
              <w:bottom w:val="single" w:color="auto" w:sz="4" w:space="0"/>
              <w:right w:val="single" w:color="auto" w:sz="4" w:space="0"/>
            </w:tcBorders>
            <w:vAlign w:val="center"/>
          </w:tcPr>
          <w:p w14:paraId="575DC98A">
            <w:pPr>
              <w:spacing w:line="460" w:lineRule="exact"/>
              <w:jc w:val="left"/>
              <w:rPr>
                <w:rFonts w:ascii="宋体" w:hAnsi="宋体" w:cs="宋体"/>
                <w:sz w:val="24"/>
              </w:rPr>
            </w:pPr>
            <w:r>
              <w:rPr>
                <w:rFonts w:hint="eastAsia" w:ascii="宋体" w:hAnsi="宋体" w:cs="宋体"/>
                <w:sz w:val="24"/>
              </w:rPr>
              <w:t>1、法定代表人直接参加磋商的，须出具法定代表人身份证明书</w:t>
            </w:r>
            <w:r>
              <w:rPr>
                <w:rFonts w:hint="eastAsia" w:ascii="宋体" w:hAnsi="宋体" w:cs="宋体"/>
                <w:sz w:val="24"/>
                <w:lang w:val="en-US" w:eastAsia="zh-CN"/>
              </w:rPr>
              <w:t>原件</w:t>
            </w:r>
            <w:r>
              <w:rPr>
                <w:rFonts w:hint="eastAsia" w:ascii="宋体" w:hAnsi="宋体" w:cs="宋体"/>
                <w:sz w:val="24"/>
              </w:rPr>
              <w:t>（含法人身份证复印件）</w:t>
            </w:r>
            <w:r>
              <w:rPr>
                <w:rFonts w:hint="eastAsia" w:ascii="宋体" w:hAnsi="宋体" w:cs="宋体"/>
                <w:sz w:val="24"/>
                <w:lang w:eastAsia="zh-CN"/>
              </w:rPr>
              <w:t>、身份证原件</w:t>
            </w:r>
            <w:r>
              <w:rPr>
                <w:rFonts w:hint="eastAsia" w:ascii="宋体" w:hAnsi="宋体" w:cs="宋体"/>
                <w:sz w:val="24"/>
              </w:rPr>
              <w:t>；</w:t>
            </w:r>
          </w:p>
          <w:p w14:paraId="5E6F92F8">
            <w:pPr>
              <w:spacing w:line="460" w:lineRule="exact"/>
              <w:jc w:val="left"/>
              <w:rPr>
                <w:rFonts w:ascii="宋体" w:hAnsi="宋体" w:cs="宋体"/>
                <w:sz w:val="24"/>
              </w:rPr>
            </w:pPr>
            <w:r>
              <w:rPr>
                <w:rFonts w:hint="eastAsia" w:ascii="宋体" w:hAnsi="宋体" w:cs="宋体"/>
                <w:sz w:val="24"/>
              </w:rPr>
              <w:t>2、法定代表人授权代表参加磋商的，须出具法定代表人授权书</w:t>
            </w:r>
            <w:r>
              <w:rPr>
                <w:rFonts w:hint="eastAsia" w:ascii="宋体" w:hAnsi="宋体" w:cs="宋体"/>
                <w:sz w:val="24"/>
                <w:lang w:val="en-US" w:eastAsia="zh-CN"/>
              </w:rPr>
              <w:t>原件</w:t>
            </w:r>
            <w:r>
              <w:rPr>
                <w:rFonts w:hint="eastAsia" w:ascii="宋体" w:hAnsi="宋体" w:cs="宋体"/>
                <w:sz w:val="24"/>
              </w:rPr>
              <w:t>（附法定代表人身份证复印件及被授权人身份证复印件）</w:t>
            </w:r>
            <w:r>
              <w:rPr>
                <w:rFonts w:hint="eastAsia" w:ascii="宋体" w:hAnsi="宋体" w:cs="宋体"/>
                <w:sz w:val="24"/>
                <w:lang w:eastAsia="zh-CN"/>
              </w:rPr>
              <w:t>、</w:t>
            </w:r>
            <w:r>
              <w:rPr>
                <w:rFonts w:hint="eastAsia" w:ascii="宋体" w:hAnsi="宋体" w:cs="宋体"/>
                <w:sz w:val="24"/>
              </w:rPr>
              <w:t>授权代表</w:t>
            </w:r>
            <w:r>
              <w:rPr>
                <w:rFonts w:hint="eastAsia" w:ascii="宋体" w:hAnsi="宋体" w:cs="宋体"/>
                <w:sz w:val="24"/>
                <w:lang w:eastAsia="zh-CN"/>
              </w:rPr>
              <w:t>身份证原件</w:t>
            </w:r>
            <w:r>
              <w:rPr>
                <w:rFonts w:hint="eastAsia" w:ascii="宋体" w:hAnsi="宋体" w:cs="宋体"/>
                <w:sz w:val="24"/>
              </w:rPr>
              <w:t>；</w:t>
            </w:r>
          </w:p>
          <w:p w14:paraId="4627B4DB">
            <w:pPr>
              <w:spacing w:line="460" w:lineRule="exact"/>
              <w:jc w:val="left"/>
              <w:rPr>
                <w:rFonts w:ascii="宋体" w:hAnsi="宋体" w:cs="宋体"/>
                <w:color w:val="0000FF"/>
                <w:sz w:val="24"/>
              </w:rPr>
            </w:pPr>
            <w:r>
              <w:rPr>
                <w:rFonts w:hint="eastAsia" w:ascii="宋体" w:hAnsi="宋体" w:cs="宋体"/>
                <w:sz w:val="24"/>
              </w:rPr>
              <w:t>注：由监标人现场查验，未携带者，磋商响应文件不予开封并按废标处理；</w:t>
            </w:r>
          </w:p>
        </w:tc>
      </w:tr>
      <w:tr w14:paraId="3BCE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8A439EE">
            <w:pPr>
              <w:spacing w:line="460" w:lineRule="exact"/>
              <w:jc w:val="center"/>
              <w:rPr>
                <w:rFonts w:ascii="宋体" w:hAnsi="宋体" w:cs="宋体"/>
                <w:sz w:val="24"/>
              </w:rPr>
            </w:pPr>
            <w:r>
              <w:rPr>
                <w:rFonts w:hint="eastAsia" w:ascii="宋体" w:hAnsi="宋体" w:cs="宋体"/>
                <w:sz w:val="24"/>
              </w:rPr>
              <w:t>25</w:t>
            </w:r>
          </w:p>
        </w:tc>
        <w:tc>
          <w:tcPr>
            <w:tcW w:w="1837" w:type="dxa"/>
            <w:tcBorders>
              <w:top w:val="single" w:color="auto" w:sz="4" w:space="0"/>
              <w:left w:val="single" w:color="auto" w:sz="4" w:space="0"/>
              <w:bottom w:val="single" w:color="auto" w:sz="4" w:space="0"/>
              <w:right w:val="single" w:color="auto" w:sz="4" w:space="0"/>
            </w:tcBorders>
            <w:vAlign w:val="center"/>
          </w:tcPr>
          <w:p w14:paraId="2E902BAE">
            <w:pPr>
              <w:spacing w:line="460" w:lineRule="exact"/>
              <w:jc w:val="center"/>
              <w:rPr>
                <w:rFonts w:ascii="宋体" w:hAnsi="宋体" w:cs="宋体"/>
                <w:sz w:val="24"/>
              </w:rPr>
            </w:pPr>
            <w:r>
              <w:rPr>
                <w:rFonts w:hint="eastAsia" w:ascii="宋体" w:hAnsi="宋体" w:cs="宋体"/>
                <w:sz w:val="24"/>
              </w:rPr>
              <w:t>本项目采购标的对应的中小企业划分标准所属行业</w:t>
            </w:r>
          </w:p>
        </w:tc>
        <w:tc>
          <w:tcPr>
            <w:tcW w:w="7493" w:type="dxa"/>
            <w:tcBorders>
              <w:top w:val="single" w:color="auto" w:sz="4" w:space="0"/>
              <w:left w:val="single" w:color="auto" w:sz="4" w:space="0"/>
              <w:bottom w:val="single" w:color="auto" w:sz="4" w:space="0"/>
              <w:right w:val="single" w:color="auto" w:sz="4" w:space="0"/>
            </w:tcBorders>
            <w:vAlign w:val="center"/>
          </w:tcPr>
          <w:p w14:paraId="1E64BC00">
            <w:pPr>
              <w:spacing w:line="460" w:lineRule="exact"/>
              <w:jc w:val="left"/>
              <w:rPr>
                <w:rStyle w:val="27"/>
                <w:rFonts w:ascii="宋体" w:hAnsi="宋体"/>
                <w:sz w:val="24"/>
                <w:szCs w:val="32"/>
              </w:rPr>
            </w:pPr>
            <w:r>
              <w:rPr>
                <w:rStyle w:val="27"/>
                <w:rFonts w:hint="eastAsia" w:ascii="宋体" w:hAnsi="宋体"/>
                <w:sz w:val="24"/>
                <w:szCs w:val="32"/>
              </w:rPr>
              <w:t>根据《工业和信息化部、国家统计局、国家发展和改革委员会、财政部关于印发中小企业划型标准规定的通知》(工信部联企业〔2011〕300号)对中小企业的划分标准的规定：</w:t>
            </w:r>
          </w:p>
          <w:p w14:paraId="2AFDDFDA">
            <w:pPr>
              <w:spacing w:line="460" w:lineRule="exact"/>
              <w:jc w:val="left"/>
              <w:rPr>
                <w:rFonts w:ascii="宋体" w:hAnsi="宋体" w:cs="宋体"/>
                <w:sz w:val="24"/>
              </w:rPr>
            </w:pPr>
            <w:r>
              <w:rPr>
                <w:rFonts w:hint="eastAsia" w:ascii="宋体" w:hAnsi="宋体" w:cs="宋体"/>
                <w:b/>
                <w:bCs/>
                <w:sz w:val="24"/>
              </w:rPr>
              <w:t>本项目采购标的对应的中小企业划分标准所属行业：其他未列明行业</w:t>
            </w:r>
            <w:r>
              <w:rPr>
                <w:rStyle w:val="27"/>
                <w:rFonts w:hint="eastAsia" w:ascii="宋体" w:hAnsi="宋体"/>
                <w:b/>
                <w:bCs/>
                <w:sz w:val="24"/>
                <w:szCs w:val="32"/>
              </w:rPr>
              <w:t>。</w:t>
            </w:r>
          </w:p>
        </w:tc>
      </w:tr>
      <w:tr w14:paraId="0099A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1"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61EF85A">
            <w:pPr>
              <w:spacing w:line="460" w:lineRule="exact"/>
              <w:jc w:val="center"/>
              <w:rPr>
                <w:rFonts w:ascii="宋体" w:hAnsi="宋体" w:cs="宋体"/>
                <w:sz w:val="24"/>
              </w:rPr>
            </w:pPr>
            <w:r>
              <w:rPr>
                <w:rFonts w:hint="eastAsia" w:ascii="宋体" w:hAnsi="宋体" w:cs="宋体"/>
                <w:sz w:val="24"/>
              </w:rPr>
              <w:t>26</w:t>
            </w:r>
          </w:p>
        </w:tc>
        <w:tc>
          <w:tcPr>
            <w:tcW w:w="1837" w:type="dxa"/>
            <w:tcBorders>
              <w:top w:val="single" w:color="auto" w:sz="4" w:space="0"/>
              <w:left w:val="single" w:color="auto" w:sz="4" w:space="0"/>
              <w:bottom w:val="single" w:color="auto" w:sz="4" w:space="0"/>
              <w:right w:val="single" w:color="auto" w:sz="4" w:space="0"/>
            </w:tcBorders>
            <w:vAlign w:val="center"/>
          </w:tcPr>
          <w:p w14:paraId="00239AB3">
            <w:pPr>
              <w:spacing w:line="460" w:lineRule="exact"/>
              <w:jc w:val="center"/>
              <w:rPr>
                <w:rFonts w:ascii="宋体" w:hAnsi="宋体" w:cs="宋体"/>
                <w:sz w:val="24"/>
              </w:rPr>
            </w:pPr>
            <w:r>
              <w:rPr>
                <w:rFonts w:hint="eastAsia" w:ascii="宋体" w:hAnsi="宋体" w:cs="宋体"/>
                <w:sz w:val="24"/>
              </w:rPr>
              <w:t>招标代理</w:t>
            </w:r>
          </w:p>
          <w:p w14:paraId="45F9C3F6">
            <w:pPr>
              <w:spacing w:line="460" w:lineRule="exact"/>
              <w:jc w:val="center"/>
              <w:rPr>
                <w:rFonts w:ascii="宋体" w:hAnsi="宋体" w:cs="宋体"/>
                <w:sz w:val="24"/>
              </w:rPr>
            </w:pPr>
            <w:r>
              <w:rPr>
                <w:rFonts w:hint="eastAsia" w:ascii="宋体" w:hAnsi="宋体" w:cs="宋体"/>
                <w:sz w:val="24"/>
              </w:rPr>
              <w:t>服务费</w:t>
            </w:r>
          </w:p>
        </w:tc>
        <w:tc>
          <w:tcPr>
            <w:tcW w:w="7493" w:type="dxa"/>
            <w:tcBorders>
              <w:top w:val="single" w:color="auto" w:sz="4" w:space="0"/>
              <w:left w:val="single" w:color="auto" w:sz="4" w:space="0"/>
              <w:bottom w:val="single" w:color="auto" w:sz="4" w:space="0"/>
              <w:right w:val="single" w:color="auto" w:sz="4" w:space="0"/>
            </w:tcBorders>
            <w:vAlign w:val="center"/>
          </w:tcPr>
          <w:p w14:paraId="286FEDF6">
            <w:pPr>
              <w:widowControl/>
              <w:spacing w:line="460" w:lineRule="exact"/>
              <w:rPr>
                <w:rFonts w:ascii="宋体" w:hAnsi="宋体" w:cs="宋体"/>
                <w:sz w:val="24"/>
              </w:rPr>
            </w:pPr>
            <w:r>
              <w:rPr>
                <w:rFonts w:hint="eastAsia" w:ascii="宋体" w:hAnsi="宋体" w:cs="宋体"/>
                <w:sz w:val="24"/>
                <w:lang w:val="en-US" w:eastAsia="zh-CN"/>
              </w:rPr>
              <w:t>参照国家相关行业收费标准下浮20%计取</w:t>
            </w:r>
            <w:r>
              <w:rPr>
                <w:rFonts w:hint="eastAsia" w:ascii="宋体" w:hAnsi="宋体" w:cs="宋体"/>
                <w:sz w:val="24"/>
              </w:rPr>
              <w:t>，由成交人在领取成交通知书前向采购代理机构一次性支付。</w:t>
            </w:r>
          </w:p>
        </w:tc>
      </w:tr>
      <w:tr w14:paraId="1629E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2C4FABCD">
            <w:pPr>
              <w:spacing w:line="480" w:lineRule="exact"/>
              <w:jc w:val="center"/>
              <w:rPr>
                <w:rFonts w:ascii="宋体" w:hAnsi="宋体" w:cs="宋体"/>
                <w:sz w:val="24"/>
              </w:rPr>
            </w:pPr>
            <w:r>
              <w:rPr>
                <w:rFonts w:hint="eastAsia" w:ascii="宋体" w:hAnsi="宋体" w:cs="宋体"/>
                <w:sz w:val="24"/>
              </w:rPr>
              <w:t>27</w:t>
            </w:r>
          </w:p>
        </w:tc>
        <w:tc>
          <w:tcPr>
            <w:tcW w:w="1837" w:type="dxa"/>
            <w:tcBorders>
              <w:top w:val="single" w:color="auto" w:sz="4" w:space="0"/>
              <w:left w:val="single" w:color="auto" w:sz="4" w:space="0"/>
              <w:bottom w:val="single" w:color="auto" w:sz="4" w:space="0"/>
              <w:right w:val="single" w:color="auto" w:sz="4" w:space="0"/>
            </w:tcBorders>
            <w:vAlign w:val="center"/>
          </w:tcPr>
          <w:p w14:paraId="7FB420D0">
            <w:pPr>
              <w:spacing w:line="460" w:lineRule="exact"/>
              <w:jc w:val="center"/>
              <w:rPr>
                <w:rStyle w:val="27"/>
                <w:rFonts w:hint="eastAsia" w:ascii="宋体" w:hAnsi="宋体"/>
                <w:sz w:val="24"/>
                <w:szCs w:val="32"/>
              </w:rPr>
            </w:pPr>
            <w:r>
              <w:rPr>
                <w:rStyle w:val="27"/>
                <w:rFonts w:hint="eastAsia" w:ascii="宋体" w:hAnsi="宋体"/>
                <w:sz w:val="24"/>
                <w:szCs w:val="32"/>
              </w:rPr>
              <w:t>政府采购信用担保及信用</w:t>
            </w:r>
          </w:p>
          <w:p w14:paraId="28DEDB57">
            <w:pPr>
              <w:spacing w:line="460" w:lineRule="exact"/>
              <w:jc w:val="center"/>
              <w:rPr>
                <w:rFonts w:ascii="宋体" w:hAnsi="宋体" w:cs="宋体"/>
                <w:sz w:val="24"/>
              </w:rPr>
            </w:pPr>
            <w:r>
              <w:rPr>
                <w:rStyle w:val="27"/>
                <w:rFonts w:hint="eastAsia" w:ascii="宋体" w:hAnsi="宋体"/>
                <w:sz w:val="24"/>
                <w:szCs w:val="32"/>
              </w:rPr>
              <w:t>融资政策</w:t>
            </w:r>
          </w:p>
        </w:tc>
        <w:tc>
          <w:tcPr>
            <w:tcW w:w="7493" w:type="dxa"/>
            <w:tcBorders>
              <w:top w:val="single" w:color="auto" w:sz="4" w:space="0"/>
              <w:left w:val="single" w:color="auto" w:sz="4" w:space="0"/>
              <w:bottom w:val="single" w:color="auto" w:sz="4" w:space="0"/>
              <w:right w:val="single" w:color="auto" w:sz="4" w:space="0"/>
            </w:tcBorders>
            <w:vAlign w:val="center"/>
          </w:tcPr>
          <w:p w14:paraId="070F2656">
            <w:pPr>
              <w:snapToGrid w:val="0"/>
              <w:spacing w:line="520" w:lineRule="exact"/>
              <w:ind w:firstLine="480" w:firstLineChars="200"/>
              <w:rPr>
                <w:rFonts w:ascii="宋体" w:hAnsi="宋体" w:cs="宋体"/>
                <w:sz w:val="24"/>
              </w:rPr>
            </w:pPr>
            <w:r>
              <w:rPr>
                <w:rFonts w:hint="eastAsia" w:ascii="宋体" w:hAnsi="宋体" w:cs="宋体"/>
                <w:sz w:val="24"/>
              </w:rPr>
              <w:t>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tc>
      </w:tr>
      <w:tr w14:paraId="6C06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7"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66154415">
            <w:pPr>
              <w:spacing w:line="480" w:lineRule="exact"/>
              <w:jc w:val="center"/>
              <w:rPr>
                <w:rFonts w:ascii="宋体" w:hAnsi="宋体" w:cs="宋体"/>
                <w:sz w:val="24"/>
              </w:rPr>
            </w:pPr>
            <w:r>
              <w:rPr>
                <w:rFonts w:hint="eastAsia" w:ascii="宋体" w:hAnsi="宋体" w:cs="宋体"/>
                <w:sz w:val="24"/>
              </w:rPr>
              <w:t>28</w:t>
            </w:r>
          </w:p>
        </w:tc>
        <w:tc>
          <w:tcPr>
            <w:tcW w:w="1837" w:type="dxa"/>
            <w:tcBorders>
              <w:top w:val="single" w:color="auto" w:sz="4" w:space="0"/>
              <w:left w:val="single" w:color="auto" w:sz="4" w:space="0"/>
              <w:bottom w:val="single" w:color="auto" w:sz="4" w:space="0"/>
              <w:right w:val="single" w:color="auto" w:sz="4" w:space="0"/>
            </w:tcBorders>
            <w:vAlign w:val="center"/>
          </w:tcPr>
          <w:p w14:paraId="4600B8C3">
            <w:pPr>
              <w:spacing w:line="480" w:lineRule="exact"/>
              <w:jc w:val="center"/>
              <w:rPr>
                <w:rFonts w:ascii="宋体" w:hAnsi="宋体" w:cs="宋体"/>
                <w:sz w:val="24"/>
              </w:rPr>
            </w:pPr>
            <w:r>
              <w:rPr>
                <w:rFonts w:hint="eastAsia" w:ascii="宋体" w:hAnsi="宋体" w:cs="宋体"/>
                <w:sz w:val="24"/>
              </w:rPr>
              <w:t>法定代表人</w:t>
            </w:r>
          </w:p>
          <w:p w14:paraId="12E2C944">
            <w:pPr>
              <w:spacing w:line="480" w:lineRule="exact"/>
              <w:jc w:val="center"/>
              <w:rPr>
                <w:rFonts w:ascii="宋体" w:hAnsi="宋体" w:cs="宋体"/>
                <w:b/>
                <w:bCs/>
                <w:sz w:val="24"/>
              </w:rPr>
            </w:pPr>
            <w:r>
              <w:rPr>
                <w:rFonts w:hint="eastAsia" w:ascii="宋体" w:hAnsi="宋体" w:cs="宋体"/>
                <w:sz w:val="24"/>
              </w:rPr>
              <w:t>身份证明格式</w:t>
            </w:r>
          </w:p>
        </w:tc>
        <w:tc>
          <w:tcPr>
            <w:tcW w:w="7493" w:type="dxa"/>
            <w:tcBorders>
              <w:top w:val="single" w:color="auto" w:sz="4" w:space="0"/>
              <w:left w:val="single" w:color="auto" w:sz="4" w:space="0"/>
              <w:bottom w:val="single" w:color="auto" w:sz="4" w:space="0"/>
              <w:right w:val="single" w:color="auto" w:sz="4" w:space="0"/>
            </w:tcBorders>
            <w:vAlign w:val="center"/>
          </w:tcPr>
          <w:p w14:paraId="2BE72331">
            <w:pPr>
              <w:spacing w:line="480" w:lineRule="exact"/>
              <w:jc w:val="left"/>
              <w:rPr>
                <w:rFonts w:ascii="宋体" w:hAnsi="宋体" w:cs="宋体"/>
                <w:sz w:val="24"/>
              </w:rPr>
            </w:pPr>
            <w:r>
              <w:rPr>
                <w:rFonts w:hint="eastAsia" w:ascii="宋体" w:hAnsi="宋体" w:cs="宋体"/>
                <w:sz w:val="24"/>
              </w:rPr>
              <w:t>法定代表人出席磋商会议的可以参照此委托书格式</w:t>
            </w:r>
          </w:p>
          <w:p w14:paraId="3DCC9E78">
            <w:pPr>
              <w:spacing w:line="480" w:lineRule="exact"/>
              <w:jc w:val="left"/>
              <w:rPr>
                <w:rStyle w:val="27"/>
                <w:rFonts w:ascii="宋体" w:hAnsi="宋体"/>
                <w:b/>
                <w:bCs/>
                <w:sz w:val="24"/>
                <w:szCs w:val="32"/>
              </w:rPr>
            </w:pPr>
            <w:r>
              <w:rPr>
                <w:rFonts w:hint="eastAsia" w:ascii="宋体" w:hAnsi="宋体" w:cs="宋体"/>
                <w:sz w:val="24"/>
              </w:rPr>
              <w:t>见：附件28</w:t>
            </w:r>
          </w:p>
        </w:tc>
      </w:tr>
      <w:tr w14:paraId="4541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14:paraId="7B554B62">
            <w:pPr>
              <w:spacing w:line="480" w:lineRule="exact"/>
              <w:jc w:val="center"/>
              <w:rPr>
                <w:rFonts w:ascii="宋体" w:hAnsi="宋体" w:cs="宋体"/>
                <w:sz w:val="24"/>
              </w:rPr>
            </w:pPr>
            <w:r>
              <w:rPr>
                <w:rFonts w:hint="eastAsia" w:ascii="宋体" w:hAnsi="宋体" w:cs="宋体"/>
                <w:sz w:val="24"/>
              </w:rPr>
              <w:t>29</w:t>
            </w:r>
          </w:p>
        </w:tc>
        <w:tc>
          <w:tcPr>
            <w:tcW w:w="1837" w:type="dxa"/>
            <w:tcBorders>
              <w:top w:val="single" w:color="auto" w:sz="4" w:space="0"/>
              <w:left w:val="single" w:color="auto" w:sz="4" w:space="0"/>
              <w:bottom w:val="single" w:color="auto" w:sz="4" w:space="0"/>
              <w:right w:val="single" w:color="auto" w:sz="4" w:space="0"/>
            </w:tcBorders>
            <w:vAlign w:val="center"/>
          </w:tcPr>
          <w:p w14:paraId="4DED7160">
            <w:pPr>
              <w:spacing w:line="480" w:lineRule="exact"/>
              <w:jc w:val="center"/>
              <w:rPr>
                <w:rFonts w:ascii="宋体" w:hAnsi="宋体" w:cs="宋体"/>
                <w:sz w:val="24"/>
              </w:rPr>
            </w:pPr>
            <w:r>
              <w:rPr>
                <w:rFonts w:hint="eastAsia" w:ascii="宋体" w:hAnsi="宋体" w:cs="宋体"/>
                <w:sz w:val="24"/>
              </w:rPr>
              <w:t>法定代表人</w:t>
            </w:r>
          </w:p>
          <w:p w14:paraId="13CAA12A">
            <w:pPr>
              <w:spacing w:line="480" w:lineRule="exact"/>
              <w:jc w:val="center"/>
              <w:rPr>
                <w:rFonts w:hint="eastAsia" w:ascii="宋体" w:hAnsi="宋体" w:cs="宋体"/>
                <w:sz w:val="24"/>
              </w:rPr>
            </w:pPr>
            <w:r>
              <w:rPr>
                <w:rFonts w:hint="eastAsia" w:ascii="宋体" w:hAnsi="宋体" w:cs="宋体"/>
                <w:sz w:val="24"/>
              </w:rPr>
              <w:t>授权委托书</w:t>
            </w:r>
          </w:p>
          <w:p w14:paraId="338202FB">
            <w:pPr>
              <w:spacing w:line="480" w:lineRule="exact"/>
              <w:jc w:val="center"/>
              <w:rPr>
                <w:rFonts w:ascii="宋体" w:hAnsi="宋体" w:cs="宋体"/>
                <w:b/>
                <w:bCs/>
                <w:sz w:val="24"/>
              </w:rPr>
            </w:pPr>
            <w:r>
              <w:rPr>
                <w:rFonts w:hint="eastAsia" w:ascii="宋体" w:hAnsi="宋体" w:cs="宋体"/>
                <w:sz w:val="24"/>
              </w:rPr>
              <w:t>格式</w:t>
            </w:r>
          </w:p>
        </w:tc>
        <w:tc>
          <w:tcPr>
            <w:tcW w:w="7493" w:type="dxa"/>
            <w:tcBorders>
              <w:top w:val="single" w:color="auto" w:sz="4" w:space="0"/>
              <w:left w:val="single" w:color="auto" w:sz="4" w:space="0"/>
              <w:bottom w:val="single" w:color="auto" w:sz="4" w:space="0"/>
              <w:right w:val="single" w:color="auto" w:sz="4" w:space="0"/>
            </w:tcBorders>
            <w:vAlign w:val="center"/>
          </w:tcPr>
          <w:p w14:paraId="6A995A05">
            <w:pPr>
              <w:spacing w:line="480" w:lineRule="exact"/>
              <w:jc w:val="left"/>
              <w:rPr>
                <w:rFonts w:ascii="宋体" w:hAnsi="宋体" w:cs="宋体"/>
                <w:sz w:val="24"/>
              </w:rPr>
            </w:pPr>
            <w:r>
              <w:rPr>
                <w:rFonts w:hint="eastAsia" w:ascii="宋体" w:hAnsi="宋体" w:cs="宋体"/>
                <w:sz w:val="24"/>
              </w:rPr>
              <w:t>法定代表人授权代表出席磋商会议的可以参照此委托书格式</w:t>
            </w:r>
          </w:p>
          <w:p w14:paraId="60B30F53">
            <w:pPr>
              <w:spacing w:line="480" w:lineRule="exact"/>
              <w:jc w:val="left"/>
              <w:rPr>
                <w:rStyle w:val="27"/>
                <w:rFonts w:ascii="宋体" w:hAnsi="宋体"/>
                <w:b/>
                <w:bCs/>
                <w:sz w:val="24"/>
                <w:szCs w:val="32"/>
              </w:rPr>
            </w:pPr>
            <w:r>
              <w:rPr>
                <w:rFonts w:hint="eastAsia" w:ascii="宋体" w:hAnsi="宋体" w:cs="宋体"/>
                <w:sz w:val="24"/>
              </w:rPr>
              <w:t>见：附件29</w:t>
            </w:r>
          </w:p>
        </w:tc>
      </w:tr>
    </w:tbl>
    <w:p w14:paraId="05998BD0">
      <w:pPr>
        <w:keepNext/>
        <w:keepLines/>
        <w:rPr>
          <w:rFonts w:ascii="宋体" w:hAnsi="宋体" w:cs="宋体"/>
          <w:b/>
          <w:bCs/>
          <w:sz w:val="28"/>
        </w:rPr>
        <w:sectPr>
          <w:footerReference r:id="rId10" w:type="first"/>
          <w:footerReference r:id="rId9" w:type="default"/>
          <w:pgSz w:w="11906" w:h="16838"/>
          <w:pgMar w:top="1276" w:right="1247" w:bottom="1276" w:left="1247" w:header="851" w:footer="992" w:gutter="0"/>
          <w:pgNumType w:fmt="decimal" w:start="1"/>
          <w:cols w:space="720" w:num="1"/>
          <w:titlePg/>
          <w:docGrid w:type="linesAndChars" w:linePitch="312" w:charSpace="0"/>
        </w:sectPr>
      </w:pPr>
    </w:p>
    <w:p w14:paraId="75DE1A23">
      <w:pPr>
        <w:spacing w:line="360" w:lineRule="auto"/>
        <w:jc w:val="left"/>
        <w:rPr>
          <w:rFonts w:ascii="宋体" w:hAnsi="宋体" w:cs="宋体"/>
          <w:bCs/>
          <w:sz w:val="24"/>
        </w:rPr>
      </w:pPr>
      <w:r>
        <w:rPr>
          <w:rFonts w:hint="eastAsia" w:ascii="宋体" w:hAnsi="宋体" w:cs="宋体"/>
          <w:bCs/>
          <w:sz w:val="24"/>
        </w:rPr>
        <w:t>附件28：法定代表人身份证明格式（法定代表人直接参加磋商的可以参照此证明书格式）</w:t>
      </w:r>
    </w:p>
    <w:p w14:paraId="721238A2">
      <w:pPr>
        <w:pStyle w:val="5"/>
        <w:spacing w:line="360" w:lineRule="auto"/>
        <w:ind w:firstLine="602"/>
        <w:jc w:val="center"/>
        <w:rPr>
          <w:rFonts w:ascii="宋体" w:hAnsi="宋体" w:cs="宋体"/>
          <w:b/>
          <w:bCs/>
          <w:sz w:val="28"/>
          <w:szCs w:val="28"/>
        </w:rPr>
      </w:pPr>
    </w:p>
    <w:p w14:paraId="34617C8A">
      <w:pPr>
        <w:pStyle w:val="5"/>
        <w:spacing w:line="360" w:lineRule="auto"/>
        <w:ind w:firstLine="602"/>
        <w:jc w:val="center"/>
        <w:rPr>
          <w:rFonts w:ascii="宋体" w:hAnsi="宋体" w:cs="宋体"/>
          <w:sz w:val="28"/>
          <w:szCs w:val="28"/>
        </w:rPr>
      </w:pPr>
      <w:r>
        <w:rPr>
          <w:rFonts w:hint="eastAsia" w:ascii="宋体" w:hAnsi="宋体" w:cs="宋体"/>
          <w:b/>
          <w:bCs/>
          <w:sz w:val="28"/>
          <w:szCs w:val="28"/>
        </w:rPr>
        <w:t>法定代表人身份证明书</w:t>
      </w:r>
    </w:p>
    <w:p w14:paraId="2CABBEEE">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76B97424">
      <w:pPr>
        <w:pStyle w:val="15"/>
        <w:rPr>
          <w:rFonts w:hAnsi="宋体" w:cs="宋体"/>
          <w:sz w:val="24"/>
          <w:szCs w:val="24"/>
          <w:u w:val="single"/>
        </w:rPr>
      </w:pPr>
    </w:p>
    <w:p w14:paraId="1AA74C5A">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27976249">
      <w:pPr>
        <w:pStyle w:val="15"/>
        <w:rPr>
          <w:rFonts w:hAnsi="宋体" w:cs="宋体"/>
          <w:sz w:val="24"/>
          <w:szCs w:val="24"/>
          <w:u w:val="single"/>
        </w:rPr>
      </w:pPr>
    </w:p>
    <w:p w14:paraId="1159D902">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497EC4F6">
      <w:pPr>
        <w:pStyle w:val="15"/>
        <w:rPr>
          <w:rFonts w:hAnsi="宋体" w:cs="宋体"/>
          <w:sz w:val="24"/>
          <w:szCs w:val="24"/>
        </w:rPr>
      </w:pPr>
    </w:p>
    <w:p w14:paraId="3E5A4A02">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10D665CD">
      <w:pPr>
        <w:pStyle w:val="15"/>
        <w:rPr>
          <w:rFonts w:hAnsi="宋体" w:cs="宋体"/>
          <w:sz w:val="24"/>
          <w:szCs w:val="24"/>
          <w:u w:val="single"/>
        </w:rPr>
      </w:pPr>
    </w:p>
    <w:p w14:paraId="3CDAE803">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4738242A">
      <w:pPr>
        <w:pStyle w:val="15"/>
        <w:rPr>
          <w:rFonts w:hAnsi="宋体" w:cs="宋体"/>
          <w:sz w:val="24"/>
          <w:szCs w:val="24"/>
        </w:rPr>
      </w:pPr>
    </w:p>
    <w:p w14:paraId="0D3AFA7B">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303EB253">
      <w:pPr>
        <w:pStyle w:val="15"/>
        <w:rPr>
          <w:rFonts w:hAnsi="宋体" w:cs="宋体"/>
          <w:sz w:val="24"/>
          <w:szCs w:val="24"/>
        </w:rPr>
      </w:pPr>
    </w:p>
    <w:p w14:paraId="4AE70039">
      <w:pPr>
        <w:pStyle w:val="15"/>
        <w:rPr>
          <w:rFonts w:hAnsi="宋体" w:cs="宋体"/>
          <w:sz w:val="24"/>
          <w:szCs w:val="24"/>
        </w:rPr>
      </w:pPr>
      <w:r>
        <w:rPr>
          <w:rFonts w:hint="eastAsia" w:hAnsi="宋体" w:cs="宋体"/>
          <w:sz w:val="24"/>
          <w:szCs w:val="24"/>
        </w:rPr>
        <w:t>特此证明。</w:t>
      </w:r>
    </w:p>
    <w:p w14:paraId="7A0D0E00">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345C5125">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C122653">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2DCB092B">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3BC83B46">
            <w:pPr>
              <w:autoSpaceDE w:val="0"/>
              <w:autoSpaceDN w:val="0"/>
              <w:adjustRightInd w:val="0"/>
              <w:jc w:val="center"/>
              <w:rPr>
                <w:rFonts w:ascii="宋体" w:hAnsi="宋体" w:cs="宋体"/>
                <w:sz w:val="24"/>
                <w:u w:val="single"/>
              </w:rPr>
            </w:pPr>
          </w:p>
        </w:tc>
      </w:tr>
    </w:tbl>
    <w:p w14:paraId="61EF7342">
      <w:pPr>
        <w:ind w:firstLine="480" w:firstLineChars="200"/>
        <w:rPr>
          <w:rFonts w:ascii="宋体" w:hAnsi="宋体" w:cs="宋体"/>
          <w:sz w:val="24"/>
        </w:rPr>
      </w:pPr>
    </w:p>
    <w:p w14:paraId="7AF09F88">
      <w:pPr>
        <w:ind w:firstLine="480" w:firstLineChars="200"/>
        <w:rPr>
          <w:rFonts w:ascii="宋体" w:hAnsi="宋体" w:cs="宋体"/>
          <w:sz w:val="24"/>
        </w:rPr>
      </w:pPr>
    </w:p>
    <w:p w14:paraId="30CAD668">
      <w:pPr>
        <w:ind w:firstLine="480" w:firstLineChars="200"/>
        <w:rPr>
          <w:rFonts w:ascii="宋体" w:hAnsi="宋体" w:cs="宋体"/>
          <w:sz w:val="24"/>
        </w:rPr>
      </w:pPr>
    </w:p>
    <w:p w14:paraId="765E4AEA">
      <w:pPr>
        <w:ind w:firstLine="2160" w:firstLineChars="900"/>
        <w:rPr>
          <w:rFonts w:ascii="宋体" w:hAnsi="宋体" w:cs="宋体"/>
          <w:sz w:val="24"/>
        </w:rPr>
      </w:pPr>
    </w:p>
    <w:p w14:paraId="6D4980B6">
      <w:pPr>
        <w:ind w:firstLine="2160" w:firstLineChars="900"/>
        <w:rPr>
          <w:rFonts w:ascii="宋体" w:hAnsi="宋体" w:cs="宋体"/>
          <w:sz w:val="24"/>
        </w:rPr>
      </w:pPr>
    </w:p>
    <w:p w14:paraId="17867A99">
      <w:pPr>
        <w:ind w:left="1676" w:leftChars="798" w:firstLine="480" w:firstLineChars="200"/>
        <w:rPr>
          <w:rFonts w:ascii="宋体" w:hAnsi="宋体" w:cs="宋体"/>
          <w:sz w:val="24"/>
        </w:rPr>
      </w:pPr>
    </w:p>
    <w:p w14:paraId="5B9762C2">
      <w:pPr>
        <w:ind w:left="1676" w:leftChars="798" w:firstLine="720" w:firstLineChars="300"/>
        <w:rPr>
          <w:rFonts w:ascii="宋体" w:hAnsi="宋体" w:cs="宋体"/>
          <w:sz w:val="24"/>
        </w:rPr>
      </w:pPr>
    </w:p>
    <w:p w14:paraId="3C6A49B5">
      <w:pPr>
        <w:widowControl/>
        <w:ind w:left="1676" w:leftChars="798" w:firstLine="720" w:firstLineChars="300"/>
        <w:rPr>
          <w:rFonts w:hint="eastAsia" w:ascii="宋体" w:hAnsi="宋体" w:cs="宋体"/>
          <w:sz w:val="24"/>
        </w:rPr>
      </w:pPr>
    </w:p>
    <w:p w14:paraId="2865A482">
      <w:pPr>
        <w:widowControl/>
        <w:ind w:left="1676" w:leftChars="798" w:firstLine="720" w:firstLineChars="300"/>
        <w:rPr>
          <w:rFonts w:hint="eastAsia" w:ascii="宋体" w:hAnsi="宋体" w:cs="宋体"/>
          <w:sz w:val="24"/>
        </w:rPr>
      </w:pPr>
    </w:p>
    <w:p w14:paraId="08D2DDA1">
      <w:pPr>
        <w:widowControl/>
        <w:ind w:left="1676" w:leftChars="798" w:firstLine="720" w:firstLineChars="300"/>
        <w:rPr>
          <w:rFonts w:hint="eastAsia" w:ascii="宋体" w:hAnsi="宋体" w:cs="宋体"/>
          <w:sz w:val="24"/>
        </w:rPr>
      </w:pPr>
    </w:p>
    <w:p w14:paraId="3F3E29D9">
      <w:pPr>
        <w:widowControl/>
        <w:ind w:left="1676" w:leftChars="798" w:firstLine="720" w:firstLineChars="300"/>
        <w:rPr>
          <w:rFonts w:hint="eastAsia" w:ascii="宋体" w:hAnsi="宋体" w:cs="宋体"/>
          <w:sz w:val="24"/>
        </w:rPr>
      </w:pPr>
    </w:p>
    <w:p w14:paraId="757E00C4">
      <w:pPr>
        <w:widowControl/>
        <w:ind w:left="1676" w:leftChars="798" w:firstLine="720" w:firstLineChars="300"/>
        <w:rPr>
          <w:rFonts w:hint="eastAsia" w:ascii="宋体" w:hAnsi="宋体" w:cs="宋体"/>
          <w:sz w:val="24"/>
        </w:rPr>
      </w:pPr>
    </w:p>
    <w:p w14:paraId="38E28E83">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7"/>
          <w:rFonts w:hint="eastAsia" w:ascii="宋体" w:hAnsi="宋体" w:cs="宋体"/>
          <w:sz w:val="24"/>
        </w:rPr>
        <w:t>（全称并加盖公章）</w:t>
      </w:r>
    </w:p>
    <w:p w14:paraId="2A95FA3B">
      <w:pPr>
        <w:widowControl/>
        <w:ind w:firstLine="5160" w:firstLineChars="2150"/>
        <w:rPr>
          <w:rFonts w:ascii="宋体" w:hAnsi="宋体" w:cs="宋体"/>
          <w:sz w:val="24"/>
          <w:u w:val="single"/>
        </w:rPr>
      </w:pPr>
    </w:p>
    <w:p w14:paraId="3EB36232">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1D7DF038">
      <w:pPr>
        <w:spacing w:line="360" w:lineRule="auto"/>
        <w:jc w:val="center"/>
        <w:rPr>
          <w:rFonts w:ascii="宋体" w:hAnsi="宋体" w:cs="宋体"/>
          <w:bCs/>
          <w:sz w:val="24"/>
        </w:rPr>
        <w:sectPr>
          <w:footerReference r:id="rId11" w:type="default"/>
          <w:pgSz w:w="11906" w:h="16840"/>
          <w:pgMar w:top="1340" w:right="1260" w:bottom="740" w:left="1300" w:header="0" w:footer="543" w:gutter="0"/>
          <w:pgNumType w:fmt="decimal"/>
          <w:cols w:space="720" w:num="1"/>
        </w:sectPr>
      </w:pPr>
    </w:p>
    <w:p w14:paraId="1F1B6A6B">
      <w:pPr>
        <w:spacing w:line="360" w:lineRule="auto"/>
        <w:jc w:val="left"/>
        <w:rPr>
          <w:rFonts w:ascii="宋体" w:hAnsi="宋体" w:cs="宋体"/>
          <w:bCs/>
          <w:sz w:val="24"/>
        </w:rPr>
      </w:pPr>
      <w:r>
        <w:rPr>
          <w:rFonts w:hint="eastAsia" w:ascii="宋体" w:hAnsi="宋体" w:cs="宋体"/>
          <w:bCs/>
          <w:sz w:val="24"/>
        </w:rPr>
        <w:t>附件29：法定代表人授权书格式（法定代表人授权代表参加磋商的可以参照此委托书格式）</w:t>
      </w:r>
    </w:p>
    <w:p w14:paraId="7D3BC04C">
      <w:pPr>
        <w:autoSpaceDE w:val="0"/>
        <w:autoSpaceDN w:val="0"/>
        <w:adjustRightInd w:val="0"/>
        <w:spacing w:line="312" w:lineRule="auto"/>
        <w:jc w:val="center"/>
        <w:rPr>
          <w:rFonts w:ascii="宋体" w:hAnsi="宋体" w:cs="宋体"/>
          <w:b/>
          <w:bCs/>
          <w:sz w:val="28"/>
          <w:szCs w:val="28"/>
          <w:lang w:val="zh-CN"/>
        </w:rPr>
      </w:pPr>
    </w:p>
    <w:p w14:paraId="17F1ED6C">
      <w:pPr>
        <w:autoSpaceDE w:val="0"/>
        <w:autoSpaceDN w:val="0"/>
        <w:adjustRightInd w:val="0"/>
        <w:spacing w:line="312" w:lineRule="auto"/>
        <w:jc w:val="center"/>
        <w:rPr>
          <w:rFonts w:ascii="宋体" w:hAnsi="宋体" w:cs="宋体"/>
          <w:b/>
          <w:bCs/>
          <w:sz w:val="28"/>
          <w:szCs w:val="28"/>
        </w:rPr>
      </w:pPr>
      <w:r>
        <w:rPr>
          <w:rFonts w:hint="eastAsia" w:ascii="宋体" w:hAnsi="宋体" w:cs="宋体"/>
          <w:b/>
          <w:bCs/>
          <w:sz w:val="28"/>
          <w:szCs w:val="28"/>
          <w:lang w:val="zh-CN"/>
        </w:rPr>
        <w:t>法定代表人授权书</w:t>
      </w:r>
    </w:p>
    <w:p w14:paraId="25F94B6D">
      <w:pPr>
        <w:autoSpaceDE w:val="0"/>
        <w:autoSpaceDN w:val="0"/>
        <w:adjustRightInd w:val="0"/>
        <w:spacing w:line="312" w:lineRule="auto"/>
        <w:ind w:firstLine="400"/>
        <w:rPr>
          <w:rFonts w:ascii="宋体" w:hAnsi="宋体" w:cs="宋体"/>
          <w:b/>
          <w:bCs/>
          <w:sz w:val="20"/>
          <w:szCs w:val="20"/>
        </w:rPr>
      </w:pPr>
    </w:p>
    <w:p w14:paraId="7519C37D">
      <w:pPr>
        <w:spacing w:line="480" w:lineRule="auto"/>
        <w:ind w:firstLine="480" w:firstLineChars="200"/>
        <w:rPr>
          <w:rFonts w:ascii="宋体" w:hAnsi="宋体" w:cs="宋体"/>
          <w:sz w:val="24"/>
        </w:rPr>
      </w:pPr>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（项目名称）    </w:t>
      </w:r>
      <w:r>
        <w:rPr>
          <w:rFonts w:hint="eastAsia" w:ascii="宋体" w:hAnsi="宋体" w:cs="宋体"/>
          <w:sz w:val="24"/>
        </w:rPr>
        <w:t>磋商会议、代表我方处理磋商过程中的一切事宜，其法律后果由我方承担。</w:t>
      </w:r>
    </w:p>
    <w:p w14:paraId="17F350F3">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5A40A5AC">
      <w:pPr>
        <w:spacing w:line="480" w:lineRule="auto"/>
        <w:ind w:firstLine="480" w:firstLineChars="200"/>
        <w:rPr>
          <w:rFonts w:ascii="宋体" w:hAnsi="宋体" w:cs="宋体"/>
          <w:sz w:val="24"/>
        </w:rPr>
      </w:pPr>
      <w:r>
        <w:rPr>
          <w:rFonts w:hint="eastAsia" w:ascii="宋体" w:hAnsi="宋体" w:cs="宋体"/>
          <w:sz w:val="24"/>
        </w:rPr>
        <w:t>代理人无转委托权。</w:t>
      </w:r>
    </w:p>
    <w:p w14:paraId="2DA5A1A2">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09B54CFC">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5CD36A95">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0237DF46">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11F0B9EF">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1E9A10C2">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1906D62A">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4CCDDD4D">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64ADCD84">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778FADCD">
      <w:pPr>
        <w:adjustRightInd w:val="0"/>
        <w:snapToGrid w:val="0"/>
        <w:spacing w:line="360" w:lineRule="auto"/>
        <w:rPr>
          <w:rFonts w:ascii="宋体" w:hAnsi="宋体" w:cs="宋体"/>
          <w:sz w:val="24"/>
        </w:rPr>
      </w:pPr>
    </w:p>
    <w:p w14:paraId="767CA955">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7"/>
          <w:rFonts w:hint="eastAsia" w:ascii="宋体" w:hAnsi="宋体" w:cs="宋体"/>
          <w:sz w:val="24"/>
        </w:rPr>
        <w:t>（全称并加盖公章）</w:t>
      </w:r>
      <w:r>
        <w:rPr>
          <w:rFonts w:hint="eastAsia" w:ascii="宋体" w:hAnsi="宋体" w:cs="宋体"/>
          <w:sz w:val="24"/>
        </w:rPr>
        <w:t xml:space="preserve"> </w:t>
      </w:r>
    </w:p>
    <w:p w14:paraId="29344B65">
      <w:pPr>
        <w:adjustRightInd w:val="0"/>
        <w:snapToGrid w:val="0"/>
        <w:spacing w:line="360" w:lineRule="auto"/>
        <w:rPr>
          <w:rFonts w:ascii="宋体" w:hAnsi="宋体" w:cs="宋体"/>
          <w:sz w:val="24"/>
        </w:rPr>
      </w:pPr>
      <w:r>
        <w:rPr>
          <w:rFonts w:hint="eastAsia" w:ascii="宋体" w:hAnsi="宋体" w:cs="宋体"/>
          <w:sz w:val="24"/>
        </w:rPr>
        <w:t xml:space="preserve">     </w:t>
      </w:r>
    </w:p>
    <w:p w14:paraId="58D5435C">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07624405">
      <w:pPr>
        <w:pStyle w:val="2"/>
        <w:rPr>
          <w:rFonts w:ascii="宋体" w:hAnsi="宋体" w:cs="宋体"/>
          <w:sz w:val="24"/>
        </w:rPr>
      </w:pPr>
    </w:p>
    <w:p w14:paraId="1765C56F">
      <w:pPr>
        <w:ind w:firstLine="480" w:firstLineChars="200"/>
        <w:rPr>
          <w:rFonts w:ascii="宋体" w:hAnsi="宋体" w:cs="宋体"/>
          <w:sz w:val="24"/>
        </w:rPr>
        <w:sectPr>
          <w:pgSz w:w="11906" w:h="16840"/>
          <w:pgMar w:top="1560" w:right="1040" w:bottom="740" w:left="1300" w:header="0" w:footer="543" w:gutter="0"/>
          <w:pgNumType w:fmt="decimal"/>
          <w:cols w:space="720" w:num="1"/>
        </w:sect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60E5034">
      <w:pPr>
        <w:keepNext/>
        <w:keepLines/>
        <w:jc w:val="center"/>
        <w:outlineLvl w:val="1"/>
        <w:rPr>
          <w:rFonts w:ascii="宋体" w:hAnsi="宋体" w:cs="宋体"/>
          <w:b/>
          <w:bCs/>
          <w:sz w:val="28"/>
        </w:rPr>
      </w:pPr>
      <w:r>
        <w:rPr>
          <w:rFonts w:hint="eastAsia" w:ascii="宋体" w:hAnsi="宋体" w:cs="宋体"/>
          <w:b/>
          <w:bCs/>
          <w:sz w:val="28"/>
        </w:rPr>
        <w:t>二、磋商须知</w:t>
      </w:r>
    </w:p>
    <w:p w14:paraId="202B8E09">
      <w:pPr>
        <w:spacing w:line="500" w:lineRule="exact"/>
        <w:ind w:firstLine="472" w:firstLineChars="196"/>
        <w:rPr>
          <w:rFonts w:ascii="宋体" w:hAnsi="宋体" w:cs="宋体"/>
          <w:b/>
          <w:sz w:val="24"/>
        </w:rPr>
      </w:pPr>
      <w:r>
        <w:rPr>
          <w:rFonts w:hint="eastAsia" w:ascii="宋体" w:hAnsi="宋体" w:cs="宋体"/>
          <w:b/>
          <w:sz w:val="24"/>
        </w:rPr>
        <w:t>一、名词解释</w:t>
      </w:r>
    </w:p>
    <w:p w14:paraId="713A8CB1">
      <w:pPr>
        <w:spacing w:line="500" w:lineRule="exact"/>
        <w:ind w:firstLine="472" w:firstLineChars="196"/>
        <w:rPr>
          <w:rFonts w:hint="eastAsia" w:ascii="宋体" w:hAnsi="宋体" w:eastAsia="宋体" w:cs="宋体"/>
          <w:bCs/>
          <w:sz w:val="24"/>
          <w:lang w:eastAsia="zh-CN"/>
        </w:rPr>
      </w:pPr>
      <w:r>
        <w:rPr>
          <w:rFonts w:hint="eastAsia" w:ascii="宋体" w:hAnsi="宋体" w:cs="宋体"/>
          <w:b/>
          <w:sz w:val="24"/>
        </w:rPr>
        <w:t xml:space="preserve">1、采   购   人: </w:t>
      </w:r>
      <w:r>
        <w:rPr>
          <w:rFonts w:hint="eastAsia" w:ascii="宋体" w:hAnsi="宋体" w:cs="宋体"/>
          <w:b/>
          <w:sz w:val="24"/>
          <w:lang w:eastAsia="zh-CN"/>
        </w:rPr>
        <w:t>泾阳县住房和城乡建设局</w:t>
      </w:r>
    </w:p>
    <w:p w14:paraId="05804056">
      <w:pPr>
        <w:spacing w:line="500" w:lineRule="exact"/>
        <w:ind w:firstLine="472" w:firstLineChars="196"/>
        <w:rPr>
          <w:rFonts w:hint="eastAsia" w:ascii="宋体" w:hAnsi="宋体" w:eastAsia="宋体" w:cs="宋体"/>
          <w:sz w:val="24"/>
          <w:lang w:eastAsia="zh-CN"/>
        </w:rPr>
      </w:pPr>
      <w:r>
        <w:rPr>
          <w:rFonts w:hint="eastAsia" w:ascii="宋体" w:hAnsi="宋体" w:cs="宋体"/>
          <w:b/>
          <w:sz w:val="24"/>
        </w:rPr>
        <w:t>2、采购代理机构：</w:t>
      </w:r>
      <w:r>
        <w:rPr>
          <w:rFonts w:hint="eastAsia" w:ascii="宋体" w:hAnsi="宋体" w:cs="宋体"/>
          <w:b/>
          <w:sz w:val="24"/>
          <w:lang w:eastAsia="zh-CN"/>
        </w:rPr>
        <w:t>陕西信恒项目管理有限公司</w:t>
      </w:r>
    </w:p>
    <w:p w14:paraId="13C40E5A">
      <w:pPr>
        <w:spacing w:line="500" w:lineRule="exact"/>
        <w:ind w:firstLine="472" w:firstLineChars="196"/>
        <w:rPr>
          <w:rFonts w:ascii="宋体" w:hAnsi="宋体" w:cs="宋体"/>
          <w:b/>
          <w:sz w:val="24"/>
        </w:rPr>
      </w:pPr>
      <w:r>
        <w:rPr>
          <w:rFonts w:hint="eastAsia" w:ascii="宋体" w:hAnsi="宋体" w:cs="宋体"/>
          <w:b/>
          <w:sz w:val="24"/>
        </w:rPr>
        <w:t>3、供   应   商：</w:t>
      </w:r>
      <w:r>
        <w:rPr>
          <w:rFonts w:hint="eastAsia" w:ascii="宋体" w:hAnsi="宋体" w:cs="宋体"/>
          <w:bCs/>
          <w:sz w:val="24"/>
        </w:rPr>
        <w:t xml:space="preserve"> </w:t>
      </w:r>
      <w:r>
        <w:rPr>
          <w:rFonts w:hint="eastAsia" w:ascii="宋体" w:hAnsi="宋体" w:cs="宋体"/>
          <w:b/>
          <w:sz w:val="24"/>
        </w:rPr>
        <w:t>参与磋商的企业</w:t>
      </w:r>
    </w:p>
    <w:p w14:paraId="2E04C4D6">
      <w:pPr>
        <w:spacing w:line="500" w:lineRule="exact"/>
        <w:ind w:firstLine="472" w:firstLineChars="196"/>
        <w:rPr>
          <w:rFonts w:ascii="宋体" w:hAnsi="宋体" w:cs="宋体"/>
          <w:b/>
          <w:sz w:val="24"/>
        </w:rPr>
      </w:pPr>
      <w:r>
        <w:rPr>
          <w:rFonts w:hint="eastAsia" w:ascii="宋体" w:hAnsi="宋体" w:cs="宋体"/>
          <w:b/>
          <w:sz w:val="24"/>
        </w:rPr>
        <w:t>二、竞争性磋商文件</w:t>
      </w:r>
    </w:p>
    <w:p w14:paraId="5DE9D90D">
      <w:pPr>
        <w:spacing w:line="520" w:lineRule="exact"/>
        <w:ind w:firstLine="480" w:firstLineChars="200"/>
        <w:rPr>
          <w:rFonts w:ascii="宋体" w:hAnsi="宋体" w:cs="宋体"/>
          <w:sz w:val="24"/>
        </w:rPr>
      </w:pPr>
      <w:r>
        <w:rPr>
          <w:rFonts w:hint="eastAsia" w:ascii="宋体" w:hAnsi="宋体" w:cs="宋体"/>
          <w:sz w:val="24"/>
        </w:rPr>
        <w:t>1、竞争性磋商文件由竞争性磋商文件目录前五部分组成。</w:t>
      </w:r>
    </w:p>
    <w:p w14:paraId="77FF625B">
      <w:pPr>
        <w:spacing w:line="520" w:lineRule="exact"/>
        <w:ind w:firstLine="480" w:firstLineChars="200"/>
        <w:rPr>
          <w:rFonts w:ascii="宋体" w:hAnsi="宋体" w:cs="宋体"/>
          <w:sz w:val="24"/>
        </w:rPr>
      </w:pPr>
      <w:r>
        <w:rPr>
          <w:rFonts w:hint="eastAsia" w:ascii="宋体" w:hAnsi="宋体" w:cs="宋体"/>
          <w:sz w:val="24"/>
        </w:rPr>
        <w:t>2、采购人在磋商截止时间前，可以以书面形式对竞争性磋商文件进行必要的澄清或修改，其内容均为竞争性磋商文件的组成部分，并对采购人及供应商起约束作用。</w:t>
      </w:r>
    </w:p>
    <w:p w14:paraId="094EC3FE">
      <w:pPr>
        <w:spacing w:line="520" w:lineRule="exact"/>
        <w:ind w:firstLine="480" w:firstLineChars="200"/>
        <w:rPr>
          <w:rFonts w:ascii="宋体" w:hAnsi="宋体" w:cs="宋体"/>
          <w:b/>
          <w:bCs/>
          <w:sz w:val="24"/>
        </w:rPr>
      </w:pPr>
      <w:r>
        <w:rPr>
          <w:rFonts w:hint="eastAsia" w:ascii="宋体" w:hAnsi="宋体" w:cs="宋体"/>
          <w:sz w:val="24"/>
        </w:rPr>
        <w:t>3、供应商应详细阅读竞争性磋商文件所有的事项、格式、条款和规范要求等，在磋商响应文件中对竞争性磋商文件的各方面都做出实质性的响应，按照竞争性磋商文件的要求提交全部资料。若供应商的磋商响应文件未按竞争性磋商文件要求提交全部资料，或没有对竞争性磋商文件做出实质性响应，或提交资料有虚假部分的，或没有准时现场递交响应资料的，均作废标处理。</w:t>
      </w:r>
    </w:p>
    <w:p w14:paraId="535EE61E">
      <w:pPr>
        <w:spacing w:line="520" w:lineRule="exact"/>
        <w:ind w:firstLine="480" w:firstLineChars="200"/>
        <w:rPr>
          <w:rFonts w:ascii="宋体" w:hAnsi="宋体" w:cs="宋体"/>
          <w:sz w:val="24"/>
        </w:rPr>
      </w:pPr>
      <w:r>
        <w:rPr>
          <w:rFonts w:hint="eastAsia" w:ascii="宋体" w:hAnsi="宋体" w:cs="宋体"/>
          <w:sz w:val="24"/>
        </w:rPr>
        <w:t>4．竞争性磋商文件的澄清或修改：</w:t>
      </w:r>
    </w:p>
    <w:p w14:paraId="2D2B43A7">
      <w:pPr>
        <w:spacing w:line="520" w:lineRule="exact"/>
        <w:ind w:firstLine="480" w:firstLineChars="200"/>
        <w:rPr>
          <w:rFonts w:ascii="宋体" w:hAnsi="宋体" w:cs="宋体"/>
          <w:sz w:val="24"/>
        </w:rPr>
      </w:pPr>
      <w:r>
        <w:rPr>
          <w:rFonts w:hint="eastAsia" w:ascii="宋体" w:hAnsi="宋体" w:cs="宋体"/>
          <w:sz w:val="24"/>
        </w:rPr>
        <w:t>4-1、供应商对竞争性磋商文件如有疑问要求澄清，或认为有必要与采购人进行技术交流，应于磋商截止时间3日前以书面形式通知采购代理机构，采购代理机构以书面形式予以答复。</w:t>
      </w:r>
    </w:p>
    <w:p w14:paraId="7ECD95AB">
      <w:pPr>
        <w:spacing w:line="520" w:lineRule="exact"/>
        <w:ind w:firstLine="480" w:firstLineChars="200"/>
        <w:rPr>
          <w:rFonts w:ascii="宋体" w:hAnsi="宋体" w:cs="宋体"/>
          <w:sz w:val="24"/>
        </w:rPr>
      </w:pPr>
      <w:r>
        <w:rPr>
          <w:rFonts w:hint="eastAsia" w:ascii="宋体" w:hAnsi="宋体" w:cs="宋体"/>
          <w:sz w:val="24"/>
        </w:rPr>
        <w:t>4-2、无论是采购代理机构主动对竞争性磋商文件进行必要的修改，或根据供应商的要求对竞争性磋商文件做出的澄清，都将于磋商截止时间3日前以书面形式发送给所有合格的供应商。</w:t>
      </w:r>
    </w:p>
    <w:p w14:paraId="1048F1C0">
      <w:pPr>
        <w:spacing w:line="500" w:lineRule="exact"/>
        <w:ind w:firstLine="480" w:firstLineChars="200"/>
        <w:rPr>
          <w:rFonts w:ascii="宋体" w:hAnsi="宋体" w:cs="宋体"/>
          <w:sz w:val="24"/>
        </w:rPr>
      </w:pPr>
      <w:r>
        <w:rPr>
          <w:rFonts w:hint="eastAsia" w:ascii="宋体" w:hAnsi="宋体" w:cs="宋体"/>
          <w:sz w:val="24"/>
        </w:rPr>
        <w:t>4-3、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283B521B">
      <w:pPr>
        <w:spacing w:line="500" w:lineRule="exact"/>
        <w:ind w:firstLine="480" w:firstLineChars="200"/>
        <w:rPr>
          <w:rFonts w:ascii="宋体" w:hAnsi="宋体" w:cs="宋体"/>
          <w:sz w:val="24"/>
        </w:rPr>
      </w:pPr>
      <w:r>
        <w:rPr>
          <w:rFonts w:hint="eastAsia" w:ascii="宋体" w:hAnsi="宋体" w:cs="宋体"/>
          <w:sz w:val="24"/>
        </w:rPr>
        <w:t>4-4、根据招标工作进展实际情况，采购人可酌情延长递交磋商响应文件的截止时间，若延长将另行以书面形式通知各供应商。</w:t>
      </w:r>
    </w:p>
    <w:p w14:paraId="08152258">
      <w:pPr>
        <w:spacing w:line="500" w:lineRule="exact"/>
        <w:ind w:firstLine="480" w:firstLineChars="200"/>
        <w:rPr>
          <w:rFonts w:ascii="宋体" w:hAnsi="宋体" w:cs="宋体"/>
          <w:sz w:val="24"/>
        </w:rPr>
      </w:pPr>
      <w:r>
        <w:rPr>
          <w:rFonts w:hint="eastAsia" w:ascii="宋体" w:hAnsi="宋体" w:cs="宋体"/>
          <w:sz w:val="24"/>
        </w:rPr>
        <w:t>5、供应商必须从采购代理机构获取竞争性磋商文件，供应商自行转让或复制竞争性磋商文件视为无效。竞争性磋商文件发出后不退，且仅作为本次采购使用。</w:t>
      </w:r>
    </w:p>
    <w:p w14:paraId="5DB56961">
      <w:pPr>
        <w:spacing w:line="500" w:lineRule="exact"/>
        <w:ind w:firstLine="480" w:firstLineChars="200"/>
        <w:rPr>
          <w:rFonts w:ascii="宋体" w:hAnsi="宋体" w:cs="宋体"/>
          <w:sz w:val="24"/>
        </w:rPr>
      </w:pPr>
      <w:r>
        <w:rPr>
          <w:rFonts w:hint="eastAsia" w:ascii="宋体" w:hAnsi="宋体" w:cs="宋体"/>
          <w:sz w:val="24"/>
        </w:rPr>
        <w:t>6、竞争性磋商文件的解释权归采购代理机构。</w:t>
      </w:r>
    </w:p>
    <w:p w14:paraId="53817357">
      <w:pPr>
        <w:spacing w:line="500" w:lineRule="exact"/>
        <w:ind w:firstLine="482" w:firstLineChars="200"/>
        <w:rPr>
          <w:rFonts w:ascii="宋体" w:hAnsi="宋体" w:cs="宋体"/>
          <w:b/>
          <w:bCs/>
          <w:sz w:val="24"/>
        </w:rPr>
      </w:pPr>
      <w:r>
        <w:rPr>
          <w:rFonts w:hint="eastAsia" w:ascii="宋体" w:hAnsi="宋体" w:cs="宋体"/>
          <w:b/>
          <w:bCs/>
          <w:sz w:val="24"/>
        </w:rPr>
        <w:t>三、磋商响应文件</w:t>
      </w:r>
    </w:p>
    <w:p w14:paraId="1FAB5095">
      <w:pPr>
        <w:spacing w:line="520" w:lineRule="exact"/>
        <w:ind w:firstLine="480" w:firstLineChars="200"/>
        <w:rPr>
          <w:rFonts w:ascii="宋体" w:hAnsi="宋体" w:cs="宋体"/>
          <w:sz w:val="24"/>
        </w:rPr>
      </w:pPr>
      <w:r>
        <w:rPr>
          <w:rFonts w:hint="eastAsia" w:ascii="宋体" w:hAnsi="宋体" w:cs="宋体"/>
          <w:sz w:val="24"/>
        </w:rPr>
        <w:t>1、各供应商应根据竞争性磋商文件要求编制磋商响应文件。</w:t>
      </w:r>
    </w:p>
    <w:p w14:paraId="3CCFF746">
      <w:pPr>
        <w:spacing w:line="520" w:lineRule="exact"/>
        <w:ind w:firstLine="480" w:firstLineChars="200"/>
        <w:rPr>
          <w:rFonts w:ascii="宋体" w:hAnsi="宋体" w:cs="宋体"/>
          <w:sz w:val="24"/>
        </w:rPr>
      </w:pPr>
      <w:r>
        <w:rPr>
          <w:rFonts w:hint="eastAsia" w:ascii="宋体" w:hAnsi="宋体" w:cs="宋体"/>
          <w:sz w:val="24"/>
        </w:rPr>
        <w:t>1-1、竞争性磋商响应文件组成：</w:t>
      </w:r>
    </w:p>
    <w:p w14:paraId="3180C7C2">
      <w:pPr>
        <w:spacing w:line="360" w:lineRule="auto"/>
        <w:ind w:firstLine="480" w:firstLineChars="200"/>
        <w:rPr>
          <w:rFonts w:hint="eastAsia" w:ascii="宋体" w:hAnsi="宋体" w:cs="宋体"/>
          <w:sz w:val="24"/>
        </w:rPr>
      </w:pPr>
      <w:r>
        <w:rPr>
          <w:rFonts w:hint="eastAsia" w:ascii="宋体" w:hAnsi="宋体" w:cs="宋体"/>
          <w:sz w:val="24"/>
        </w:rPr>
        <w:t>第一部分  磋商响应函</w:t>
      </w:r>
    </w:p>
    <w:p w14:paraId="62DDEC44">
      <w:pPr>
        <w:spacing w:line="360" w:lineRule="auto"/>
        <w:ind w:firstLine="480" w:firstLineChars="200"/>
        <w:rPr>
          <w:rFonts w:hint="eastAsia" w:ascii="宋体" w:hAnsi="宋体" w:cs="宋体"/>
          <w:sz w:val="24"/>
        </w:rPr>
      </w:pPr>
      <w:r>
        <w:rPr>
          <w:rFonts w:hint="eastAsia" w:ascii="宋体" w:hAnsi="宋体" w:cs="宋体"/>
          <w:sz w:val="24"/>
        </w:rPr>
        <w:t>第二部分  法定代表人身份证明书及法定代表人授权书</w:t>
      </w:r>
    </w:p>
    <w:p w14:paraId="40EFB94E">
      <w:pPr>
        <w:spacing w:line="360" w:lineRule="auto"/>
        <w:ind w:firstLine="480" w:firstLineChars="200"/>
        <w:rPr>
          <w:rFonts w:hint="eastAsia" w:ascii="宋体" w:hAnsi="宋体" w:cs="宋体"/>
          <w:sz w:val="24"/>
        </w:rPr>
      </w:pPr>
      <w:r>
        <w:rPr>
          <w:rFonts w:hint="eastAsia" w:ascii="宋体" w:hAnsi="宋体" w:cs="宋体"/>
          <w:sz w:val="24"/>
        </w:rPr>
        <w:t>第三部分  首次磋商报价表</w:t>
      </w:r>
    </w:p>
    <w:p w14:paraId="2E6B45EC">
      <w:pPr>
        <w:spacing w:line="360" w:lineRule="auto"/>
        <w:ind w:firstLine="480" w:firstLineChars="200"/>
        <w:rPr>
          <w:rFonts w:hint="eastAsia" w:ascii="宋体" w:hAnsi="宋体" w:cs="宋体"/>
          <w:sz w:val="24"/>
        </w:rPr>
      </w:pPr>
      <w:r>
        <w:rPr>
          <w:rFonts w:hint="eastAsia" w:ascii="宋体" w:hAnsi="宋体" w:cs="宋体"/>
          <w:sz w:val="24"/>
        </w:rPr>
        <w:t>第四部分  分项报价表</w:t>
      </w:r>
    </w:p>
    <w:p w14:paraId="50499CCB">
      <w:pPr>
        <w:spacing w:line="360" w:lineRule="auto"/>
        <w:ind w:firstLine="480" w:firstLineChars="200"/>
        <w:rPr>
          <w:rFonts w:hint="eastAsia" w:ascii="宋体" w:hAnsi="宋体" w:cs="宋体"/>
          <w:sz w:val="24"/>
        </w:rPr>
      </w:pPr>
      <w:r>
        <w:rPr>
          <w:rFonts w:hint="eastAsia" w:ascii="宋体" w:hAnsi="宋体" w:cs="宋体"/>
          <w:sz w:val="24"/>
        </w:rPr>
        <w:t>第五部分  服务内容及要求响应偏离表</w:t>
      </w:r>
    </w:p>
    <w:p w14:paraId="3FDDF59E">
      <w:pPr>
        <w:spacing w:line="360" w:lineRule="auto"/>
        <w:ind w:firstLine="480" w:firstLineChars="200"/>
        <w:rPr>
          <w:rFonts w:hint="eastAsia" w:ascii="宋体" w:hAnsi="宋体" w:cs="宋体"/>
          <w:sz w:val="24"/>
        </w:rPr>
      </w:pPr>
      <w:r>
        <w:rPr>
          <w:rFonts w:hint="eastAsia" w:ascii="宋体" w:hAnsi="宋体" w:cs="宋体"/>
          <w:sz w:val="24"/>
        </w:rPr>
        <w:t>第六部分  合同条款响应偏离表</w:t>
      </w:r>
    </w:p>
    <w:p w14:paraId="48275A23">
      <w:pPr>
        <w:spacing w:line="360" w:lineRule="auto"/>
        <w:ind w:firstLine="480" w:firstLineChars="200"/>
        <w:rPr>
          <w:rFonts w:hint="eastAsia" w:ascii="宋体" w:hAnsi="宋体" w:cs="宋体"/>
          <w:sz w:val="24"/>
        </w:rPr>
      </w:pPr>
      <w:r>
        <w:rPr>
          <w:rFonts w:hint="eastAsia" w:ascii="宋体" w:hAnsi="宋体" w:cs="宋体"/>
          <w:sz w:val="24"/>
        </w:rPr>
        <w:t>第七部分  磋商响应方案</w:t>
      </w:r>
    </w:p>
    <w:p w14:paraId="7B6EFE6E">
      <w:pPr>
        <w:spacing w:line="360" w:lineRule="auto"/>
        <w:ind w:firstLine="480" w:firstLineChars="200"/>
        <w:rPr>
          <w:rFonts w:hint="eastAsia" w:ascii="宋体" w:hAnsi="宋体" w:cs="宋体"/>
          <w:sz w:val="24"/>
        </w:rPr>
      </w:pPr>
      <w:r>
        <w:rPr>
          <w:rFonts w:hint="eastAsia" w:ascii="宋体" w:hAnsi="宋体" w:cs="宋体"/>
          <w:sz w:val="24"/>
        </w:rPr>
        <w:t>第八部分  资格证明文件</w:t>
      </w:r>
    </w:p>
    <w:p w14:paraId="1E9DC3C5">
      <w:pPr>
        <w:spacing w:line="360" w:lineRule="auto"/>
        <w:ind w:firstLine="480" w:firstLineChars="200"/>
        <w:rPr>
          <w:rFonts w:hint="eastAsia" w:ascii="宋体" w:hAnsi="宋体" w:cs="宋体"/>
          <w:sz w:val="24"/>
        </w:rPr>
      </w:pPr>
      <w:r>
        <w:rPr>
          <w:rFonts w:hint="eastAsia" w:ascii="宋体" w:hAnsi="宋体" w:cs="宋体"/>
          <w:sz w:val="24"/>
        </w:rPr>
        <w:t>第九部分  供应商承诺函</w:t>
      </w:r>
    </w:p>
    <w:p w14:paraId="65E58636">
      <w:pPr>
        <w:spacing w:line="360" w:lineRule="auto"/>
        <w:ind w:firstLine="480" w:firstLineChars="200"/>
        <w:rPr>
          <w:rFonts w:hint="eastAsia" w:ascii="宋体" w:hAnsi="宋体" w:cs="宋体"/>
          <w:sz w:val="24"/>
        </w:rPr>
      </w:pPr>
      <w:r>
        <w:rPr>
          <w:rFonts w:hint="eastAsia" w:ascii="宋体" w:hAnsi="宋体" w:cs="宋体"/>
          <w:sz w:val="24"/>
        </w:rPr>
        <w:t>第十部分  供应商认为有必要补充说明的事项</w:t>
      </w:r>
    </w:p>
    <w:p w14:paraId="75C64C05">
      <w:pPr>
        <w:spacing w:line="360" w:lineRule="auto"/>
        <w:ind w:firstLine="480" w:firstLineChars="200"/>
        <w:rPr>
          <w:rFonts w:hint="eastAsia" w:ascii="宋体" w:hAnsi="宋体" w:cs="宋体"/>
          <w:sz w:val="24"/>
        </w:rPr>
      </w:pPr>
      <w:r>
        <w:rPr>
          <w:rFonts w:hint="eastAsia" w:ascii="宋体" w:hAnsi="宋体" w:cs="宋体"/>
          <w:sz w:val="24"/>
        </w:rPr>
        <w:t>第十一部分 政府采购需落实的政策</w:t>
      </w:r>
    </w:p>
    <w:p w14:paraId="4432ED48">
      <w:pPr>
        <w:spacing w:line="360" w:lineRule="auto"/>
        <w:ind w:firstLine="480" w:firstLineChars="200"/>
        <w:rPr>
          <w:rFonts w:ascii="宋体" w:hAnsi="宋体" w:cs="宋体"/>
          <w:sz w:val="24"/>
        </w:rPr>
      </w:pPr>
      <w:r>
        <w:rPr>
          <w:rFonts w:hint="eastAsia" w:ascii="宋体" w:hAnsi="宋体" w:cs="宋体"/>
          <w:sz w:val="24"/>
        </w:rPr>
        <w:t>2、供应商应对竞争性磋商文件服务内容及要求完全响应。</w:t>
      </w:r>
    </w:p>
    <w:p w14:paraId="027CF37E">
      <w:pPr>
        <w:spacing w:line="520" w:lineRule="exact"/>
        <w:ind w:firstLine="480" w:firstLineChars="200"/>
        <w:rPr>
          <w:rFonts w:ascii="宋体" w:hAnsi="宋体" w:cs="宋体"/>
          <w:sz w:val="24"/>
        </w:rPr>
      </w:pPr>
      <w:r>
        <w:rPr>
          <w:rFonts w:hint="eastAsia" w:ascii="宋体" w:hAnsi="宋体" w:cs="宋体"/>
          <w:sz w:val="24"/>
        </w:rPr>
        <w:t>3-1、供应商不得将本项目内容进行转包实施，一经发现，立即取消其成交资格，并承担由此引起的一切经济损失；</w:t>
      </w:r>
    </w:p>
    <w:p w14:paraId="0728ECB5">
      <w:pPr>
        <w:spacing w:line="520" w:lineRule="exact"/>
        <w:ind w:firstLine="480" w:firstLineChars="200"/>
        <w:rPr>
          <w:rFonts w:ascii="宋体" w:hAnsi="宋体" w:cs="宋体"/>
          <w:sz w:val="24"/>
        </w:rPr>
      </w:pPr>
      <w:r>
        <w:rPr>
          <w:rFonts w:hint="eastAsia" w:ascii="宋体" w:hAnsi="宋体" w:cs="宋体"/>
          <w:sz w:val="24"/>
        </w:rPr>
        <w:t>4、接受采购人委托的相关单位对服务内容、质量、进度的监督和管理。</w:t>
      </w:r>
    </w:p>
    <w:p w14:paraId="36C2C97F">
      <w:pPr>
        <w:spacing w:line="520" w:lineRule="exact"/>
        <w:ind w:firstLine="480" w:firstLineChars="200"/>
        <w:rPr>
          <w:rFonts w:ascii="宋体" w:hAnsi="宋体" w:cs="宋体"/>
          <w:sz w:val="24"/>
        </w:rPr>
      </w:pPr>
      <w:r>
        <w:rPr>
          <w:rFonts w:hint="eastAsia" w:ascii="宋体" w:hAnsi="宋体" w:cs="宋体"/>
          <w:sz w:val="24"/>
        </w:rPr>
        <w:t>5、供应商不得以他人名义磋商和串通磋商。</w:t>
      </w:r>
    </w:p>
    <w:p w14:paraId="52DEC2AE">
      <w:pPr>
        <w:spacing w:line="520" w:lineRule="exact"/>
        <w:ind w:firstLine="480" w:firstLineChars="200"/>
        <w:rPr>
          <w:rFonts w:ascii="宋体" w:hAnsi="宋体" w:cs="宋体"/>
          <w:sz w:val="24"/>
        </w:rPr>
      </w:pPr>
      <w:r>
        <w:rPr>
          <w:rFonts w:hint="eastAsia" w:ascii="宋体" w:hAnsi="宋体" w:cs="宋体"/>
          <w:sz w:val="24"/>
        </w:rPr>
        <w:t>6、投标内容填写说明</w:t>
      </w:r>
    </w:p>
    <w:p w14:paraId="54F1460D">
      <w:pPr>
        <w:spacing w:line="520" w:lineRule="exact"/>
        <w:ind w:firstLine="480" w:firstLineChars="200"/>
        <w:rPr>
          <w:rFonts w:ascii="宋体" w:hAnsi="宋体" w:cs="宋体"/>
          <w:sz w:val="24"/>
        </w:rPr>
      </w:pPr>
      <w:r>
        <w:rPr>
          <w:rFonts w:hint="eastAsia" w:ascii="宋体" w:hAnsi="宋体" w:cs="宋体"/>
          <w:sz w:val="24"/>
        </w:rPr>
        <w:t>6-1、竞争性磋商响应文件格式：供应商提交的磋商响应文件应当按照竞争性磋商文件规定的全部格式（表格可以按同样格式扩展）填写，装订成册。</w:t>
      </w:r>
    </w:p>
    <w:p w14:paraId="192FC8D2">
      <w:pPr>
        <w:spacing w:line="520" w:lineRule="exact"/>
        <w:ind w:firstLine="480" w:firstLineChars="200"/>
        <w:rPr>
          <w:rFonts w:ascii="宋体" w:hAnsi="宋体" w:cs="宋体"/>
          <w:spacing w:val="-4"/>
          <w:sz w:val="24"/>
        </w:rPr>
      </w:pPr>
      <w:r>
        <w:rPr>
          <w:rFonts w:hint="eastAsia" w:ascii="宋体" w:hAnsi="宋体" w:cs="宋体"/>
          <w:sz w:val="24"/>
        </w:rPr>
        <w:t>6-2、首次磋商报价表</w:t>
      </w:r>
      <w:r>
        <w:rPr>
          <w:rFonts w:hint="eastAsia" w:ascii="宋体" w:hAnsi="宋体" w:cs="宋体"/>
          <w:sz w:val="24"/>
          <w:lang w:val="en-US" w:eastAsia="zh-CN"/>
        </w:rPr>
        <w:t>应按</w:t>
      </w:r>
      <w:r>
        <w:rPr>
          <w:rFonts w:hint="eastAsia" w:ascii="宋体" w:hAnsi="宋体" w:cs="宋体"/>
          <w:sz w:val="24"/>
        </w:rPr>
        <w:t>要求按格式填写。</w:t>
      </w:r>
      <w:r>
        <w:rPr>
          <w:rFonts w:hint="eastAsia" w:ascii="宋体" w:hAnsi="宋体" w:cs="宋体"/>
          <w:spacing w:val="-4"/>
          <w:sz w:val="24"/>
        </w:rPr>
        <w:t>若</w:t>
      </w:r>
      <w:r>
        <w:rPr>
          <w:rFonts w:hint="eastAsia" w:ascii="宋体" w:hAnsi="宋体" w:cs="宋体"/>
          <w:sz w:val="24"/>
        </w:rPr>
        <w:t>供应商</w:t>
      </w:r>
      <w:r>
        <w:rPr>
          <w:rFonts w:hint="eastAsia" w:ascii="宋体" w:hAnsi="宋体" w:cs="宋体"/>
          <w:spacing w:val="-4"/>
          <w:sz w:val="24"/>
        </w:rPr>
        <w:t>填写有误，采购代理机构将默认为竞争性磋商文件要求格式。</w:t>
      </w:r>
    </w:p>
    <w:p w14:paraId="66DCB033">
      <w:pPr>
        <w:spacing w:line="520" w:lineRule="exact"/>
        <w:ind w:firstLine="480" w:firstLineChars="200"/>
        <w:rPr>
          <w:rFonts w:ascii="宋体" w:hAnsi="宋体" w:cs="宋体"/>
          <w:sz w:val="24"/>
        </w:rPr>
      </w:pPr>
      <w:r>
        <w:rPr>
          <w:rFonts w:hint="eastAsia" w:ascii="宋体" w:hAnsi="宋体" w:cs="宋体"/>
          <w:sz w:val="24"/>
        </w:rPr>
        <w:t>7、磋商响应文件的计量单位</w:t>
      </w:r>
    </w:p>
    <w:p w14:paraId="5D284FFC">
      <w:pPr>
        <w:spacing w:line="520" w:lineRule="exact"/>
        <w:ind w:firstLine="480" w:firstLineChars="200"/>
        <w:rPr>
          <w:rFonts w:ascii="宋体" w:hAnsi="宋体" w:cs="宋体"/>
          <w:sz w:val="24"/>
        </w:rPr>
      </w:pPr>
      <w:r>
        <w:rPr>
          <w:rFonts w:hint="eastAsia" w:ascii="宋体" w:hAnsi="宋体" w:cs="宋体"/>
          <w:sz w:val="24"/>
        </w:rPr>
        <w:t>磋商响应文件中所使用的计量单位，除有特殊要求外，均采用国家法定计量单位。</w:t>
      </w:r>
    </w:p>
    <w:p w14:paraId="2C68983E">
      <w:pPr>
        <w:spacing w:line="520" w:lineRule="exact"/>
        <w:ind w:firstLine="480" w:firstLineChars="200"/>
        <w:rPr>
          <w:rFonts w:ascii="宋体" w:hAnsi="宋体" w:cs="宋体"/>
          <w:sz w:val="24"/>
        </w:rPr>
      </w:pPr>
      <w:r>
        <w:rPr>
          <w:rFonts w:hint="eastAsia" w:ascii="宋体" w:hAnsi="宋体" w:cs="宋体"/>
          <w:sz w:val="24"/>
        </w:rPr>
        <w:t>8、磋商报价</w:t>
      </w:r>
    </w:p>
    <w:p w14:paraId="093FC4C8">
      <w:pPr>
        <w:spacing w:line="520" w:lineRule="exact"/>
        <w:ind w:firstLine="480" w:firstLineChars="200"/>
        <w:rPr>
          <w:rFonts w:ascii="宋体" w:hAnsi="宋体" w:cs="宋体"/>
          <w:sz w:val="24"/>
        </w:rPr>
      </w:pPr>
      <w:r>
        <w:rPr>
          <w:rFonts w:hint="eastAsia" w:ascii="宋体" w:hAnsi="宋体" w:cs="宋体"/>
          <w:sz w:val="24"/>
        </w:rPr>
        <w:t>8-1、磋商货币：人民币    单位：元。</w:t>
      </w:r>
    </w:p>
    <w:p w14:paraId="3A06A498">
      <w:pPr>
        <w:spacing w:line="520" w:lineRule="exact"/>
        <w:ind w:firstLine="480" w:firstLineChars="200"/>
        <w:rPr>
          <w:rFonts w:ascii="宋体" w:hAnsi="宋体" w:cs="宋体"/>
          <w:sz w:val="24"/>
        </w:rPr>
      </w:pPr>
      <w:r>
        <w:rPr>
          <w:rFonts w:hint="eastAsia" w:ascii="宋体" w:hAnsi="宋体" w:cs="宋体"/>
          <w:sz w:val="24"/>
        </w:rPr>
        <w:t>8-2、</w:t>
      </w:r>
      <w:r>
        <w:rPr>
          <w:rFonts w:hint="eastAsia" w:ascii="宋体" w:hAnsi="宋体" w:cs="宋体"/>
          <w:sz w:val="24"/>
          <w:lang w:val="zh-CN"/>
        </w:rPr>
        <w:t>供应商应按照磋商文件规定的服务内容及要求，责任范围和合同条件进行报价，各供应商须在响应文件中的报价表上按要求标明总价、监理服务期等项，任何有选择的报价采购代理机构不予接受</w:t>
      </w:r>
      <w:r>
        <w:rPr>
          <w:rFonts w:hint="eastAsia" w:ascii="宋体" w:hAnsi="宋体" w:cs="宋体"/>
          <w:sz w:val="24"/>
        </w:rPr>
        <w:t>。</w:t>
      </w:r>
    </w:p>
    <w:p w14:paraId="20CDFE9B">
      <w:pPr>
        <w:spacing w:line="520" w:lineRule="exact"/>
        <w:ind w:firstLine="480" w:firstLineChars="200"/>
        <w:rPr>
          <w:rFonts w:ascii="宋体" w:hAnsi="宋体" w:cs="宋体"/>
          <w:sz w:val="24"/>
        </w:rPr>
      </w:pPr>
      <w:r>
        <w:rPr>
          <w:rFonts w:hint="eastAsia" w:ascii="宋体" w:hAnsi="宋体" w:cs="宋体"/>
          <w:sz w:val="24"/>
        </w:rPr>
        <w:t>8-3、</w:t>
      </w:r>
      <w:r>
        <w:rPr>
          <w:rFonts w:hint="eastAsia" w:ascii="宋体" w:hAnsi="宋体" w:cs="宋体"/>
          <w:sz w:val="24"/>
          <w:lang w:val="zh-CN"/>
        </w:rPr>
        <w:t>响应</w:t>
      </w:r>
      <w:r>
        <w:rPr>
          <w:rFonts w:hint="eastAsia" w:ascii="宋体" w:hAnsi="宋体" w:cs="宋体"/>
          <w:sz w:val="24"/>
        </w:rPr>
        <w:t>报价是完成磋商内容所需的全部费用。</w:t>
      </w:r>
      <w:r>
        <w:rPr>
          <w:rFonts w:hint="eastAsia" w:ascii="宋体" w:hAnsi="宋体" w:cs="宋体"/>
          <w:sz w:val="24"/>
          <w:lang w:val="zh-CN"/>
        </w:rPr>
        <w:t>凡因供应商对磋商文件阅读不深、理解不透、误解、疏漏、或因市场行情了解不清造成的后果和风险均由供应商自行负责。</w:t>
      </w:r>
    </w:p>
    <w:p w14:paraId="13DF15DC">
      <w:pPr>
        <w:spacing w:line="520" w:lineRule="exact"/>
        <w:ind w:firstLine="482" w:firstLineChars="200"/>
        <w:rPr>
          <w:rFonts w:ascii="宋体" w:hAnsi="宋体" w:cs="宋体"/>
          <w:b/>
          <w:bCs/>
          <w:sz w:val="24"/>
        </w:rPr>
      </w:pPr>
      <w:r>
        <w:rPr>
          <w:rFonts w:hint="eastAsia" w:ascii="宋体" w:hAnsi="宋体" w:cs="宋体"/>
          <w:b/>
          <w:bCs/>
          <w:sz w:val="24"/>
        </w:rPr>
        <w:t>8-4、最低报价不是成交的唯一依据。</w:t>
      </w:r>
    </w:p>
    <w:p w14:paraId="427C0FC4">
      <w:pPr>
        <w:spacing w:line="520" w:lineRule="exact"/>
        <w:ind w:firstLine="480" w:firstLineChars="200"/>
        <w:rPr>
          <w:rFonts w:ascii="宋体" w:hAnsi="宋体" w:cs="宋体"/>
          <w:sz w:val="24"/>
        </w:rPr>
      </w:pPr>
      <w:r>
        <w:rPr>
          <w:rFonts w:hint="eastAsia" w:ascii="宋体" w:hAnsi="宋体" w:cs="宋体"/>
          <w:sz w:val="24"/>
        </w:rPr>
        <w:t>8-5、供应商不得以低于成本的报价参加磋商。当磋商小组认为某个供应商的磋商价或者某些分项报价明显不合理或者低于成本，有可能影响服务质量和不能诚信履约的，可要求该供应商在规定的期限内提供书面文件予以解释说明，并提交相关证明材料；否则，磋商小组认定该供应商以低于成本报价竞标，其磋商响应文件应作无效磋商处理。</w:t>
      </w:r>
    </w:p>
    <w:p w14:paraId="1B24F370">
      <w:pPr>
        <w:spacing w:line="520" w:lineRule="exact"/>
        <w:ind w:firstLine="480" w:firstLineChars="200"/>
        <w:rPr>
          <w:rFonts w:ascii="宋体" w:hAnsi="宋体" w:cs="宋体"/>
          <w:sz w:val="24"/>
        </w:rPr>
      </w:pPr>
      <w:r>
        <w:rPr>
          <w:rFonts w:hint="eastAsia" w:ascii="宋体" w:hAnsi="宋体" w:cs="宋体"/>
          <w:sz w:val="24"/>
        </w:rPr>
        <w:t>9、</w:t>
      </w:r>
      <w:r>
        <w:rPr>
          <w:rFonts w:hint="eastAsia" w:ascii="宋体" w:hAnsi="宋体" w:cs="宋体"/>
          <w:sz w:val="24"/>
          <w:lang w:val="zh-CN"/>
        </w:rPr>
        <w:t>磋商过程中所产生的一切费用由供应商自行承担。</w:t>
      </w:r>
      <w:r>
        <w:rPr>
          <w:rFonts w:hint="eastAsia" w:ascii="宋体" w:hAnsi="宋体" w:cs="宋体"/>
          <w:sz w:val="24"/>
        </w:rPr>
        <w:t>。</w:t>
      </w:r>
    </w:p>
    <w:p w14:paraId="45DFF7DC">
      <w:pPr>
        <w:spacing w:line="520" w:lineRule="exact"/>
        <w:ind w:firstLine="480" w:firstLineChars="200"/>
        <w:rPr>
          <w:rFonts w:ascii="宋体" w:hAnsi="宋体" w:cs="宋体"/>
          <w:sz w:val="24"/>
        </w:rPr>
      </w:pPr>
      <w:r>
        <w:rPr>
          <w:rFonts w:hint="eastAsia" w:ascii="宋体" w:hAnsi="宋体" w:cs="宋体"/>
          <w:sz w:val="24"/>
        </w:rPr>
        <w:t>10、磋商响应文件的制作</w:t>
      </w:r>
    </w:p>
    <w:p w14:paraId="069D08A7">
      <w:pPr>
        <w:spacing w:line="520" w:lineRule="exact"/>
        <w:ind w:firstLine="480" w:firstLineChars="200"/>
        <w:rPr>
          <w:rFonts w:ascii="宋体" w:hAnsi="宋体" w:cs="宋体"/>
          <w:sz w:val="24"/>
        </w:rPr>
      </w:pPr>
      <w:r>
        <w:rPr>
          <w:rFonts w:hint="eastAsia" w:ascii="宋体" w:hAnsi="宋体" w:cs="宋体"/>
          <w:sz w:val="24"/>
        </w:rPr>
        <w:t>10-1、磋商响应文件的签署及规定</w:t>
      </w:r>
    </w:p>
    <w:p w14:paraId="4ACD844E">
      <w:pPr>
        <w:spacing w:line="520" w:lineRule="exact"/>
        <w:ind w:firstLine="480" w:firstLineChars="200"/>
        <w:rPr>
          <w:rFonts w:ascii="宋体" w:hAnsi="宋体" w:cs="宋体"/>
          <w:sz w:val="24"/>
        </w:rPr>
      </w:pPr>
      <w:r>
        <w:rPr>
          <w:rFonts w:hint="eastAsia" w:ascii="宋体" w:hAnsi="宋体" w:cs="宋体"/>
          <w:sz w:val="24"/>
        </w:rPr>
        <w:t>（1）磋商响应文件的各项资料均应遵守本条规定；</w:t>
      </w:r>
    </w:p>
    <w:p w14:paraId="7E18FAFC">
      <w:pPr>
        <w:spacing w:line="520" w:lineRule="exact"/>
        <w:ind w:firstLine="480" w:firstLineChars="200"/>
        <w:rPr>
          <w:rFonts w:ascii="宋体" w:hAnsi="宋体" w:cs="宋体"/>
          <w:sz w:val="24"/>
        </w:rPr>
      </w:pPr>
      <w:r>
        <w:rPr>
          <w:rFonts w:hint="eastAsia" w:ascii="宋体" w:hAnsi="宋体" w:cs="宋体"/>
          <w:sz w:val="24"/>
        </w:rPr>
        <w:t>（2）供应商应填写全称，同时加盖供应商公章；</w:t>
      </w:r>
    </w:p>
    <w:p w14:paraId="404A00EF">
      <w:pPr>
        <w:spacing w:line="520" w:lineRule="exact"/>
        <w:ind w:firstLine="480" w:firstLineChars="200"/>
        <w:rPr>
          <w:rFonts w:ascii="宋体" w:hAnsi="宋体" w:cs="宋体"/>
          <w:sz w:val="24"/>
        </w:rPr>
      </w:pPr>
      <w:r>
        <w:rPr>
          <w:rFonts w:hint="eastAsia" w:ascii="宋体" w:hAnsi="宋体" w:cs="宋体"/>
          <w:sz w:val="24"/>
        </w:rPr>
        <w:t>（3）磋商响应文件必须由法定代表人或授权代表签字或盖章；</w:t>
      </w:r>
    </w:p>
    <w:p w14:paraId="21A50ADB">
      <w:pPr>
        <w:spacing w:line="520" w:lineRule="exact"/>
        <w:ind w:firstLine="480" w:firstLineChars="200"/>
        <w:rPr>
          <w:rFonts w:ascii="宋体" w:hAnsi="宋体" w:cs="宋体"/>
          <w:sz w:val="24"/>
        </w:rPr>
      </w:pPr>
      <w:r>
        <w:rPr>
          <w:rFonts w:hint="eastAsia" w:ascii="宋体" w:hAnsi="宋体" w:cs="宋体"/>
          <w:sz w:val="24"/>
        </w:rPr>
        <w:t>（4）供应商应按竞争性磋商文件给定的竞争性磋商响应文件格式要求加盖供应商公章并经法定代表人或其授权代表签字（或盖章）；</w:t>
      </w:r>
    </w:p>
    <w:p w14:paraId="5F53552A">
      <w:pPr>
        <w:spacing w:line="520" w:lineRule="exact"/>
        <w:ind w:firstLine="480" w:firstLineChars="200"/>
        <w:rPr>
          <w:rFonts w:ascii="宋体" w:hAnsi="宋体" w:cs="宋体"/>
          <w:sz w:val="24"/>
        </w:rPr>
      </w:pPr>
      <w:r>
        <w:rPr>
          <w:rFonts w:hint="eastAsia" w:ascii="宋体" w:hAnsi="宋体" w:cs="宋体"/>
          <w:sz w:val="24"/>
        </w:rPr>
        <w:t>（5）除供应商对错误处需修改外，全套磋商响应文件应无涂改或行间插字或增删。如有修改，修改处应加盖供应商公章及法人代表或委托人签字或盖章确认；</w:t>
      </w:r>
    </w:p>
    <w:p w14:paraId="76F23F72">
      <w:pPr>
        <w:spacing w:line="520" w:lineRule="exact"/>
        <w:ind w:firstLine="480" w:firstLineChars="200"/>
        <w:rPr>
          <w:rFonts w:ascii="宋体" w:hAnsi="宋体" w:cs="宋体"/>
          <w:sz w:val="24"/>
        </w:rPr>
      </w:pPr>
      <w:r>
        <w:rPr>
          <w:rFonts w:hint="eastAsia" w:ascii="宋体" w:hAnsi="宋体" w:cs="宋体"/>
          <w:sz w:val="24"/>
        </w:rPr>
        <w:t>（6）因字迹潦草或表达不清所引起的后果由供应商自行负责。</w:t>
      </w:r>
    </w:p>
    <w:p w14:paraId="6F53F3CF">
      <w:pPr>
        <w:spacing w:line="520" w:lineRule="exact"/>
        <w:ind w:firstLine="480" w:firstLineChars="200"/>
        <w:rPr>
          <w:rFonts w:ascii="宋体" w:hAnsi="宋体" w:cs="宋体"/>
          <w:sz w:val="24"/>
        </w:rPr>
      </w:pPr>
      <w:r>
        <w:rPr>
          <w:rFonts w:hint="eastAsia" w:ascii="宋体" w:hAnsi="宋体" w:cs="宋体"/>
          <w:sz w:val="24"/>
        </w:rPr>
        <w:t>10-2、磋商响应文件的装订和递交</w:t>
      </w:r>
      <w:r>
        <w:rPr>
          <w:rFonts w:hint="eastAsia" w:ascii="宋体" w:hAnsi="宋体" w:cs="宋体"/>
          <w:sz w:val="24"/>
        </w:rPr>
        <w:tab/>
      </w:r>
    </w:p>
    <w:p w14:paraId="6F771323">
      <w:pPr>
        <w:spacing w:line="520" w:lineRule="exact"/>
        <w:ind w:firstLine="480" w:firstLineChars="200"/>
        <w:rPr>
          <w:rFonts w:ascii="宋体" w:hAnsi="宋体" w:cs="宋体"/>
          <w:sz w:val="24"/>
        </w:rPr>
      </w:pPr>
      <w:r>
        <w:rPr>
          <w:rFonts w:hint="eastAsia" w:ascii="宋体" w:hAnsi="宋体" w:cs="宋体"/>
          <w:sz w:val="24"/>
        </w:rPr>
        <w:t>（1）磋商响应文件的装订：</w:t>
      </w:r>
    </w:p>
    <w:p w14:paraId="0203FE92">
      <w:pPr>
        <w:spacing w:line="520" w:lineRule="exact"/>
        <w:ind w:firstLine="482" w:firstLineChars="200"/>
        <w:rPr>
          <w:rFonts w:ascii="宋体" w:hAnsi="宋体" w:cs="宋体"/>
          <w:b/>
          <w:bCs/>
          <w:sz w:val="24"/>
        </w:rPr>
      </w:pPr>
      <w:r>
        <w:rPr>
          <w:rFonts w:hint="eastAsia" w:ascii="宋体" w:hAnsi="宋体" w:cs="宋体"/>
          <w:b/>
          <w:bCs/>
          <w:sz w:val="24"/>
        </w:rPr>
        <w:t>a、磋商时，供应商应自行将磋商响应文件密封完好。封装袋上应写明项目名称、项目编号、供应商名称字样，并在密封条接缝处加盖单位公章（</w:t>
      </w:r>
      <w:r>
        <w:rPr>
          <w:rFonts w:hint="eastAsia" w:ascii="宋体" w:hAnsi="宋体" w:cs="宋体"/>
          <w:b/>
          <w:sz w:val="24"/>
          <w:lang w:val="zh-CN"/>
        </w:rPr>
        <w:t>鲜章</w:t>
      </w:r>
      <w:r>
        <w:rPr>
          <w:rFonts w:hint="eastAsia" w:ascii="宋体" w:hAnsi="宋体" w:cs="宋体"/>
          <w:b/>
          <w:bCs/>
          <w:sz w:val="24"/>
        </w:rPr>
        <w:t>）和法定代表人或被授权代表印章（或签字）；</w:t>
      </w:r>
    </w:p>
    <w:p w14:paraId="256B3ECF">
      <w:pPr>
        <w:spacing w:line="520" w:lineRule="exact"/>
        <w:ind w:firstLine="482" w:firstLineChars="200"/>
        <w:rPr>
          <w:rFonts w:ascii="宋体" w:hAnsi="宋体" w:cs="宋体"/>
          <w:b/>
          <w:bCs/>
          <w:sz w:val="24"/>
        </w:rPr>
      </w:pPr>
      <w:r>
        <w:rPr>
          <w:rFonts w:hint="eastAsia" w:ascii="宋体" w:hAnsi="宋体" w:cs="宋体"/>
          <w:b/>
          <w:bCs/>
          <w:sz w:val="24"/>
        </w:rPr>
        <w:t>b、磋商响应文件一律采用书籍（胶装）方式装订。磋商响应文件共</w:t>
      </w:r>
      <w:r>
        <w:rPr>
          <w:rFonts w:hint="eastAsia" w:ascii="宋体" w:hAnsi="宋体" w:cs="宋体"/>
          <w:b/>
          <w:bCs/>
          <w:sz w:val="24"/>
          <w:lang w:eastAsia="zh-CN"/>
        </w:rPr>
        <w:t>肆</w:t>
      </w:r>
      <w:r>
        <w:rPr>
          <w:rFonts w:hint="eastAsia" w:ascii="宋体" w:hAnsi="宋体" w:cs="宋体"/>
          <w:b/>
          <w:bCs/>
          <w:sz w:val="24"/>
        </w:rPr>
        <w:t>份，其中正本壹份、副本</w:t>
      </w:r>
      <w:r>
        <w:rPr>
          <w:rFonts w:hint="eastAsia" w:ascii="宋体" w:hAnsi="宋体" w:cs="宋体"/>
          <w:b/>
          <w:bCs/>
          <w:sz w:val="24"/>
          <w:lang w:eastAsia="zh-CN"/>
        </w:rPr>
        <w:t>壹</w:t>
      </w:r>
      <w:r>
        <w:rPr>
          <w:rFonts w:hint="eastAsia" w:ascii="宋体" w:hAnsi="宋体" w:cs="宋体"/>
          <w:b/>
          <w:bCs/>
          <w:sz w:val="24"/>
        </w:rPr>
        <w:t>份、电子版文件（U盘）贰份。磋商响应文件的正本和副本分别各自装订成册，并编制目录，正本和副本均须A4纸打印（建议双面打印），均须逐页加盖供应商公章（</w:t>
      </w:r>
      <w:r>
        <w:rPr>
          <w:rFonts w:hint="eastAsia" w:ascii="宋体" w:hAnsi="宋体" w:cs="宋体"/>
          <w:b/>
          <w:sz w:val="24"/>
          <w:lang w:val="zh-CN"/>
        </w:rPr>
        <w:t>鲜章</w:t>
      </w:r>
      <w:r>
        <w:rPr>
          <w:rFonts w:hint="eastAsia" w:ascii="宋体" w:hAnsi="宋体" w:cs="宋体"/>
          <w:b/>
          <w:bCs/>
          <w:sz w:val="24"/>
        </w:rPr>
        <w:t>），磋商响应文件正本、副本及电子文件统一密封在一个密封袋内。磋商响应文件正本及副本，各供应商封装袋上注明“磋商时启封”字样。</w:t>
      </w:r>
    </w:p>
    <w:p w14:paraId="0C219F9A">
      <w:pPr>
        <w:spacing w:line="520" w:lineRule="exact"/>
        <w:ind w:firstLine="480" w:firstLineChars="200"/>
        <w:rPr>
          <w:rFonts w:ascii="宋体" w:hAnsi="宋体" w:cs="宋体"/>
          <w:b/>
          <w:bCs/>
          <w:sz w:val="24"/>
        </w:rPr>
      </w:pPr>
      <w:r>
        <w:rPr>
          <w:rFonts w:hint="eastAsia" w:ascii="宋体" w:hAnsi="宋体" w:cs="宋体"/>
          <w:sz w:val="24"/>
        </w:rPr>
        <w:t>注：对未按竞争性磋商文件要求方式装订和递交的磋商响应文件，将作为无效文件处理。</w:t>
      </w:r>
    </w:p>
    <w:p w14:paraId="5FA745CC">
      <w:pPr>
        <w:spacing w:line="520" w:lineRule="exact"/>
        <w:ind w:firstLine="480" w:firstLineChars="200"/>
        <w:rPr>
          <w:rFonts w:ascii="宋体" w:hAnsi="宋体" w:cs="宋体"/>
          <w:b/>
          <w:bCs/>
          <w:sz w:val="24"/>
        </w:rPr>
      </w:pPr>
      <w:r>
        <w:rPr>
          <w:rFonts w:hint="eastAsia" w:ascii="宋体" w:hAnsi="宋体" w:cs="宋体"/>
          <w:sz w:val="24"/>
        </w:rPr>
        <w:t>（2）磋商响应文件的递交：</w:t>
      </w:r>
    </w:p>
    <w:p w14:paraId="56BA882C">
      <w:pPr>
        <w:spacing w:line="520" w:lineRule="exact"/>
        <w:ind w:firstLine="480" w:firstLineChars="200"/>
        <w:rPr>
          <w:rFonts w:ascii="宋体" w:hAnsi="宋体" w:cs="宋体"/>
          <w:b/>
          <w:bCs/>
          <w:sz w:val="24"/>
        </w:rPr>
      </w:pPr>
      <w:r>
        <w:rPr>
          <w:rFonts w:hint="eastAsia" w:ascii="宋体" w:hAnsi="宋体" w:cs="宋体"/>
          <w:sz w:val="24"/>
        </w:rPr>
        <w:t>a、供应商应按规定的时间、地点，于磋商截止时间前递交磋商响应文件；</w:t>
      </w:r>
    </w:p>
    <w:p w14:paraId="4C65C02D">
      <w:pPr>
        <w:spacing w:line="520" w:lineRule="exact"/>
        <w:ind w:firstLine="480" w:firstLineChars="200"/>
        <w:rPr>
          <w:rFonts w:ascii="宋体" w:hAnsi="宋体" w:cs="宋体"/>
          <w:b/>
          <w:bCs/>
          <w:sz w:val="24"/>
        </w:rPr>
      </w:pPr>
      <w:r>
        <w:rPr>
          <w:rFonts w:hint="eastAsia" w:ascii="宋体" w:hAnsi="宋体" w:cs="宋体"/>
          <w:sz w:val="24"/>
        </w:rPr>
        <w:t>b、采购代理机构推迟递交磋商响应文件截止时间时，应在递交磋商响应文件截止时间1日前以书面或传真的形式通知所有供应商。采购代理机构和供应商的权利和义务将受到新的截止期的约束；</w:t>
      </w:r>
    </w:p>
    <w:p w14:paraId="39E43D38">
      <w:pPr>
        <w:spacing w:line="520" w:lineRule="exact"/>
        <w:ind w:firstLine="480" w:firstLineChars="200"/>
        <w:rPr>
          <w:rFonts w:ascii="宋体" w:hAnsi="宋体" w:cs="宋体"/>
          <w:sz w:val="24"/>
        </w:rPr>
      </w:pPr>
      <w:r>
        <w:rPr>
          <w:rFonts w:hint="eastAsia" w:ascii="宋体" w:hAnsi="宋体" w:cs="宋体"/>
          <w:sz w:val="24"/>
        </w:rPr>
        <w:t>c、逾期递交磋商响应文件，将被拒收，并按废标相关规定处理。</w:t>
      </w:r>
    </w:p>
    <w:p w14:paraId="312D51A4">
      <w:pPr>
        <w:spacing w:line="520" w:lineRule="exact"/>
        <w:ind w:firstLine="480" w:firstLineChars="200"/>
        <w:rPr>
          <w:rFonts w:ascii="宋体" w:hAnsi="宋体" w:cs="宋体"/>
          <w:sz w:val="24"/>
        </w:rPr>
      </w:pPr>
      <w:r>
        <w:rPr>
          <w:rFonts w:hint="eastAsia" w:ascii="宋体" w:hAnsi="宋体" w:cs="宋体"/>
          <w:sz w:val="24"/>
        </w:rPr>
        <w:t>（3）磋商响应文件的补充、修改与撤回：</w:t>
      </w:r>
    </w:p>
    <w:p w14:paraId="413A4E99">
      <w:pPr>
        <w:spacing w:line="520" w:lineRule="exact"/>
        <w:ind w:firstLine="480" w:firstLineChars="200"/>
        <w:rPr>
          <w:rFonts w:ascii="宋体" w:hAnsi="宋体" w:cs="宋体"/>
          <w:sz w:val="24"/>
        </w:rPr>
      </w:pPr>
      <w:r>
        <w:rPr>
          <w:rFonts w:hint="eastAsia" w:ascii="宋体" w:hAnsi="宋体" w:cs="宋体"/>
          <w:sz w:val="24"/>
        </w:rPr>
        <w:t>a、供应商在递交磋商响应文件以后，在规定的磋商截止时间之前,可以书面形式补充、修改或撤回已递交的磋商响应文件，并以书面形式通知采购代理机构。补充、修改的内容应当按竞争性磋商文件要求签署、盖章，并作为磋商响应文件的组成部分；</w:t>
      </w:r>
    </w:p>
    <w:p w14:paraId="2C9CF5B7">
      <w:pPr>
        <w:spacing w:line="520" w:lineRule="exact"/>
        <w:ind w:firstLine="480" w:firstLineChars="200"/>
        <w:rPr>
          <w:rFonts w:ascii="宋体" w:hAnsi="宋体" w:cs="宋体"/>
          <w:sz w:val="24"/>
        </w:rPr>
      </w:pPr>
      <w:r>
        <w:rPr>
          <w:rFonts w:hint="eastAsia" w:ascii="宋体" w:hAnsi="宋体" w:cs="宋体"/>
          <w:sz w:val="24"/>
        </w:rPr>
        <w:t>b、供应商提出书面修改和撤标要求，须在递交磋商响应文件截止时间前密封送达采购代理机构，并在封面上加注“修改”或“撤回”字样。采购代理机构可以接受，但不退还原磋商响应文件（包含纸质及电子版）；</w:t>
      </w:r>
    </w:p>
    <w:p w14:paraId="5703AF8D">
      <w:pPr>
        <w:spacing w:line="520" w:lineRule="exact"/>
        <w:ind w:firstLine="480" w:firstLineChars="200"/>
        <w:rPr>
          <w:rFonts w:ascii="宋体" w:hAnsi="宋体" w:cs="宋体"/>
          <w:sz w:val="24"/>
        </w:rPr>
      </w:pPr>
      <w:r>
        <w:rPr>
          <w:rFonts w:hint="eastAsia" w:ascii="宋体" w:hAnsi="宋体" w:cs="宋体"/>
          <w:sz w:val="24"/>
        </w:rPr>
        <w:t>c、撤回磋商响应文件应以书面形式由有权人（法人代表或授权代表）通知采购代理机构。如采取传真形式撤回磋商，随后必须补充有法人代表或授权代表签署的要求撤回磋商的正式文件。以在磋商开始前送达</w:t>
      </w:r>
      <w:r>
        <w:rPr>
          <w:rFonts w:hint="eastAsia" w:ascii="宋体" w:hAnsi="宋体" w:cs="宋体"/>
          <w:sz w:val="24"/>
          <w:lang w:eastAsia="zh-CN"/>
        </w:rPr>
        <w:t>陕西信恒项目管理有限公司</w:t>
      </w:r>
      <w:r>
        <w:rPr>
          <w:rFonts w:hint="eastAsia" w:ascii="宋体" w:hAnsi="宋体" w:cs="宋体"/>
          <w:sz w:val="24"/>
        </w:rPr>
        <w:t>为准；</w:t>
      </w:r>
    </w:p>
    <w:p w14:paraId="1AF0BFC9">
      <w:pPr>
        <w:spacing w:line="520" w:lineRule="exact"/>
        <w:ind w:firstLine="480" w:firstLineChars="200"/>
        <w:rPr>
          <w:rFonts w:ascii="宋体" w:hAnsi="宋体" w:cs="宋体"/>
          <w:sz w:val="24"/>
        </w:rPr>
      </w:pPr>
      <w:r>
        <w:rPr>
          <w:rFonts w:hint="eastAsia" w:ascii="宋体" w:hAnsi="宋体" w:cs="宋体"/>
          <w:sz w:val="24"/>
        </w:rPr>
        <w:t>d、磋商截止时间之后，供应商不得补充、修改磋商响应文件；</w:t>
      </w:r>
    </w:p>
    <w:p w14:paraId="4E041069">
      <w:pPr>
        <w:spacing w:line="520" w:lineRule="exact"/>
        <w:ind w:firstLine="482" w:firstLineChars="200"/>
        <w:rPr>
          <w:rFonts w:ascii="宋体" w:hAnsi="宋体" w:cs="宋体"/>
          <w:b/>
          <w:bCs/>
          <w:sz w:val="24"/>
        </w:rPr>
      </w:pPr>
      <w:r>
        <w:rPr>
          <w:rFonts w:hint="eastAsia" w:ascii="宋体" w:hAnsi="宋体" w:cs="宋体"/>
          <w:b/>
          <w:bCs/>
          <w:sz w:val="24"/>
        </w:rPr>
        <w:t>e、在磋商截止时间至磋商有效期满之前，供应商不得撤回其磋商响应文件。</w:t>
      </w:r>
    </w:p>
    <w:p w14:paraId="782520F6">
      <w:pPr>
        <w:spacing w:line="520" w:lineRule="exact"/>
        <w:ind w:firstLine="480" w:firstLineChars="200"/>
        <w:rPr>
          <w:rFonts w:ascii="宋体" w:hAnsi="宋体" w:cs="宋体"/>
          <w:sz w:val="24"/>
        </w:rPr>
      </w:pPr>
      <w:r>
        <w:rPr>
          <w:rFonts w:hint="eastAsia" w:ascii="宋体" w:hAnsi="宋体" w:cs="宋体"/>
          <w:sz w:val="24"/>
        </w:rPr>
        <w:t>（4）磋商响应文件的审查标准：</w:t>
      </w:r>
    </w:p>
    <w:p w14:paraId="2F8D3FDC">
      <w:pPr>
        <w:spacing w:line="520" w:lineRule="exact"/>
        <w:ind w:firstLine="480" w:firstLineChars="200"/>
        <w:rPr>
          <w:rFonts w:ascii="宋体" w:hAnsi="宋体" w:cs="宋体"/>
          <w:sz w:val="24"/>
        </w:rPr>
      </w:pPr>
      <w:r>
        <w:rPr>
          <w:rFonts w:hint="eastAsia" w:ascii="宋体" w:hAnsi="宋体" w:cs="宋体"/>
          <w:sz w:val="24"/>
        </w:rPr>
        <w:t>a、磋商响应文件图表与文字不符时，以文字为准；</w:t>
      </w:r>
    </w:p>
    <w:p w14:paraId="75A7520E">
      <w:pPr>
        <w:spacing w:line="520" w:lineRule="exact"/>
        <w:ind w:firstLine="480" w:firstLineChars="200"/>
        <w:rPr>
          <w:rFonts w:ascii="宋体" w:hAnsi="宋体" w:cs="宋体"/>
          <w:sz w:val="24"/>
        </w:rPr>
      </w:pPr>
      <w:r>
        <w:rPr>
          <w:rFonts w:hint="eastAsia" w:ascii="宋体" w:hAnsi="宋体" w:cs="宋体"/>
          <w:sz w:val="24"/>
        </w:rPr>
        <w:t>b、磋商响应文件正本与副本不符时，以正本为准；</w:t>
      </w:r>
    </w:p>
    <w:p w14:paraId="4F5A1869">
      <w:pPr>
        <w:spacing w:line="520" w:lineRule="exact"/>
        <w:ind w:firstLine="480" w:firstLineChars="200"/>
        <w:rPr>
          <w:rFonts w:ascii="宋体" w:hAnsi="宋体" w:cs="宋体"/>
          <w:sz w:val="24"/>
        </w:rPr>
      </w:pPr>
      <w:r>
        <w:rPr>
          <w:rFonts w:hint="eastAsia" w:ascii="宋体" w:hAnsi="宋体" w:cs="宋体"/>
          <w:sz w:val="24"/>
        </w:rPr>
        <w:t>c、磋商响应文件大写与小写不符时，以大写为准；</w:t>
      </w:r>
    </w:p>
    <w:p w14:paraId="25C0FF12">
      <w:pPr>
        <w:spacing w:line="520" w:lineRule="exact"/>
        <w:ind w:firstLine="480" w:firstLineChars="200"/>
        <w:rPr>
          <w:rFonts w:ascii="宋体" w:hAnsi="宋体" w:cs="宋体"/>
          <w:sz w:val="24"/>
        </w:rPr>
      </w:pPr>
      <w:r>
        <w:rPr>
          <w:rFonts w:hint="eastAsia" w:ascii="宋体" w:hAnsi="宋体" w:cs="宋体"/>
          <w:sz w:val="24"/>
        </w:rPr>
        <w:t>d、单价乘以数量不等于总价，以单价乘以数量为准。</w:t>
      </w:r>
    </w:p>
    <w:p w14:paraId="51C8C40D">
      <w:pPr>
        <w:spacing w:line="520" w:lineRule="exact"/>
        <w:ind w:firstLine="480" w:firstLineChars="200"/>
        <w:rPr>
          <w:rFonts w:ascii="宋体" w:hAnsi="宋体" w:cs="宋体"/>
          <w:sz w:val="24"/>
        </w:rPr>
      </w:pPr>
      <w:r>
        <w:rPr>
          <w:rFonts w:hint="eastAsia" w:ascii="宋体" w:hAnsi="宋体" w:cs="宋体"/>
          <w:sz w:val="24"/>
        </w:rPr>
        <w:t>（5）磋商响应文件的有效性：</w:t>
      </w:r>
    </w:p>
    <w:p w14:paraId="07E96280">
      <w:pPr>
        <w:spacing w:line="520" w:lineRule="exact"/>
        <w:ind w:firstLine="480" w:firstLineChars="200"/>
        <w:rPr>
          <w:rFonts w:ascii="宋体" w:hAnsi="宋体" w:cs="宋体"/>
          <w:sz w:val="24"/>
        </w:rPr>
      </w:pPr>
      <w:r>
        <w:rPr>
          <w:rFonts w:hint="eastAsia" w:ascii="宋体" w:hAnsi="宋体" w:cs="宋体"/>
          <w:sz w:val="24"/>
        </w:rPr>
        <w:t>A、磋商时，磋商响应文件出现下列情形之一的，应当作为无效响应文件，</w:t>
      </w:r>
      <w:r>
        <w:rPr>
          <w:rFonts w:hint="eastAsia" w:ascii="宋体" w:hAnsi="宋体" w:cs="宋体"/>
          <w:b/>
          <w:bCs/>
          <w:sz w:val="24"/>
        </w:rPr>
        <w:t>不得进入评审</w:t>
      </w:r>
      <w:r>
        <w:rPr>
          <w:rFonts w:hint="eastAsia" w:ascii="宋体" w:hAnsi="宋体" w:cs="宋体"/>
          <w:sz w:val="24"/>
        </w:rPr>
        <w:t>：</w:t>
      </w:r>
    </w:p>
    <w:p w14:paraId="20F2C397">
      <w:pPr>
        <w:spacing w:line="520" w:lineRule="exact"/>
        <w:ind w:firstLine="480" w:firstLineChars="200"/>
        <w:rPr>
          <w:rFonts w:ascii="宋体" w:hAnsi="宋体" w:cs="宋体"/>
          <w:sz w:val="24"/>
        </w:rPr>
      </w:pPr>
      <w:r>
        <w:rPr>
          <w:rFonts w:hint="eastAsia" w:ascii="宋体" w:hAnsi="宋体" w:cs="宋体"/>
          <w:sz w:val="24"/>
        </w:rPr>
        <w:t>a）供应商未经过正常渠道获取竞争性磋商文件的；</w:t>
      </w:r>
    </w:p>
    <w:p w14:paraId="34ACCF98">
      <w:pPr>
        <w:spacing w:line="520" w:lineRule="exact"/>
        <w:ind w:firstLine="480" w:firstLineChars="200"/>
        <w:rPr>
          <w:rFonts w:ascii="宋体" w:hAnsi="宋体" w:cs="宋体"/>
          <w:sz w:val="24"/>
        </w:rPr>
      </w:pPr>
      <w:r>
        <w:rPr>
          <w:rFonts w:hint="eastAsia" w:ascii="宋体" w:hAnsi="宋体" w:cs="宋体"/>
          <w:sz w:val="24"/>
        </w:rPr>
        <w:t>b）磋商响应文件、磋商函未加盖供应商公章，或未经法定代表人或其授权代表签字或盖章的；</w:t>
      </w:r>
    </w:p>
    <w:p w14:paraId="1D620C5D">
      <w:pPr>
        <w:spacing w:line="520" w:lineRule="exact"/>
        <w:ind w:firstLine="480" w:firstLineChars="200"/>
        <w:rPr>
          <w:rFonts w:ascii="宋体" w:hAnsi="宋体" w:cs="宋体"/>
          <w:sz w:val="24"/>
        </w:rPr>
      </w:pPr>
      <w:r>
        <w:rPr>
          <w:rFonts w:hint="eastAsia" w:ascii="宋体" w:hAnsi="宋体" w:cs="宋体"/>
          <w:sz w:val="24"/>
        </w:rPr>
        <w:t>c）未按竞争性磋商文件的要求提供投标担保或所提供的投标担保有瑕疵的；</w:t>
      </w:r>
    </w:p>
    <w:p w14:paraId="6B28F1BC">
      <w:pPr>
        <w:spacing w:line="520" w:lineRule="exact"/>
        <w:ind w:firstLine="480" w:firstLineChars="200"/>
        <w:rPr>
          <w:rFonts w:ascii="宋体" w:hAnsi="宋体" w:cs="宋体"/>
          <w:sz w:val="24"/>
        </w:rPr>
      </w:pPr>
      <w:r>
        <w:rPr>
          <w:rFonts w:hint="eastAsia" w:ascii="宋体" w:hAnsi="宋体" w:cs="宋体"/>
          <w:sz w:val="24"/>
        </w:rPr>
        <w:t>d）磋商响应文件的关键内容字迹模糊、无法辨认的；</w:t>
      </w:r>
    </w:p>
    <w:p w14:paraId="6FA904EB">
      <w:pPr>
        <w:spacing w:line="520" w:lineRule="exact"/>
        <w:ind w:firstLine="480" w:firstLineChars="200"/>
        <w:rPr>
          <w:rFonts w:ascii="宋体" w:hAnsi="宋体" w:cs="宋体"/>
          <w:sz w:val="24"/>
        </w:rPr>
      </w:pPr>
      <w:r>
        <w:rPr>
          <w:rFonts w:hint="eastAsia" w:ascii="宋体" w:hAnsi="宋体" w:cs="宋体"/>
          <w:sz w:val="24"/>
        </w:rPr>
        <w:t>e）供应商名称或组织机构与资格审查时不一致的；</w:t>
      </w:r>
    </w:p>
    <w:p w14:paraId="1C545C18">
      <w:pPr>
        <w:spacing w:line="520" w:lineRule="exact"/>
        <w:ind w:firstLine="480" w:firstLineChars="200"/>
        <w:rPr>
          <w:rFonts w:ascii="宋体" w:hAnsi="宋体" w:cs="宋体"/>
          <w:sz w:val="24"/>
        </w:rPr>
      </w:pPr>
      <w:r>
        <w:rPr>
          <w:rFonts w:hint="eastAsia" w:ascii="宋体" w:hAnsi="宋体" w:cs="宋体"/>
          <w:sz w:val="24"/>
        </w:rPr>
        <w:t xml:space="preserve">f）明显不符合技术规格、技术标准的要求的； </w:t>
      </w:r>
    </w:p>
    <w:p w14:paraId="51E86DAB">
      <w:pPr>
        <w:spacing w:line="520" w:lineRule="exact"/>
        <w:ind w:firstLine="480" w:firstLineChars="200"/>
        <w:rPr>
          <w:rFonts w:ascii="宋体" w:hAnsi="宋体" w:cs="宋体"/>
          <w:sz w:val="24"/>
        </w:rPr>
      </w:pPr>
      <w:r>
        <w:rPr>
          <w:rFonts w:hint="eastAsia" w:ascii="宋体" w:hAnsi="宋体" w:cs="宋体"/>
          <w:sz w:val="24"/>
        </w:rPr>
        <w:t xml:space="preserve">g）磋商响应文件载明的检验标准和方法等不符合竞争性磋商文件要求的； </w:t>
      </w:r>
    </w:p>
    <w:p w14:paraId="234787E3">
      <w:pPr>
        <w:spacing w:line="520" w:lineRule="exact"/>
        <w:ind w:firstLine="480" w:firstLineChars="200"/>
        <w:rPr>
          <w:rFonts w:ascii="宋体" w:hAnsi="宋体" w:cs="宋体"/>
          <w:sz w:val="24"/>
        </w:rPr>
      </w:pPr>
      <w:r>
        <w:rPr>
          <w:rFonts w:hint="eastAsia" w:ascii="宋体" w:hAnsi="宋体" w:cs="宋体"/>
          <w:sz w:val="24"/>
        </w:rPr>
        <w:t>h）磋商响应文件附有采购人不能接受的条件的；</w:t>
      </w:r>
    </w:p>
    <w:p w14:paraId="4D05F1F4">
      <w:pPr>
        <w:spacing w:line="520" w:lineRule="exact"/>
        <w:ind w:firstLine="480" w:firstLineChars="200"/>
        <w:rPr>
          <w:rFonts w:ascii="宋体" w:hAnsi="宋体" w:cs="宋体"/>
          <w:sz w:val="24"/>
        </w:rPr>
      </w:pPr>
      <w:r>
        <w:rPr>
          <w:rFonts w:hint="eastAsia" w:ascii="宋体" w:hAnsi="宋体" w:cs="宋体"/>
          <w:sz w:val="24"/>
        </w:rPr>
        <w:t>i）不符合竞争性磋商文件规定的其他实质性要求的。</w:t>
      </w:r>
    </w:p>
    <w:p w14:paraId="6815B189">
      <w:pPr>
        <w:spacing w:line="520" w:lineRule="exact"/>
        <w:ind w:firstLine="480" w:firstLineChars="200"/>
        <w:rPr>
          <w:rFonts w:ascii="宋体" w:hAnsi="宋体" w:cs="宋体"/>
          <w:sz w:val="24"/>
        </w:rPr>
      </w:pPr>
      <w:r>
        <w:rPr>
          <w:rFonts w:hint="eastAsia" w:ascii="宋体" w:hAnsi="宋体" w:cs="宋体"/>
          <w:sz w:val="24"/>
        </w:rPr>
        <w:t>B、磋商响应文件的有效期：90个日历天（从递交磋商响应文件截止之日起计算）。</w:t>
      </w:r>
    </w:p>
    <w:p w14:paraId="79E86617">
      <w:pPr>
        <w:spacing w:line="440" w:lineRule="exact"/>
        <w:ind w:firstLine="477" w:firstLineChars="198"/>
        <w:rPr>
          <w:rFonts w:hint="eastAsia" w:ascii="宋体" w:hAnsi="宋体" w:eastAsia="宋体" w:cs="宋体"/>
          <w:b/>
          <w:kern w:val="0"/>
          <w:sz w:val="24"/>
          <w:lang w:eastAsia="zh-CN"/>
        </w:rPr>
      </w:pPr>
      <w:r>
        <w:rPr>
          <w:rFonts w:hint="eastAsia" w:ascii="宋体" w:hAnsi="宋体" w:cs="宋体"/>
          <w:b/>
          <w:kern w:val="0"/>
          <w:sz w:val="24"/>
        </w:rPr>
        <w:t>10． 磋商费用</w:t>
      </w:r>
    </w:p>
    <w:p w14:paraId="4348BA20">
      <w:pPr>
        <w:spacing w:line="440" w:lineRule="exact"/>
        <w:ind w:firstLine="475" w:firstLineChars="198"/>
        <w:rPr>
          <w:rFonts w:ascii="宋体" w:hAnsi="宋体" w:cs="宋体"/>
          <w:kern w:val="0"/>
          <w:sz w:val="24"/>
        </w:rPr>
      </w:pPr>
      <w:r>
        <w:rPr>
          <w:rFonts w:hint="eastAsia" w:ascii="宋体" w:hAnsi="宋体" w:cs="宋体"/>
          <w:kern w:val="0"/>
          <w:sz w:val="24"/>
        </w:rPr>
        <w:t xml:space="preserve">10-1 </w:t>
      </w:r>
      <w:r>
        <w:rPr>
          <w:rFonts w:hint="eastAsia" w:ascii="宋体" w:hAnsi="宋体" w:cs="宋体"/>
          <w:sz w:val="24"/>
        </w:rPr>
        <w:t>供应商</w:t>
      </w:r>
      <w:r>
        <w:rPr>
          <w:rFonts w:hint="eastAsia" w:ascii="宋体" w:hAnsi="宋体" w:cs="宋体"/>
          <w:kern w:val="0"/>
          <w:sz w:val="24"/>
        </w:rPr>
        <w:t>应承担所有与准备和参加磋商有关的费用。不论磋商的结果如何，采购代理机构和采购人均无义务和责任承担这些费用。</w:t>
      </w:r>
    </w:p>
    <w:p w14:paraId="59436295">
      <w:pPr>
        <w:spacing w:line="520" w:lineRule="exact"/>
        <w:ind w:firstLine="482" w:firstLineChars="200"/>
        <w:rPr>
          <w:rFonts w:ascii="宋体" w:hAnsi="宋体" w:cs="宋体"/>
          <w:sz w:val="24"/>
        </w:rPr>
      </w:pPr>
      <w:r>
        <w:rPr>
          <w:rFonts w:hint="eastAsia" w:ascii="宋体" w:hAnsi="宋体" w:cs="宋体"/>
          <w:b/>
          <w:bCs/>
          <w:sz w:val="24"/>
        </w:rPr>
        <w:t>五、磋商、评审及定标</w:t>
      </w:r>
    </w:p>
    <w:p w14:paraId="343A1845">
      <w:pPr>
        <w:spacing w:line="520" w:lineRule="exact"/>
        <w:ind w:firstLine="480" w:firstLineChars="200"/>
        <w:rPr>
          <w:rFonts w:ascii="宋体" w:hAnsi="宋体" w:cs="宋体"/>
          <w:sz w:val="24"/>
        </w:rPr>
      </w:pPr>
      <w:r>
        <w:rPr>
          <w:rFonts w:hint="eastAsia" w:ascii="宋体" w:hAnsi="宋体" w:cs="宋体"/>
          <w:sz w:val="24"/>
        </w:rPr>
        <w:t>1、磋商</w:t>
      </w:r>
    </w:p>
    <w:p w14:paraId="0AFB1663">
      <w:pPr>
        <w:spacing w:line="520" w:lineRule="exact"/>
        <w:ind w:firstLine="480" w:firstLineChars="200"/>
        <w:rPr>
          <w:rFonts w:ascii="宋体" w:hAnsi="宋体" w:cs="宋体"/>
          <w:sz w:val="24"/>
        </w:rPr>
      </w:pPr>
      <w:r>
        <w:rPr>
          <w:rFonts w:hint="eastAsia" w:ascii="宋体" w:hAnsi="宋体" w:cs="宋体"/>
          <w:sz w:val="24"/>
        </w:rPr>
        <w:t>1-1、</w:t>
      </w:r>
      <w:r>
        <w:rPr>
          <w:rFonts w:hint="eastAsia" w:ascii="宋体" w:hAnsi="宋体"/>
          <w:sz w:val="24"/>
        </w:rPr>
        <w:t>采购代理机构按竞争性磋商文件规定的时间、地点组织磋商</w:t>
      </w:r>
      <w:r>
        <w:rPr>
          <w:rFonts w:hint="eastAsia" w:ascii="宋体" w:hAnsi="宋体" w:cs="宋体"/>
          <w:sz w:val="24"/>
        </w:rPr>
        <w:t>。</w:t>
      </w:r>
    </w:p>
    <w:p w14:paraId="33772D70">
      <w:pPr>
        <w:spacing w:line="480" w:lineRule="exact"/>
        <w:ind w:firstLine="480" w:firstLineChars="200"/>
        <w:rPr>
          <w:rFonts w:ascii="宋体" w:hAnsi="宋体" w:cs="宋体"/>
          <w:sz w:val="24"/>
        </w:rPr>
      </w:pPr>
      <w:r>
        <w:rPr>
          <w:rFonts w:hint="eastAsia" w:ascii="宋体" w:hAnsi="宋体" w:cs="宋体"/>
          <w:sz w:val="24"/>
        </w:rPr>
        <w:t>1-2、</w:t>
      </w:r>
      <w:r>
        <w:rPr>
          <w:rFonts w:hint="eastAsia" w:ascii="宋体" w:hAnsi="宋体"/>
          <w:sz w:val="24"/>
        </w:rPr>
        <w:t>所有参会人员应签名报到，以证明其出席。供应商未参加磋商的，视同认可磋商结果。</w:t>
      </w:r>
    </w:p>
    <w:p w14:paraId="065FD898">
      <w:pPr>
        <w:spacing w:line="520" w:lineRule="exact"/>
        <w:ind w:firstLine="480" w:firstLineChars="200"/>
        <w:rPr>
          <w:rFonts w:ascii="宋体" w:hAnsi="宋体" w:cs="宋体"/>
          <w:sz w:val="24"/>
        </w:rPr>
      </w:pPr>
      <w:r>
        <w:rPr>
          <w:rFonts w:hint="eastAsia" w:ascii="宋体" w:hAnsi="宋体" w:cs="宋体"/>
          <w:sz w:val="24"/>
        </w:rPr>
        <w:t>1-3、磋商会议由采购代理机构主持。主持人宣读磋商会议开始，并宣读会场纪律，宣布参加会议的供应商名单。</w:t>
      </w:r>
    </w:p>
    <w:p w14:paraId="3DEA5494">
      <w:pPr>
        <w:spacing w:line="500" w:lineRule="exact"/>
        <w:ind w:firstLine="480" w:firstLineChars="200"/>
        <w:jc w:val="left"/>
        <w:rPr>
          <w:rFonts w:ascii="宋体" w:hAnsi="宋体" w:cs="宋体"/>
          <w:sz w:val="24"/>
        </w:rPr>
      </w:pPr>
      <w:r>
        <w:rPr>
          <w:rFonts w:hint="eastAsia" w:ascii="宋体" w:hAnsi="宋体" w:cs="宋体"/>
          <w:sz w:val="24"/>
        </w:rPr>
        <w:t>1-4、法定代表人直接参加磋商的，须出具法定代表人身份证明书原件（含法人身份证复印件）、身份证原件；法定代表人授权代表参加磋商的，须出具法定代表人授权书原件（附法定代表人身份证复印件及被授权人身份证复印件）、授权代表身份证原件；</w:t>
      </w:r>
    </w:p>
    <w:p w14:paraId="4197C980">
      <w:pPr>
        <w:spacing w:line="500" w:lineRule="exact"/>
        <w:ind w:firstLine="480" w:firstLineChars="200"/>
        <w:jc w:val="left"/>
        <w:rPr>
          <w:rFonts w:ascii="宋体" w:hAnsi="宋体" w:cs="宋体"/>
          <w:sz w:val="24"/>
        </w:rPr>
      </w:pPr>
      <w:r>
        <w:rPr>
          <w:rFonts w:hint="eastAsia" w:ascii="宋体" w:hAnsi="宋体" w:cs="宋体"/>
          <w:sz w:val="24"/>
        </w:rPr>
        <w:t>注：由监标人现场查验，未携带者，磋商响应文件不予开封并按废标处理；</w:t>
      </w:r>
    </w:p>
    <w:p w14:paraId="1E3FBDDF">
      <w:pPr>
        <w:spacing w:line="520" w:lineRule="exact"/>
        <w:ind w:firstLine="480" w:firstLineChars="200"/>
        <w:rPr>
          <w:rFonts w:ascii="宋体" w:hAnsi="宋体" w:cs="宋体"/>
          <w:sz w:val="24"/>
        </w:rPr>
      </w:pPr>
      <w:r>
        <w:rPr>
          <w:rFonts w:hint="eastAsia" w:ascii="宋体" w:hAnsi="宋体" w:cs="宋体"/>
          <w:sz w:val="24"/>
        </w:rPr>
        <w:t>1-5、供应商的法人代表或授权代表与监督管理机关代表当众共同查验磋商响应文件的密封情况，签字确认并宣读检查结果。未通过审查的将作为无效文件处理；</w:t>
      </w:r>
    </w:p>
    <w:p w14:paraId="22EB5BB2">
      <w:pPr>
        <w:spacing w:line="520" w:lineRule="exact"/>
        <w:ind w:firstLine="480" w:firstLineChars="200"/>
        <w:rPr>
          <w:rFonts w:ascii="宋体" w:hAnsi="宋体" w:cs="宋体"/>
          <w:sz w:val="24"/>
        </w:rPr>
      </w:pPr>
      <w:r>
        <w:rPr>
          <w:rFonts w:hint="eastAsia" w:ascii="宋体" w:hAnsi="宋体" w:cs="宋体"/>
          <w:sz w:val="24"/>
        </w:rPr>
        <w:t>1-6、经确认无误后，由采购代理机构工作人员开启各供应商磋商响应文件，并宣读文件份数；</w:t>
      </w:r>
    </w:p>
    <w:p w14:paraId="73537631">
      <w:pPr>
        <w:spacing w:line="520" w:lineRule="exact"/>
        <w:ind w:firstLine="580"/>
        <w:rPr>
          <w:rFonts w:ascii="宋体" w:hAnsi="宋体" w:cs="宋体"/>
          <w:sz w:val="24"/>
        </w:rPr>
      </w:pPr>
      <w:r>
        <w:rPr>
          <w:rFonts w:hint="eastAsia" w:ascii="宋体" w:hAnsi="宋体" w:cs="宋体"/>
          <w:sz w:val="24"/>
        </w:rPr>
        <w:t>1-7、</w:t>
      </w:r>
      <w:r>
        <w:rPr>
          <w:rFonts w:hint="eastAsia" w:ascii="宋体" w:hAnsi="宋体" w:cs="宋体"/>
          <w:sz w:val="24"/>
          <w:lang w:val="zh-CN"/>
        </w:rPr>
        <w:t>采购人或代理机构</w:t>
      </w:r>
      <w:r>
        <w:rPr>
          <w:rFonts w:hint="eastAsia" w:ascii="宋体" w:hAnsi="宋体" w:cs="宋体"/>
          <w:sz w:val="24"/>
        </w:rPr>
        <w:t>对各供应商必备资格证明文件进行审查，不符合竞争性磋商文件要求的按无效文件处理，不得进入后续评审工作。</w:t>
      </w:r>
    </w:p>
    <w:p w14:paraId="3DF3E15E">
      <w:pPr>
        <w:spacing w:line="520" w:lineRule="exact"/>
        <w:ind w:firstLine="580"/>
        <w:rPr>
          <w:rFonts w:ascii="宋体" w:hAnsi="宋体" w:cs="宋体"/>
          <w:sz w:val="24"/>
        </w:rPr>
      </w:pPr>
      <w:r>
        <w:rPr>
          <w:rFonts w:hint="eastAsia" w:ascii="宋体" w:hAnsi="宋体" w:cs="宋体"/>
          <w:sz w:val="24"/>
        </w:rPr>
        <w:t>1-8、采购代理机构对磋商过程进行影像、文字记录，并存档备查。</w:t>
      </w:r>
    </w:p>
    <w:p w14:paraId="2960A208">
      <w:pPr>
        <w:spacing w:line="520" w:lineRule="exact"/>
        <w:ind w:firstLine="480" w:firstLineChars="200"/>
        <w:rPr>
          <w:rFonts w:ascii="宋体" w:hAnsi="宋体" w:cs="宋体"/>
          <w:sz w:val="24"/>
        </w:rPr>
      </w:pPr>
      <w:r>
        <w:rPr>
          <w:rFonts w:hint="eastAsia" w:ascii="宋体" w:hAnsi="宋体" w:cs="宋体"/>
          <w:sz w:val="24"/>
        </w:rPr>
        <w:t>2、评审</w:t>
      </w:r>
    </w:p>
    <w:p w14:paraId="2227BE5F">
      <w:pPr>
        <w:spacing w:line="520" w:lineRule="exact"/>
        <w:ind w:firstLine="480" w:firstLineChars="200"/>
        <w:rPr>
          <w:rFonts w:ascii="宋体" w:hAnsi="宋体" w:cs="宋体"/>
          <w:sz w:val="24"/>
        </w:rPr>
      </w:pPr>
      <w:r>
        <w:rPr>
          <w:rFonts w:hint="eastAsia" w:ascii="宋体" w:hAnsi="宋体" w:cs="宋体"/>
          <w:sz w:val="24"/>
        </w:rPr>
        <w:t>2-1、</w:t>
      </w:r>
      <w:r>
        <w:rPr>
          <w:rFonts w:hint="eastAsia" w:ascii="宋体" w:hAnsi="宋体"/>
          <w:sz w:val="24"/>
        </w:rPr>
        <w:t>采购代理机构根据《中华人民共和国政府采购法》及其实施条例、《政府采购竞争性磋商采购方式管理暂行办法》的通知（财库【2014】214号）等规定，依法组建磋商小组。</w:t>
      </w:r>
      <w:r>
        <w:rPr>
          <w:rFonts w:hint="eastAsia" w:ascii="宋体" w:hAnsi="宋体" w:cs="宋体"/>
          <w:sz w:val="24"/>
        </w:rPr>
        <w:t>磋商小组成员在陕西省财政厅评审专家库中随机抽取，采购人派一名代表进入磋商小组，并向采购代理机构出具授权函。磋商小组应推荐一名评审专家担任评审组长，并由评审组长牵头组织该项目评审工作，采购人授权的评审专家，不得担任评审组长。</w:t>
      </w:r>
    </w:p>
    <w:p w14:paraId="4C40B819">
      <w:pPr>
        <w:spacing w:line="520" w:lineRule="exact"/>
        <w:ind w:firstLine="480" w:firstLineChars="200"/>
        <w:rPr>
          <w:rFonts w:ascii="宋体" w:hAnsi="宋体" w:cs="宋体"/>
          <w:sz w:val="24"/>
        </w:rPr>
      </w:pPr>
      <w:r>
        <w:rPr>
          <w:rFonts w:hint="eastAsia" w:ascii="宋体" w:hAnsi="宋体" w:cs="宋体"/>
          <w:sz w:val="24"/>
        </w:rPr>
        <w:t>2-2、磋商小组成员应当遵守并履行下列职责义务：</w:t>
      </w:r>
    </w:p>
    <w:p w14:paraId="5DDA2392">
      <w:pPr>
        <w:spacing w:line="520" w:lineRule="exact"/>
        <w:ind w:firstLine="480" w:firstLineChars="200"/>
        <w:rPr>
          <w:rFonts w:ascii="宋体" w:hAnsi="宋体" w:cs="宋体"/>
          <w:sz w:val="24"/>
        </w:rPr>
      </w:pPr>
      <w:r>
        <w:rPr>
          <w:rFonts w:hint="eastAsia" w:ascii="宋体" w:hAnsi="宋体" w:cs="宋体"/>
          <w:sz w:val="24"/>
        </w:rPr>
        <w:t>（1）</w:t>
      </w:r>
      <w:r>
        <w:rPr>
          <w:rFonts w:hint="eastAsia" w:ascii="宋体" w:hAnsi="宋体"/>
          <w:sz w:val="24"/>
        </w:rPr>
        <w:t>遵纪守法，客观、公正、认真负责地履行职责，根据磋商文件规定的评审程序、评审方法和评审标准审查磋商响应文件；</w:t>
      </w:r>
    </w:p>
    <w:p w14:paraId="41502CF3">
      <w:pPr>
        <w:spacing w:line="520" w:lineRule="exact"/>
        <w:ind w:firstLine="480" w:firstLineChars="200"/>
        <w:rPr>
          <w:rFonts w:ascii="宋体" w:hAnsi="宋体" w:cs="宋体"/>
          <w:sz w:val="24"/>
        </w:rPr>
      </w:pPr>
      <w:r>
        <w:rPr>
          <w:rFonts w:hint="eastAsia" w:ascii="宋体" w:hAnsi="宋体" w:cs="宋体"/>
          <w:sz w:val="24"/>
        </w:rPr>
        <w:t>（2）</w:t>
      </w:r>
      <w:r>
        <w:rPr>
          <w:rFonts w:hint="eastAsia" w:ascii="宋体" w:hAnsi="宋体"/>
          <w:sz w:val="24"/>
        </w:rPr>
        <w:t>符合性审查、评价磋商响应文件是否符合磋商文件的商务、技术等实质性要求；</w:t>
      </w:r>
    </w:p>
    <w:p w14:paraId="142DDDF0">
      <w:pPr>
        <w:spacing w:line="520" w:lineRule="exact"/>
        <w:ind w:firstLine="480" w:firstLineChars="200"/>
        <w:rPr>
          <w:rFonts w:ascii="宋体" w:hAnsi="宋体" w:cs="宋体"/>
          <w:sz w:val="24"/>
        </w:rPr>
      </w:pPr>
      <w:r>
        <w:rPr>
          <w:rFonts w:hint="eastAsia" w:ascii="宋体" w:hAnsi="宋体" w:cs="宋体"/>
          <w:sz w:val="24"/>
        </w:rPr>
        <w:t>（3）</w:t>
      </w:r>
      <w:r>
        <w:rPr>
          <w:rFonts w:hint="eastAsia" w:ascii="宋体" w:hAnsi="宋体"/>
          <w:sz w:val="24"/>
        </w:rPr>
        <w:t>要求供应商对磋商响应文件有关事项作出澄清或者说明；</w:t>
      </w:r>
    </w:p>
    <w:p w14:paraId="4D87E4DD">
      <w:pPr>
        <w:spacing w:line="520" w:lineRule="exact"/>
        <w:ind w:firstLine="480" w:firstLineChars="200"/>
        <w:rPr>
          <w:rFonts w:ascii="宋体" w:hAnsi="宋体" w:cs="宋体"/>
          <w:sz w:val="24"/>
        </w:rPr>
      </w:pPr>
      <w:r>
        <w:rPr>
          <w:rFonts w:hint="eastAsia" w:ascii="宋体" w:hAnsi="宋体" w:cs="宋体"/>
          <w:sz w:val="24"/>
        </w:rPr>
        <w:t>（4）</w:t>
      </w:r>
      <w:r>
        <w:rPr>
          <w:rFonts w:hint="eastAsia" w:ascii="宋体" w:hAnsi="宋体"/>
          <w:sz w:val="24"/>
        </w:rPr>
        <w:t>对磋商响应文件进行比较和评价；</w:t>
      </w:r>
    </w:p>
    <w:p w14:paraId="777EF251">
      <w:pPr>
        <w:spacing w:line="520" w:lineRule="exact"/>
        <w:ind w:firstLine="480" w:firstLineChars="200"/>
        <w:rPr>
          <w:rFonts w:ascii="宋体" w:hAnsi="宋体" w:cs="宋体"/>
          <w:sz w:val="24"/>
        </w:rPr>
      </w:pPr>
      <w:r>
        <w:rPr>
          <w:rFonts w:hint="eastAsia" w:ascii="宋体" w:hAnsi="宋体" w:cs="宋体"/>
          <w:sz w:val="24"/>
        </w:rPr>
        <w:t>（5）</w:t>
      </w:r>
      <w:r>
        <w:rPr>
          <w:rFonts w:hint="eastAsia" w:ascii="宋体" w:hAnsi="宋体"/>
          <w:sz w:val="24"/>
        </w:rPr>
        <w:t>推荐成交候选单位名单，对磋商意见承担个人责任；</w:t>
      </w:r>
    </w:p>
    <w:p w14:paraId="60874F35">
      <w:pPr>
        <w:spacing w:line="520" w:lineRule="exact"/>
        <w:ind w:firstLine="480" w:firstLineChars="200"/>
        <w:rPr>
          <w:rFonts w:ascii="宋体" w:hAnsi="宋体" w:cs="宋体"/>
          <w:sz w:val="24"/>
        </w:rPr>
      </w:pPr>
      <w:r>
        <w:rPr>
          <w:rFonts w:hint="eastAsia" w:ascii="宋体" w:hAnsi="宋体" w:cs="宋体"/>
          <w:sz w:val="24"/>
        </w:rPr>
        <w:t>（6）</w:t>
      </w:r>
      <w:r>
        <w:rPr>
          <w:rFonts w:hint="eastAsia" w:ascii="宋体" w:hAnsi="宋体"/>
          <w:sz w:val="24"/>
        </w:rPr>
        <w:t>拟定磋商结果；</w:t>
      </w:r>
    </w:p>
    <w:p w14:paraId="6502605A">
      <w:pPr>
        <w:spacing w:line="520" w:lineRule="exact"/>
        <w:ind w:firstLine="480" w:firstLineChars="200"/>
        <w:rPr>
          <w:rFonts w:ascii="宋体" w:hAnsi="宋体"/>
          <w:sz w:val="24"/>
        </w:rPr>
      </w:pPr>
      <w:r>
        <w:rPr>
          <w:rFonts w:hint="eastAsia" w:ascii="宋体" w:hAnsi="宋体" w:cs="宋体"/>
          <w:sz w:val="24"/>
        </w:rPr>
        <w:t>（7）</w:t>
      </w:r>
      <w:r>
        <w:rPr>
          <w:rFonts w:hint="eastAsia" w:ascii="宋体" w:hAnsi="宋体"/>
          <w:sz w:val="24"/>
        </w:rPr>
        <w:t>对磋商过程及各供应商的商业机密予以保密；</w:t>
      </w:r>
    </w:p>
    <w:p w14:paraId="7B02B29A">
      <w:pPr>
        <w:spacing w:line="520" w:lineRule="exact"/>
        <w:ind w:firstLine="480" w:firstLineChars="200"/>
        <w:rPr>
          <w:rFonts w:ascii="宋体" w:hAnsi="宋体"/>
          <w:sz w:val="24"/>
        </w:rPr>
      </w:pPr>
      <w:r>
        <w:rPr>
          <w:rFonts w:hint="eastAsia" w:ascii="宋体" w:hAnsi="宋体"/>
          <w:sz w:val="24"/>
        </w:rPr>
        <w:t>（8）向财政部门报告在评审过程中发现的供应商的违法违规行为；</w:t>
      </w:r>
    </w:p>
    <w:p w14:paraId="45A459F2">
      <w:pPr>
        <w:spacing w:line="520" w:lineRule="exact"/>
        <w:ind w:firstLine="480" w:firstLineChars="200"/>
        <w:rPr>
          <w:rFonts w:ascii="宋体" w:hAnsi="宋体"/>
          <w:sz w:val="24"/>
        </w:rPr>
      </w:pPr>
      <w:r>
        <w:rPr>
          <w:rFonts w:hint="eastAsia" w:ascii="宋体" w:hAnsi="宋体"/>
          <w:sz w:val="24"/>
        </w:rPr>
        <w:t>（9）配合采购人、采购代理机构答复各供应商提出的质疑；</w:t>
      </w:r>
    </w:p>
    <w:p w14:paraId="6274A52B">
      <w:pPr>
        <w:spacing w:line="520" w:lineRule="exact"/>
        <w:ind w:firstLine="480" w:firstLineChars="200"/>
        <w:rPr>
          <w:rFonts w:ascii="宋体" w:hAnsi="宋体"/>
          <w:sz w:val="24"/>
        </w:rPr>
      </w:pPr>
      <w:r>
        <w:rPr>
          <w:rFonts w:hint="eastAsia" w:ascii="宋体" w:hAnsi="宋体"/>
          <w:sz w:val="24"/>
        </w:rPr>
        <w:t>（10）配合各部门的投诉处理和监督检查工作。</w:t>
      </w:r>
    </w:p>
    <w:p w14:paraId="53A57C71">
      <w:pPr>
        <w:spacing w:line="480" w:lineRule="exact"/>
        <w:ind w:firstLine="480" w:firstLineChars="200"/>
        <w:rPr>
          <w:rFonts w:ascii="宋体" w:hAnsi="宋体"/>
          <w:sz w:val="24"/>
        </w:rPr>
      </w:pPr>
      <w:r>
        <w:rPr>
          <w:rFonts w:hint="eastAsia" w:ascii="宋体" w:hAnsi="宋体"/>
          <w:sz w:val="24"/>
        </w:rPr>
        <w:t>2-3、在政府采购活动中，采购人员及相关人员（包括磋商小组）与供应商有下列利害关系之一的，应当回避：</w:t>
      </w:r>
    </w:p>
    <w:p w14:paraId="6C43CFC1">
      <w:pPr>
        <w:spacing w:line="480" w:lineRule="exact"/>
        <w:ind w:firstLine="480" w:firstLineChars="200"/>
        <w:rPr>
          <w:rFonts w:ascii="宋体" w:hAnsi="宋体"/>
          <w:sz w:val="24"/>
        </w:rPr>
      </w:pPr>
      <w:r>
        <w:rPr>
          <w:rFonts w:hint="eastAsia" w:ascii="宋体" w:hAnsi="宋体"/>
          <w:sz w:val="24"/>
        </w:rPr>
        <w:t>（1）参加采购活动前3年内与供应商存在劳动关系；</w:t>
      </w:r>
    </w:p>
    <w:p w14:paraId="1A973DBE">
      <w:pPr>
        <w:spacing w:line="480" w:lineRule="exact"/>
        <w:ind w:firstLine="480" w:firstLineChars="200"/>
        <w:rPr>
          <w:rFonts w:ascii="宋体" w:hAnsi="宋体"/>
          <w:sz w:val="24"/>
        </w:rPr>
      </w:pPr>
      <w:r>
        <w:rPr>
          <w:rFonts w:hint="eastAsia" w:ascii="宋体" w:hAnsi="宋体"/>
          <w:sz w:val="24"/>
        </w:rPr>
        <w:t>（2）参加采购活动前3年内担任供应商的董事、监事；</w:t>
      </w:r>
    </w:p>
    <w:p w14:paraId="3DB2F961">
      <w:pPr>
        <w:spacing w:line="480" w:lineRule="exact"/>
        <w:ind w:firstLine="480" w:firstLineChars="200"/>
        <w:rPr>
          <w:rFonts w:ascii="宋体" w:hAnsi="宋体"/>
          <w:sz w:val="24"/>
        </w:rPr>
      </w:pPr>
      <w:r>
        <w:rPr>
          <w:rFonts w:hint="eastAsia" w:ascii="宋体" w:hAnsi="宋体"/>
          <w:sz w:val="24"/>
        </w:rPr>
        <w:t>（3）参加采购活动前3年内是供应商的控股股东或者实际控制人；</w:t>
      </w:r>
    </w:p>
    <w:p w14:paraId="0056AF02">
      <w:pPr>
        <w:spacing w:line="480" w:lineRule="exact"/>
        <w:ind w:firstLine="480" w:firstLineChars="200"/>
        <w:rPr>
          <w:rFonts w:ascii="宋体" w:hAnsi="宋体"/>
          <w:sz w:val="24"/>
        </w:rPr>
      </w:pPr>
      <w:r>
        <w:rPr>
          <w:rFonts w:hint="eastAsia" w:ascii="宋体" w:hAnsi="宋体"/>
          <w:sz w:val="24"/>
        </w:rPr>
        <w:t>（4）与供应商的法定代表人或者负责人有夫妻、直系血亲、三代以内旁系血亲或者近姻亲关系；</w:t>
      </w:r>
    </w:p>
    <w:p w14:paraId="0E03E8AE">
      <w:pPr>
        <w:spacing w:line="480" w:lineRule="exact"/>
        <w:ind w:firstLine="480" w:firstLineChars="200"/>
        <w:rPr>
          <w:rFonts w:ascii="宋体" w:hAnsi="宋体"/>
          <w:sz w:val="24"/>
        </w:rPr>
      </w:pPr>
      <w:r>
        <w:rPr>
          <w:rFonts w:hint="eastAsia" w:ascii="宋体" w:hAnsi="宋体"/>
          <w:sz w:val="24"/>
        </w:rPr>
        <w:t>（5）与供应商有其他可能影响政府采购活动公平、公正进行的关系。</w:t>
      </w:r>
    </w:p>
    <w:p w14:paraId="65A9E842">
      <w:pPr>
        <w:spacing w:line="480" w:lineRule="exact"/>
        <w:ind w:firstLine="480" w:firstLineChars="200"/>
        <w:rPr>
          <w:rFonts w:ascii="宋体" w:hAnsi="宋体"/>
          <w:sz w:val="24"/>
        </w:rPr>
      </w:pPr>
      <w:r>
        <w:rPr>
          <w:rFonts w:hint="eastAsia" w:ascii="宋体" w:hAnsi="宋体"/>
          <w:sz w:val="24"/>
        </w:rPr>
        <w:t>2-4、磋商原则：坚持公平、公正、科学、择优原则，禁止不正当竞争。</w:t>
      </w:r>
    </w:p>
    <w:p w14:paraId="3D510FF1">
      <w:pPr>
        <w:spacing w:line="520" w:lineRule="exact"/>
        <w:ind w:firstLine="480" w:firstLineChars="200"/>
        <w:rPr>
          <w:rFonts w:ascii="宋体" w:hAnsi="宋体"/>
          <w:sz w:val="24"/>
        </w:rPr>
      </w:pPr>
      <w:r>
        <w:rPr>
          <w:rFonts w:hint="eastAsia" w:ascii="宋体" w:hAnsi="宋体"/>
          <w:sz w:val="24"/>
        </w:rPr>
        <w:t>2-5、评审办法：本次招标采用综合评分法详见</w:t>
      </w:r>
      <w:r>
        <w:rPr>
          <w:rFonts w:hint="eastAsia" w:ascii="宋体" w:hAnsi="宋体" w:cs="宋体"/>
          <w:sz w:val="24"/>
        </w:rPr>
        <w:t>评标、定标办法</w:t>
      </w:r>
      <w:r>
        <w:rPr>
          <w:rFonts w:hint="eastAsia" w:ascii="宋体" w:hAnsi="宋体"/>
          <w:sz w:val="24"/>
        </w:rPr>
        <w:t>。</w:t>
      </w:r>
    </w:p>
    <w:p w14:paraId="4E92716C">
      <w:pPr>
        <w:spacing w:line="520" w:lineRule="exact"/>
        <w:ind w:firstLine="480" w:firstLineChars="200"/>
        <w:rPr>
          <w:rFonts w:ascii="宋体" w:hAnsi="宋体" w:cs="宋体"/>
          <w:sz w:val="24"/>
        </w:rPr>
      </w:pPr>
      <w:r>
        <w:rPr>
          <w:rFonts w:hint="eastAsia" w:ascii="宋体" w:hAnsi="宋体" w:cs="宋体"/>
          <w:sz w:val="24"/>
        </w:rPr>
        <w:t>3、定标</w:t>
      </w:r>
    </w:p>
    <w:p w14:paraId="7FB76DF0">
      <w:pPr>
        <w:spacing w:line="520" w:lineRule="exact"/>
        <w:ind w:firstLine="480" w:firstLineChars="200"/>
        <w:rPr>
          <w:rFonts w:ascii="宋体" w:hAnsi="宋体" w:cs="宋体"/>
          <w:sz w:val="24"/>
        </w:rPr>
      </w:pPr>
      <w:r>
        <w:rPr>
          <w:rFonts w:hint="eastAsia" w:ascii="宋体" w:hAnsi="宋体" w:cs="宋体"/>
          <w:sz w:val="24"/>
        </w:rPr>
        <w:t>（1）磋商小组依据评审办法，对磋商响应文件进行评审和比较，向采购人提出书面评标报告并推荐合格的拟成交候选人。采购人根据磋商小组提交的评标报告和推荐的拟成交候选人按照有关规定确定最终成交供应商，经采购代理机构对成交结果公示无异议后，与其签订合同；</w:t>
      </w:r>
    </w:p>
    <w:p w14:paraId="56224E64">
      <w:pPr>
        <w:spacing w:line="520" w:lineRule="exact"/>
        <w:ind w:firstLine="480" w:firstLineChars="200"/>
        <w:rPr>
          <w:rFonts w:ascii="宋体" w:hAnsi="宋体" w:cs="宋体"/>
          <w:sz w:val="24"/>
        </w:rPr>
      </w:pPr>
      <w:r>
        <w:rPr>
          <w:rFonts w:hint="eastAsia" w:ascii="宋体" w:hAnsi="宋体" w:cs="宋体"/>
          <w:sz w:val="24"/>
        </w:rPr>
        <w:t>（2）在招标有效期内，采购代理机构在接到采购人的“成交复函”后，向成交供应商发出“成交通知书”；</w:t>
      </w:r>
    </w:p>
    <w:p w14:paraId="102F225C">
      <w:pPr>
        <w:spacing w:line="520" w:lineRule="exact"/>
        <w:ind w:firstLine="480" w:firstLineChars="200"/>
        <w:rPr>
          <w:rFonts w:ascii="宋体" w:hAnsi="宋体" w:cs="宋体"/>
          <w:sz w:val="24"/>
        </w:rPr>
      </w:pPr>
      <w:r>
        <w:rPr>
          <w:rFonts w:hint="eastAsia" w:ascii="宋体" w:hAnsi="宋体" w:cs="宋体"/>
          <w:sz w:val="24"/>
        </w:rPr>
        <w:t>（3）成交供应商因自身原因不按规定与采购人签订工程合同，则采购人将废除授标。给采购人造成损失超过履约保证金额的，还应当对超过部分予以赔偿，并依法承担相应法律责任；提供磋商担保的供应商将由专业担保机构先行偿付采购人损失；</w:t>
      </w:r>
    </w:p>
    <w:p w14:paraId="6A4E5449">
      <w:pPr>
        <w:spacing w:line="560" w:lineRule="exact"/>
        <w:ind w:firstLine="480" w:firstLineChars="200"/>
        <w:rPr>
          <w:rFonts w:ascii="宋体" w:hAnsi="宋体" w:cs="宋体"/>
          <w:sz w:val="24"/>
        </w:rPr>
      </w:pPr>
      <w:r>
        <w:rPr>
          <w:rFonts w:hint="eastAsia" w:ascii="宋体" w:hAnsi="宋体" w:cs="宋体"/>
          <w:sz w:val="24"/>
        </w:rPr>
        <w:t>（4）成交后，成交供应商应按照政府采购合同约定履行义务，完成磋商项目 。</w:t>
      </w:r>
    </w:p>
    <w:p w14:paraId="2FA260BC">
      <w:pPr>
        <w:spacing w:line="520" w:lineRule="exact"/>
        <w:ind w:firstLine="480" w:firstLineChars="200"/>
        <w:rPr>
          <w:rFonts w:ascii="宋体" w:hAnsi="宋体" w:cs="宋体"/>
          <w:sz w:val="24"/>
        </w:rPr>
      </w:pPr>
      <w:r>
        <w:rPr>
          <w:rFonts w:hint="eastAsia" w:ascii="宋体" w:hAnsi="宋体" w:cs="宋体"/>
          <w:sz w:val="24"/>
        </w:rPr>
        <w:t>4、评标、定标办法</w:t>
      </w:r>
    </w:p>
    <w:p w14:paraId="66155851">
      <w:pPr>
        <w:spacing w:line="520" w:lineRule="exact"/>
        <w:ind w:firstLine="480" w:firstLineChars="200"/>
        <w:rPr>
          <w:rFonts w:ascii="宋体" w:hAnsi="宋体" w:cs="宋体"/>
          <w:sz w:val="24"/>
        </w:rPr>
      </w:pPr>
      <w:r>
        <w:rPr>
          <w:rFonts w:hint="eastAsia" w:ascii="宋体" w:hAnsi="宋体" w:cs="宋体"/>
          <w:sz w:val="24"/>
        </w:rPr>
        <w:t>4.1本次工程施工招标的评标工作，坚持公平、公正、科学、择优的原则，对供应商的磋商报价进行综合评审，依据总得分由高至低的顺序确定中标候选人三名。</w:t>
      </w:r>
    </w:p>
    <w:p w14:paraId="57F88B60">
      <w:pPr>
        <w:spacing w:line="520" w:lineRule="exact"/>
        <w:ind w:firstLine="480" w:firstLineChars="200"/>
        <w:rPr>
          <w:rFonts w:ascii="宋体" w:hAnsi="宋体" w:cs="宋体"/>
          <w:sz w:val="24"/>
        </w:rPr>
      </w:pPr>
      <w:r>
        <w:rPr>
          <w:rFonts w:hint="eastAsia" w:ascii="宋体" w:hAnsi="宋体" w:cs="宋体"/>
          <w:sz w:val="24"/>
        </w:rPr>
        <w:t>4.2磋商响应文件的初审。初审分为资格性检查和符合性检查。</w:t>
      </w:r>
    </w:p>
    <w:p w14:paraId="6538DA2B">
      <w:pPr>
        <w:spacing w:line="520" w:lineRule="exact"/>
        <w:ind w:firstLine="482" w:firstLineChars="200"/>
        <w:rPr>
          <w:rFonts w:ascii="宋体" w:hAnsi="宋体" w:cs="宋体"/>
          <w:b/>
          <w:bCs/>
          <w:sz w:val="24"/>
        </w:rPr>
      </w:pPr>
      <w:r>
        <w:rPr>
          <w:rFonts w:hint="eastAsia" w:ascii="宋体" w:hAnsi="宋体" w:cs="宋体"/>
          <w:b/>
          <w:bCs/>
          <w:sz w:val="24"/>
        </w:rPr>
        <w:t>4.3资格性审查。依据法律法规和竞争性磋商文件的规定，由采购人或采购代理机构对磋商响应文件中的资格证明文件进行审查，审查合格的供应商方可进入下一评审阶段。评审因素</w:t>
      </w:r>
      <w:r>
        <w:rPr>
          <w:rFonts w:hint="eastAsia" w:ascii="宋体" w:hAnsi="宋体" w:cs="宋体"/>
          <w:b/>
          <w:bCs/>
          <w:sz w:val="24"/>
          <w:lang w:val="zh-CN"/>
        </w:rPr>
        <w:t>缺一项或某项达不到评审标准的投标文件，视为资格审查不合格，按无效响应文件处理。</w:t>
      </w:r>
      <w:r>
        <w:rPr>
          <w:rFonts w:hint="eastAsia" w:ascii="宋体" w:hAnsi="宋体" w:cs="宋体"/>
          <w:b/>
          <w:bCs/>
          <w:sz w:val="24"/>
        </w:rPr>
        <w:t>资格证明文件须装订在每份竞争性磋商响应文件中。（资格审查以正本为准）</w:t>
      </w:r>
    </w:p>
    <w:tbl>
      <w:tblPr>
        <w:tblStyle w:val="22"/>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534"/>
        <w:gridCol w:w="6391"/>
        <w:gridCol w:w="1458"/>
      </w:tblGrid>
      <w:tr w14:paraId="74F7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67" w:type="dxa"/>
            <w:vAlign w:val="center"/>
          </w:tcPr>
          <w:p w14:paraId="535D8C3B">
            <w:pPr>
              <w:snapToGrid w:val="0"/>
              <w:jc w:val="center"/>
              <w:rPr>
                <w:rFonts w:ascii="宋体" w:hAnsi="宋体" w:cs="宋体"/>
                <w:b/>
                <w:sz w:val="22"/>
                <w:szCs w:val="22"/>
              </w:rPr>
            </w:pPr>
            <w:r>
              <w:rPr>
                <w:rFonts w:hint="eastAsia" w:ascii="宋体" w:hAnsi="宋体" w:cs="宋体"/>
                <w:b/>
                <w:sz w:val="22"/>
                <w:szCs w:val="22"/>
              </w:rPr>
              <w:t>序号</w:t>
            </w:r>
          </w:p>
        </w:tc>
        <w:tc>
          <w:tcPr>
            <w:tcW w:w="1534" w:type="dxa"/>
            <w:vAlign w:val="center"/>
          </w:tcPr>
          <w:p w14:paraId="5C8C0C78">
            <w:pPr>
              <w:snapToGrid w:val="0"/>
              <w:jc w:val="center"/>
              <w:rPr>
                <w:rFonts w:ascii="宋体" w:hAnsi="宋体" w:cs="宋体"/>
                <w:b/>
                <w:sz w:val="22"/>
                <w:szCs w:val="22"/>
              </w:rPr>
            </w:pPr>
            <w:r>
              <w:rPr>
                <w:rFonts w:hint="eastAsia" w:ascii="宋体" w:hAnsi="宋体" w:cs="宋体"/>
                <w:b/>
                <w:sz w:val="22"/>
                <w:szCs w:val="22"/>
              </w:rPr>
              <w:t>评审因素</w:t>
            </w:r>
          </w:p>
        </w:tc>
        <w:tc>
          <w:tcPr>
            <w:tcW w:w="6391" w:type="dxa"/>
            <w:vAlign w:val="center"/>
          </w:tcPr>
          <w:p w14:paraId="75C299E2">
            <w:pPr>
              <w:snapToGrid w:val="0"/>
              <w:jc w:val="center"/>
              <w:rPr>
                <w:rFonts w:ascii="宋体" w:hAnsi="宋体" w:cs="宋体"/>
                <w:b/>
                <w:sz w:val="22"/>
                <w:szCs w:val="22"/>
              </w:rPr>
            </w:pPr>
            <w:r>
              <w:rPr>
                <w:rFonts w:hint="eastAsia" w:ascii="宋体" w:hAnsi="宋体" w:cs="宋体"/>
                <w:b/>
                <w:sz w:val="22"/>
                <w:szCs w:val="22"/>
              </w:rPr>
              <w:t>项目内容</w:t>
            </w:r>
          </w:p>
        </w:tc>
        <w:tc>
          <w:tcPr>
            <w:tcW w:w="1458" w:type="dxa"/>
            <w:vAlign w:val="center"/>
          </w:tcPr>
          <w:p w14:paraId="25B76431">
            <w:pPr>
              <w:snapToGrid w:val="0"/>
              <w:jc w:val="center"/>
              <w:rPr>
                <w:rFonts w:ascii="宋体" w:hAnsi="宋体" w:cs="宋体"/>
                <w:b/>
                <w:sz w:val="22"/>
                <w:szCs w:val="22"/>
              </w:rPr>
            </w:pPr>
            <w:r>
              <w:rPr>
                <w:rFonts w:hint="eastAsia" w:ascii="宋体" w:hAnsi="宋体" w:cs="宋体"/>
                <w:b/>
                <w:sz w:val="22"/>
                <w:szCs w:val="22"/>
              </w:rPr>
              <w:t>评审标准</w:t>
            </w:r>
          </w:p>
        </w:tc>
      </w:tr>
      <w:tr w14:paraId="7D01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667" w:type="dxa"/>
            <w:vAlign w:val="center"/>
          </w:tcPr>
          <w:p w14:paraId="7596B429">
            <w:pPr>
              <w:tabs>
                <w:tab w:val="left" w:pos="6635"/>
              </w:tabs>
              <w:snapToGrid w:val="0"/>
              <w:spacing w:line="440" w:lineRule="exact"/>
              <w:jc w:val="center"/>
              <w:rPr>
                <w:rFonts w:ascii="宋体" w:hAnsi="宋体" w:cs="宋体"/>
                <w:sz w:val="24"/>
              </w:rPr>
            </w:pPr>
            <w:r>
              <w:rPr>
                <w:rFonts w:hint="eastAsia" w:ascii="宋体" w:hAnsi="宋体" w:cs="宋体"/>
                <w:sz w:val="24"/>
              </w:rPr>
              <w:t>1</w:t>
            </w:r>
          </w:p>
        </w:tc>
        <w:tc>
          <w:tcPr>
            <w:tcW w:w="1534" w:type="dxa"/>
            <w:vAlign w:val="center"/>
          </w:tcPr>
          <w:p w14:paraId="65A797F9">
            <w:pPr>
              <w:adjustRightInd w:val="0"/>
              <w:snapToGrid w:val="0"/>
              <w:spacing w:line="440" w:lineRule="exact"/>
              <w:jc w:val="center"/>
              <w:rPr>
                <w:rFonts w:ascii="宋体" w:hAnsi="宋体" w:cs="宋体"/>
                <w:sz w:val="24"/>
              </w:rPr>
            </w:pPr>
            <w:r>
              <w:rPr>
                <w:rFonts w:hint="eastAsia" w:ascii="宋体" w:hAnsi="宋体" w:cs="宋体"/>
                <w:sz w:val="24"/>
              </w:rPr>
              <w:t>营业执照等主体资格证明文件</w:t>
            </w:r>
          </w:p>
        </w:tc>
        <w:tc>
          <w:tcPr>
            <w:tcW w:w="6391" w:type="dxa"/>
            <w:vAlign w:val="center"/>
          </w:tcPr>
          <w:p w14:paraId="4B490393">
            <w:pPr>
              <w:snapToGrid w:val="0"/>
              <w:spacing w:line="440" w:lineRule="exact"/>
              <w:jc w:val="left"/>
              <w:rPr>
                <w:rFonts w:ascii="宋体" w:hAnsi="宋体" w:cs="宋体"/>
                <w:sz w:val="24"/>
              </w:rPr>
            </w:pPr>
            <w:r>
              <w:rPr>
                <w:rFonts w:hint="eastAsia" w:ascii="宋体" w:hAnsi="宋体" w:cs="宋体"/>
                <w:sz w:val="24"/>
              </w:rPr>
              <w:t>供应商应具有独立承担民事责任能力的法人或其他组织或自然人（法人或其他组织提供营业执照或事业单位法人证书等国家规定的相关证明，自然人提供身份证件）；</w:t>
            </w:r>
          </w:p>
        </w:tc>
        <w:tc>
          <w:tcPr>
            <w:tcW w:w="1458" w:type="dxa"/>
            <w:vAlign w:val="center"/>
          </w:tcPr>
          <w:p w14:paraId="249D3E00">
            <w:pPr>
              <w:spacing w:line="440" w:lineRule="exact"/>
              <w:jc w:val="center"/>
              <w:rPr>
                <w:rFonts w:ascii="宋体" w:hAnsi="宋体" w:cs="宋体"/>
                <w:snapToGrid w:val="0"/>
                <w:sz w:val="24"/>
              </w:rPr>
            </w:pPr>
            <w:r>
              <w:rPr>
                <w:rFonts w:hint="eastAsia" w:ascii="宋体" w:hAnsi="宋体" w:cs="宋体"/>
                <w:sz w:val="24"/>
              </w:rPr>
              <w:t>符合要求</w:t>
            </w:r>
          </w:p>
        </w:tc>
      </w:tr>
      <w:tr w14:paraId="452F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667" w:type="dxa"/>
            <w:vAlign w:val="center"/>
          </w:tcPr>
          <w:p w14:paraId="05B615CE">
            <w:pPr>
              <w:tabs>
                <w:tab w:val="left" w:pos="6635"/>
              </w:tabs>
              <w:snapToGrid w:val="0"/>
              <w:spacing w:line="440" w:lineRule="exact"/>
              <w:jc w:val="center"/>
              <w:rPr>
                <w:rFonts w:ascii="宋体" w:hAnsi="宋体" w:cs="宋体"/>
                <w:sz w:val="24"/>
              </w:rPr>
            </w:pPr>
            <w:r>
              <w:rPr>
                <w:rFonts w:hint="eastAsia" w:ascii="宋体" w:hAnsi="宋体" w:cs="宋体"/>
                <w:sz w:val="24"/>
              </w:rPr>
              <w:t>2</w:t>
            </w:r>
          </w:p>
        </w:tc>
        <w:tc>
          <w:tcPr>
            <w:tcW w:w="1534" w:type="dxa"/>
            <w:vAlign w:val="center"/>
          </w:tcPr>
          <w:p w14:paraId="728044BF">
            <w:pPr>
              <w:adjustRightInd w:val="0"/>
              <w:snapToGrid w:val="0"/>
              <w:spacing w:line="440" w:lineRule="exact"/>
              <w:jc w:val="center"/>
              <w:rPr>
                <w:rFonts w:ascii="宋体" w:hAnsi="宋体" w:cs="宋体"/>
                <w:sz w:val="24"/>
              </w:rPr>
            </w:pPr>
            <w:r>
              <w:rPr>
                <w:rFonts w:hint="eastAsia" w:ascii="宋体" w:hAnsi="宋体" w:eastAsia="宋体" w:cs="宋体"/>
                <w:i w:val="0"/>
                <w:iCs w:val="0"/>
                <w:caps w:val="0"/>
                <w:color w:val="auto"/>
                <w:spacing w:val="0"/>
                <w:sz w:val="24"/>
                <w:szCs w:val="24"/>
                <w:shd w:val="clear" w:fill="FFFFFF"/>
              </w:rPr>
              <w:t>供应商身份证明文件</w:t>
            </w:r>
          </w:p>
        </w:tc>
        <w:tc>
          <w:tcPr>
            <w:tcW w:w="6391" w:type="dxa"/>
            <w:vAlign w:val="center"/>
          </w:tcPr>
          <w:p w14:paraId="3601953E">
            <w:pPr>
              <w:tabs>
                <w:tab w:val="left" w:pos="1180"/>
              </w:tabs>
              <w:spacing w:line="440" w:lineRule="exact"/>
              <w:jc w:val="left"/>
              <w:rPr>
                <w:rFonts w:ascii="宋体" w:hAnsi="宋体" w:cs="宋体"/>
                <w:sz w:val="24"/>
              </w:rPr>
            </w:pPr>
            <w:r>
              <w:rPr>
                <w:rFonts w:hint="eastAsia" w:ascii="宋体" w:hAnsi="宋体" w:eastAsia="宋体" w:cs="宋体"/>
                <w:i w:val="0"/>
                <w:iCs w:val="0"/>
                <w:caps w:val="0"/>
                <w:color w:val="auto"/>
                <w:spacing w:val="0"/>
                <w:kern w:val="0"/>
                <w:sz w:val="24"/>
                <w:szCs w:val="24"/>
                <w:shd w:val="clear" w:fill="FFFFFF"/>
                <w:lang w:val="en-US" w:eastAsia="zh-CN" w:bidi="ar"/>
              </w:rPr>
              <w:t>法定代表人直接参加磋商的，须出具法定代表人身份证明书（含法人身份证复印件）；法定代表人授权代表参加磋商的，须出具法定代表人授权书（附法定代表人身份证复印件及被授权人身份证复印件）；</w:t>
            </w:r>
          </w:p>
        </w:tc>
        <w:tc>
          <w:tcPr>
            <w:tcW w:w="1458" w:type="dxa"/>
            <w:vAlign w:val="center"/>
          </w:tcPr>
          <w:p w14:paraId="3D0CD9F8">
            <w:pPr>
              <w:spacing w:line="440" w:lineRule="exact"/>
              <w:jc w:val="center"/>
              <w:rPr>
                <w:rFonts w:ascii="宋体" w:hAnsi="宋体" w:cs="宋体"/>
                <w:sz w:val="24"/>
              </w:rPr>
            </w:pPr>
            <w:r>
              <w:rPr>
                <w:rFonts w:hint="eastAsia" w:ascii="宋体" w:hAnsi="宋体" w:cs="宋体"/>
                <w:sz w:val="24"/>
              </w:rPr>
              <w:t>符合要求</w:t>
            </w:r>
          </w:p>
        </w:tc>
      </w:tr>
      <w:tr w14:paraId="3A3E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7" w:type="dxa"/>
            <w:vAlign w:val="center"/>
          </w:tcPr>
          <w:p w14:paraId="093EFA58">
            <w:pPr>
              <w:tabs>
                <w:tab w:val="left" w:pos="6635"/>
              </w:tabs>
              <w:snapToGrid w:val="0"/>
              <w:spacing w:line="440" w:lineRule="exact"/>
              <w:jc w:val="center"/>
              <w:rPr>
                <w:rFonts w:hint="default" w:ascii="宋体" w:hAnsi="宋体" w:cs="宋体"/>
                <w:sz w:val="24"/>
                <w:lang w:val="en-US" w:eastAsia="zh-CN"/>
              </w:rPr>
            </w:pPr>
            <w:r>
              <w:rPr>
                <w:rFonts w:hint="eastAsia" w:ascii="宋体" w:hAnsi="宋体" w:cs="宋体"/>
                <w:sz w:val="24"/>
                <w:lang w:val="en-US" w:eastAsia="zh-CN"/>
              </w:rPr>
              <w:t>3</w:t>
            </w:r>
          </w:p>
        </w:tc>
        <w:tc>
          <w:tcPr>
            <w:tcW w:w="1534" w:type="dxa"/>
            <w:vAlign w:val="center"/>
          </w:tcPr>
          <w:p w14:paraId="1FE8DCE7">
            <w:pPr>
              <w:tabs>
                <w:tab w:val="left" w:pos="1180"/>
              </w:tabs>
              <w:spacing w:line="440" w:lineRule="exact"/>
              <w:jc w:val="center"/>
              <w:rPr>
                <w:rFonts w:hint="eastAsia" w:ascii="宋体" w:hAnsi="宋体" w:eastAsia="宋体" w:cs="宋体"/>
                <w:i w:val="0"/>
                <w:iCs w:val="0"/>
                <w:caps w:val="0"/>
                <w:color w:val="auto"/>
                <w:spacing w:val="0"/>
                <w:sz w:val="24"/>
                <w:szCs w:val="24"/>
                <w:shd w:val="clear" w:fill="FFFFFF"/>
              </w:rPr>
            </w:pPr>
            <w:r>
              <w:rPr>
                <w:rFonts w:hint="eastAsia" w:ascii="宋体" w:hAnsi="宋体" w:cs="宋体"/>
                <w:color w:val="333333"/>
                <w:sz w:val="24"/>
                <w:shd w:val="clear" w:color="auto" w:fill="FFFFFF"/>
                <w:lang w:val="en-US" w:eastAsia="zh-CN"/>
              </w:rPr>
              <w:t>供应商资质</w:t>
            </w:r>
          </w:p>
        </w:tc>
        <w:tc>
          <w:tcPr>
            <w:tcW w:w="6391" w:type="dxa"/>
            <w:vAlign w:val="center"/>
          </w:tcPr>
          <w:p w14:paraId="2DA924C7">
            <w:pPr>
              <w:tabs>
                <w:tab w:val="left" w:pos="1180"/>
              </w:tabs>
              <w:spacing w:line="440" w:lineRule="exact"/>
              <w:jc w:val="left"/>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须具备工程监理综合资质或市政公用工程监理乙级及以上资质</w:t>
            </w:r>
            <w:r>
              <w:rPr>
                <w:rFonts w:hint="eastAsia" w:ascii="宋体" w:hAnsi="宋体" w:cs="宋体"/>
                <w:color w:val="333333"/>
                <w:sz w:val="24"/>
                <w:shd w:val="clear" w:color="auto" w:fill="FFFFFF"/>
                <w:lang w:eastAsia="zh-CN"/>
              </w:rPr>
              <w:t>；</w:t>
            </w:r>
          </w:p>
        </w:tc>
        <w:tc>
          <w:tcPr>
            <w:tcW w:w="1458" w:type="dxa"/>
            <w:vAlign w:val="center"/>
          </w:tcPr>
          <w:p w14:paraId="3DAFC6CA">
            <w:pPr>
              <w:spacing w:line="440" w:lineRule="exact"/>
              <w:jc w:val="center"/>
              <w:rPr>
                <w:rFonts w:hint="eastAsia" w:ascii="宋体" w:hAnsi="宋体" w:cs="宋体"/>
                <w:sz w:val="24"/>
              </w:rPr>
            </w:pPr>
            <w:r>
              <w:rPr>
                <w:rFonts w:hint="eastAsia" w:ascii="宋体" w:hAnsi="宋体" w:cs="宋体"/>
                <w:sz w:val="24"/>
              </w:rPr>
              <w:t>符合要求</w:t>
            </w:r>
          </w:p>
        </w:tc>
      </w:tr>
      <w:tr w14:paraId="0CB1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7" w:type="dxa"/>
            <w:vAlign w:val="center"/>
          </w:tcPr>
          <w:p w14:paraId="4E6C9CAF">
            <w:pPr>
              <w:tabs>
                <w:tab w:val="left" w:pos="6635"/>
              </w:tabs>
              <w:snapToGrid w:val="0"/>
              <w:spacing w:line="440" w:lineRule="exact"/>
              <w:jc w:val="center"/>
              <w:rPr>
                <w:rFonts w:hint="default" w:ascii="宋体" w:hAnsi="宋体" w:cs="宋体"/>
                <w:sz w:val="24"/>
                <w:lang w:val="en-US" w:eastAsia="zh-CN"/>
              </w:rPr>
            </w:pPr>
            <w:r>
              <w:rPr>
                <w:rFonts w:hint="eastAsia" w:ascii="宋体" w:hAnsi="宋体" w:cs="宋体"/>
                <w:sz w:val="24"/>
                <w:lang w:val="en-US" w:eastAsia="zh-CN"/>
              </w:rPr>
              <w:t>4</w:t>
            </w:r>
          </w:p>
        </w:tc>
        <w:tc>
          <w:tcPr>
            <w:tcW w:w="1534" w:type="dxa"/>
            <w:vAlign w:val="center"/>
          </w:tcPr>
          <w:p w14:paraId="5E195B3E">
            <w:pPr>
              <w:tabs>
                <w:tab w:val="left" w:pos="1180"/>
              </w:tabs>
              <w:spacing w:line="440" w:lineRule="exact"/>
              <w:jc w:val="center"/>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sz w:val="22"/>
                <w:szCs w:val="22"/>
              </w:rPr>
              <w:t>拟派总监理工程师</w:t>
            </w:r>
          </w:p>
        </w:tc>
        <w:tc>
          <w:tcPr>
            <w:tcW w:w="6391" w:type="dxa"/>
            <w:vAlign w:val="center"/>
          </w:tcPr>
          <w:p w14:paraId="466317D0">
            <w:pPr>
              <w:tabs>
                <w:tab w:val="left" w:pos="1180"/>
              </w:tabs>
              <w:spacing w:line="440" w:lineRule="exact"/>
              <w:jc w:val="left"/>
              <w:rPr>
                <w:rFonts w:hint="eastAsia" w:ascii="宋体" w:hAnsi="宋体" w:cs="宋体"/>
                <w:color w:val="333333"/>
                <w:sz w:val="24"/>
                <w:shd w:val="clear" w:color="auto" w:fill="FFFFFF"/>
              </w:rPr>
            </w:pPr>
            <w:r>
              <w:rPr>
                <w:rFonts w:hint="eastAsia" w:ascii="宋体" w:hAnsi="宋体" w:eastAsia="宋体" w:cs="宋体"/>
                <w:sz w:val="22"/>
                <w:szCs w:val="22"/>
              </w:rPr>
              <w:t>须具备【市政公用工程注册监理工程师】执业资格，且未担任其他在建工程项目的总监理工程师</w:t>
            </w:r>
            <w:r>
              <w:rPr>
                <w:rFonts w:hint="eastAsia" w:ascii="宋体" w:hAnsi="宋体" w:eastAsia="宋体" w:cs="宋体"/>
                <w:sz w:val="22"/>
                <w:szCs w:val="22"/>
                <w:lang w:eastAsia="zh-CN"/>
              </w:rPr>
              <w:t>；</w:t>
            </w:r>
          </w:p>
        </w:tc>
        <w:tc>
          <w:tcPr>
            <w:tcW w:w="1458" w:type="dxa"/>
            <w:vAlign w:val="center"/>
          </w:tcPr>
          <w:p w14:paraId="581E795E">
            <w:pPr>
              <w:spacing w:line="440" w:lineRule="exact"/>
              <w:jc w:val="center"/>
              <w:rPr>
                <w:rFonts w:hint="eastAsia" w:ascii="宋体" w:hAnsi="宋体" w:cs="宋体"/>
                <w:sz w:val="24"/>
              </w:rPr>
            </w:pPr>
            <w:r>
              <w:rPr>
                <w:rFonts w:hint="eastAsia" w:ascii="宋体" w:hAnsi="宋体" w:cs="宋体"/>
                <w:sz w:val="24"/>
              </w:rPr>
              <w:t>符合要求</w:t>
            </w:r>
          </w:p>
        </w:tc>
      </w:tr>
      <w:tr w14:paraId="21E4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667" w:type="dxa"/>
            <w:vAlign w:val="center"/>
          </w:tcPr>
          <w:p w14:paraId="771D104C">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5</w:t>
            </w:r>
          </w:p>
        </w:tc>
        <w:tc>
          <w:tcPr>
            <w:tcW w:w="1534" w:type="dxa"/>
            <w:vAlign w:val="center"/>
          </w:tcPr>
          <w:p w14:paraId="19F8795D">
            <w:pPr>
              <w:tabs>
                <w:tab w:val="left" w:pos="1180"/>
              </w:tabs>
              <w:spacing w:line="440" w:lineRule="exact"/>
              <w:jc w:val="center"/>
              <w:rPr>
                <w:rFonts w:ascii="宋体" w:hAnsi="宋体" w:cs="宋体"/>
                <w:sz w:val="24"/>
              </w:rPr>
            </w:pPr>
            <w:r>
              <w:rPr>
                <w:rFonts w:hint="eastAsia" w:ascii="宋体" w:hAnsi="宋体" w:eastAsia="宋体" w:cs="宋体"/>
                <w:i w:val="0"/>
                <w:iCs w:val="0"/>
                <w:caps w:val="0"/>
                <w:color w:val="auto"/>
                <w:spacing w:val="0"/>
                <w:sz w:val="24"/>
                <w:szCs w:val="24"/>
                <w:shd w:val="clear" w:fill="FFFFFF"/>
              </w:rPr>
              <w:t>书面声明</w:t>
            </w:r>
          </w:p>
        </w:tc>
        <w:tc>
          <w:tcPr>
            <w:tcW w:w="6391" w:type="dxa"/>
            <w:vAlign w:val="center"/>
          </w:tcPr>
          <w:p w14:paraId="04EACD46">
            <w:pPr>
              <w:tabs>
                <w:tab w:val="left" w:pos="1180"/>
              </w:tabs>
              <w:spacing w:line="440" w:lineRule="exact"/>
              <w:jc w:val="left"/>
              <w:rPr>
                <w:rFonts w:ascii="宋体" w:hAnsi="宋体" w:cs="宋体"/>
                <w:sz w:val="24"/>
              </w:rPr>
            </w:pPr>
            <w:r>
              <w:rPr>
                <w:rFonts w:hint="eastAsia" w:ascii="宋体" w:hAnsi="宋体" w:cs="宋体"/>
                <w:color w:val="333333"/>
                <w:sz w:val="24"/>
                <w:shd w:val="clear" w:color="auto" w:fill="FFFFFF"/>
              </w:rPr>
              <w:t>出具参加本次采购活动前三年内在经营活动中没有重大违法记录的书面声明；</w:t>
            </w:r>
            <w:r>
              <w:rPr>
                <w:rFonts w:hint="eastAsia" w:ascii="宋体" w:hAnsi="宋体"/>
                <w:b/>
                <w:bCs/>
                <w:sz w:val="24"/>
              </w:rPr>
              <w:t>（提供书面声明，加盖供应商公章）</w:t>
            </w:r>
          </w:p>
        </w:tc>
        <w:tc>
          <w:tcPr>
            <w:tcW w:w="1458" w:type="dxa"/>
            <w:vAlign w:val="center"/>
          </w:tcPr>
          <w:p w14:paraId="4ABBBDD6">
            <w:pPr>
              <w:spacing w:line="440" w:lineRule="exact"/>
              <w:jc w:val="center"/>
              <w:rPr>
                <w:rFonts w:ascii="宋体" w:hAnsi="宋体" w:cs="宋体"/>
                <w:sz w:val="24"/>
              </w:rPr>
            </w:pPr>
            <w:r>
              <w:rPr>
                <w:rFonts w:hint="eastAsia" w:ascii="宋体" w:hAnsi="宋体" w:cs="宋体"/>
                <w:sz w:val="24"/>
              </w:rPr>
              <w:t>符合要求</w:t>
            </w:r>
          </w:p>
        </w:tc>
      </w:tr>
      <w:tr w14:paraId="4EA4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667" w:type="dxa"/>
            <w:vAlign w:val="center"/>
          </w:tcPr>
          <w:p w14:paraId="40101E5B">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6</w:t>
            </w:r>
          </w:p>
        </w:tc>
        <w:tc>
          <w:tcPr>
            <w:tcW w:w="1534" w:type="dxa"/>
            <w:vAlign w:val="center"/>
          </w:tcPr>
          <w:p w14:paraId="155E05C5">
            <w:pPr>
              <w:tabs>
                <w:tab w:val="left" w:pos="1180"/>
              </w:tabs>
              <w:spacing w:line="440" w:lineRule="exact"/>
              <w:jc w:val="center"/>
              <w:rPr>
                <w:rFonts w:ascii="宋体" w:hAnsi="宋体" w:cs="宋体"/>
                <w:sz w:val="24"/>
              </w:rPr>
            </w:pPr>
            <w:r>
              <w:rPr>
                <w:rFonts w:hint="eastAsia" w:ascii="宋体" w:hAnsi="宋体" w:cs="宋体"/>
                <w:sz w:val="24"/>
              </w:rPr>
              <w:t>具有履行合同所必需的设备和专业技术能力的承诺</w:t>
            </w:r>
          </w:p>
        </w:tc>
        <w:tc>
          <w:tcPr>
            <w:tcW w:w="6391" w:type="dxa"/>
            <w:vAlign w:val="center"/>
          </w:tcPr>
          <w:p w14:paraId="271928EF">
            <w:pPr>
              <w:tabs>
                <w:tab w:val="left" w:pos="1180"/>
              </w:tabs>
              <w:spacing w:line="440" w:lineRule="exact"/>
              <w:jc w:val="left"/>
              <w:rPr>
                <w:rFonts w:ascii="宋体" w:hAnsi="宋体" w:cs="宋体"/>
                <w:sz w:val="24"/>
              </w:rPr>
            </w:pPr>
            <w:r>
              <w:rPr>
                <w:rFonts w:hint="eastAsia" w:ascii="宋体" w:hAnsi="宋体" w:cs="宋体"/>
                <w:sz w:val="24"/>
              </w:rPr>
              <w:t>供应商须提供具有履行合同所必需的设备和专业技术能力的承诺；</w:t>
            </w:r>
            <w:r>
              <w:rPr>
                <w:rFonts w:hint="eastAsia" w:ascii="宋体" w:hAnsi="宋体"/>
                <w:b/>
                <w:bCs/>
                <w:sz w:val="24"/>
              </w:rPr>
              <w:t>（提供承诺书，加盖供应商公章）</w:t>
            </w:r>
          </w:p>
        </w:tc>
        <w:tc>
          <w:tcPr>
            <w:tcW w:w="1458" w:type="dxa"/>
            <w:vAlign w:val="center"/>
          </w:tcPr>
          <w:p w14:paraId="1F79C96F">
            <w:pPr>
              <w:spacing w:line="440" w:lineRule="exact"/>
              <w:jc w:val="center"/>
              <w:rPr>
                <w:rFonts w:ascii="宋体" w:hAnsi="宋体" w:cs="宋体"/>
                <w:sz w:val="24"/>
              </w:rPr>
            </w:pPr>
            <w:r>
              <w:rPr>
                <w:rFonts w:hint="eastAsia" w:ascii="宋体" w:hAnsi="宋体" w:cs="宋体"/>
                <w:sz w:val="24"/>
              </w:rPr>
              <w:t>符合要求</w:t>
            </w:r>
          </w:p>
        </w:tc>
      </w:tr>
      <w:tr w14:paraId="6CF7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4" w:hRule="atLeast"/>
          <w:jc w:val="center"/>
        </w:trPr>
        <w:tc>
          <w:tcPr>
            <w:tcW w:w="667" w:type="dxa"/>
            <w:vAlign w:val="center"/>
          </w:tcPr>
          <w:p w14:paraId="60744946">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7</w:t>
            </w:r>
          </w:p>
        </w:tc>
        <w:tc>
          <w:tcPr>
            <w:tcW w:w="1534" w:type="dxa"/>
            <w:vAlign w:val="center"/>
          </w:tcPr>
          <w:p w14:paraId="4596DF87">
            <w:pPr>
              <w:adjustRightInd w:val="0"/>
              <w:snapToGrid w:val="0"/>
              <w:spacing w:line="440" w:lineRule="exact"/>
              <w:jc w:val="center"/>
              <w:rPr>
                <w:rFonts w:ascii="宋体" w:hAnsi="宋体" w:cs="宋体"/>
                <w:sz w:val="24"/>
              </w:rPr>
            </w:pPr>
            <w:r>
              <w:rPr>
                <w:rFonts w:hint="eastAsia" w:ascii="宋体" w:hAnsi="宋体" w:cs="宋体"/>
                <w:sz w:val="24"/>
              </w:rPr>
              <w:t>财务状况</w:t>
            </w:r>
          </w:p>
          <w:p w14:paraId="3575E7F8">
            <w:pPr>
              <w:adjustRightInd w:val="0"/>
              <w:snapToGrid w:val="0"/>
              <w:spacing w:line="440" w:lineRule="exact"/>
              <w:jc w:val="center"/>
              <w:rPr>
                <w:rFonts w:ascii="宋体" w:hAnsi="宋体" w:cs="宋体"/>
                <w:sz w:val="24"/>
              </w:rPr>
            </w:pPr>
            <w:r>
              <w:rPr>
                <w:rFonts w:hint="eastAsia" w:ascii="宋体" w:hAnsi="宋体" w:cs="宋体"/>
                <w:sz w:val="24"/>
              </w:rPr>
              <w:t>报告</w:t>
            </w:r>
          </w:p>
        </w:tc>
        <w:tc>
          <w:tcPr>
            <w:tcW w:w="6391" w:type="dxa"/>
            <w:vAlign w:val="center"/>
          </w:tcPr>
          <w:p w14:paraId="5EC6FDCA">
            <w:pPr>
              <w:snapToGrid w:val="0"/>
              <w:spacing w:line="440" w:lineRule="exact"/>
              <w:jc w:val="left"/>
              <w:rPr>
                <w:rFonts w:ascii="宋体" w:hAnsi="宋体" w:cs="宋体"/>
                <w:sz w:val="24"/>
              </w:rPr>
            </w:pPr>
            <w:r>
              <w:rPr>
                <w:rFonts w:hint="eastAsia" w:ascii="宋体" w:hAnsi="宋体" w:cs="宋体"/>
                <w:color w:val="333333"/>
                <w:sz w:val="24"/>
                <w:shd w:val="clear" w:color="auto" w:fill="FFFFFF"/>
              </w:rPr>
              <w:t>提供</w:t>
            </w:r>
            <w:r>
              <w:rPr>
                <w:rFonts w:hint="eastAsia" w:ascii="宋体" w:hAnsi="宋体" w:cs="宋体"/>
                <w:color w:val="333333"/>
                <w:sz w:val="24"/>
                <w:shd w:val="clear" w:color="auto" w:fill="FFFFFF"/>
                <w:lang w:val="en-US" w:eastAsia="zh-CN"/>
              </w:rPr>
              <w:t>2024年度或2025年度</w:t>
            </w:r>
            <w:r>
              <w:rPr>
                <w:rFonts w:hint="eastAsia" w:ascii="宋体" w:hAnsi="宋体" w:cs="宋体"/>
                <w:color w:val="333333"/>
                <w:sz w:val="24"/>
                <w:shd w:val="clear" w:color="auto" w:fill="FFFFFF"/>
              </w:rPr>
              <w:t>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tc>
        <w:tc>
          <w:tcPr>
            <w:tcW w:w="1458" w:type="dxa"/>
            <w:vAlign w:val="center"/>
          </w:tcPr>
          <w:p w14:paraId="50F1673E">
            <w:pPr>
              <w:spacing w:line="440" w:lineRule="exact"/>
              <w:jc w:val="center"/>
              <w:rPr>
                <w:rFonts w:ascii="宋体" w:hAnsi="宋体" w:cs="宋体"/>
                <w:sz w:val="24"/>
              </w:rPr>
            </w:pPr>
            <w:r>
              <w:rPr>
                <w:rFonts w:hint="eastAsia" w:ascii="宋体" w:hAnsi="宋体" w:cs="宋体"/>
                <w:sz w:val="24"/>
              </w:rPr>
              <w:t>符合要求</w:t>
            </w:r>
          </w:p>
        </w:tc>
      </w:tr>
      <w:tr w14:paraId="44AD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667" w:type="dxa"/>
            <w:vAlign w:val="center"/>
          </w:tcPr>
          <w:p w14:paraId="3AA9D32F">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8</w:t>
            </w:r>
          </w:p>
        </w:tc>
        <w:tc>
          <w:tcPr>
            <w:tcW w:w="1534" w:type="dxa"/>
            <w:vAlign w:val="center"/>
          </w:tcPr>
          <w:p w14:paraId="5142E292">
            <w:pPr>
              <w:adjustRightInd w:val="0"/>
              <w:snapToGrid w:val="0"/>
              <w:spacing w:line="440" w:lineRule="exact"/>
              <w:jc w:val="center"/>
              <w:rPr>
                <w:rFonts w:ascii="宋体" w:hAnsi="宋体" w:cs="宋体"/>
                <w:sz w:val="24"/>
              </w:rPr>
            </w:pPr>
            <w:r>
              <w:rPr>
                <w:rFonts w:hint="eastAsia" w:ascii="宋体" w:hAnsi="宋体" w:cs="宋体"/>
                <w:sz w:val="24"/>
              </w:rPr>
              <w:t>社会保障资金缴纳证明</w:t>
            </w:r>
          </w:p>
        </w:tc>
        <w:tc>
          <w:tcPr>
            <w:tcW w:w="6391" w:type="dxa"/>
            <w:vAlign w:val="center"/>
          </w:tcPr>
          <w:p w14:paraId="047CA5C2">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提供响应文件提交截止时间前6个月内任意一个月已缴纳的社会保障资金缴存单据或社保机构开具的社会保险参保缴费情况证明，依法不需要缴纳社会保障资金的应提供相关文件证明；</w:t>
            </w:r>
          </w:p>
        </w:tc>
        <w:tc>
          <w:tcPr>
            <w:tcW w:w="1458" w:type="dxa"/>
            <w:vAlign w:val="center"/>
          </w:tcPr>
          <w:p w14:paraId="419832A5">
            <w:pPr>
              <w:snapToGrid w:val="0"/>
              <w:spacing w:line="440" w:lineRule="exact"/>
              <w:jc w:val="center"/>
              <w:rPr>
                <w:rFonts w:ascii="宋体" w:hAnsi="宋体" w:cs="宋体"/>
                <w:sz w:val="24"/>
              </w:rPr>
            </w:pPr>
            <w:r>
              <w:rPr>
                <w:rFonts w:hint="eastAsia" w:ascii="宋体" w:hAnsi="宋体" w:cs="宋体"/>
                <w:sz w:val="24"/>
              </w:rPr>
              <w:t>符合要求</w:t>
            </w:r>
          </w:p>
        </w:tc>
      </w:tr>
      <w:tr w14:paraId="1360C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667" w:type="dxa"/>
            <w:vAlign w:val="center"/>
          </w:tcPr>
          <w:p w14:paraId="54C17DC3">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9</w:t>
            </w:r>
          </w:p>
        </w:tc>
        <w:tc>
          <w:tcPr>
            <w:tcW w:w="1534" w:type="dxa"/>
            <w:vAlign w:val="center"/>
          </w:tcPr>
          <w:p w14:paraId="4A065B52">
            <w:pPr>
              <w:adjustRightInd w:val="0"/>
              <w:snapToGrid w:val="0"/>
              <w:spacing w:line="440" w:lineRule="exact"/>
              <w:jc w:val="center"/>
              <w:rPr>
                <w:rFonts w:ascii="宋体" w:hAnsi="宋体" w:cs="宋体"/>
                <w:sz w:val="24"/>
              </w:rPr>
            </w:pPr>
            <w:r>
              <w:rPr>
                <w:rFonts w:hint="eastAsia" w:ascii="宋体" w:hAnsi="宋体" w:cs="宋体"/>
                <w:sz w:val="24"/>
              </w:rPr>
              <w:t>税收缴纳</w:t>
            </w:r>
          </w:p>
          <w:p w14:paraId="0FC1ACB8">
            <w:pPr>
              <w:adjustRightInd w:val="0"/>
              <w:snapToGrid w:val="0"/>
              <w:spacing w:line="440" w:lineRule="exact"/>
              <w:jc w:val="center"/>
              <w:rPr>
                <w:rFonts w:ascii="宋体" w:hAnsi="宋体" w:cs="宋体"/>
                <w:sz w:val="24"/>
              </w:rPr>
            </w:pPr>
            <w:r>
              <w:rPr>
                <w:rFonts w:hint="eastAsia" w:ascii="宋体" w:hAnsi="宋体" w:cs="宋体"/>
                <w:sz w:val="24"/>
              </w:rPr>
              <w:t>证明</w:t>
            </w:r>
          </w:p>
        </w:tc>
        <w:tc>
          <w:tcPr>
            <w:tcW w:w="6391" w:type="dxa"/>
            <w:vAlign w:val="center"/>
          </w:tcPr>
          <w:p w14:paraId="3C6EB99B">
            <w:pPr>
              <w:snapToGrid w:val="0"/>
              <w:spacing w:line="440" w:lineRule="exact"/>
              <w:rPr>
                <w:rFonts w:ascii="宋体" w:hAnsi="宋体" w:cs="宋体"/>
                <w:sz w:val="24"/>
              </w:rPr>
            </w:pPr>
            <w:r>
              <w:rPr>
                <w:rFonts w:hint="eastAsia" w:ascii="宋体" w:hAnsi="宋体" w:cs="宋体"/>
                <w:sz w:val="24"/>
              </w:rPr>
              <w:t>提供响应文件提交截止时间前6个月内任意一个月已缴纳的完税凭证或税务机关开具的完税证明（任意税种），依法免税的应提供相关文件证明；</w:t>
            </w:r>
          </w:p>
        </w:tc>
        <w:tc>
          <w:tcPr>
            <w:tcW w:w="1458" w:type="dxa"/>
            <w:vAlign w:val="center"/>
          </w:tcPr>
          <w:p w14:paraId="72BFEF20">
            <w:pPr>
              <w:snapToGrid w:val="0"/>
              <w:spacing w:line="440" w:lineRule="exact"/>
              <w:jc w:val="center"/>
              <w:rPr>
                <w:rFonts w:ascii="宋体" w:hAnsi="宋体" w:cs="宋体"/>
                <w:sz w:val="24"/>
              </w:rPr>
            </w:pPr>
            <w:r>
              <w:rPr>
                <w:rFonts w:hint="eastAsia" w:ascii="宋体" w:hAnsi="宋体" w:cs="宋体"/>
                <w:sz w:val="24"/>
              </w:rPr>
              <w:t>符合要求</w:t>
            </w:r>
          </w:p>
        </w:tc>
      </w:tr>
      <w:tr w14:paraId="038E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667" w:type="dxa"/>
            <w:vAlign w:val="center"/>
          </w:tcPr>
          <w:p w14:paraId="0461278B">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10</w:t>
            </w:r>
          </w:p>
        </w:tc>
        <w:tc>
          <w:tcPr>
            <w:tcW w:w="1534" w:type="dxa"/>
            <w:vAlign w:val="center"/>
          </w:tcPr>
          <w:p w14:paraId="59732E27">
            <w:pPr>
              <w:adjustRightInd w:val="0"/>
              <w:snapToGrid w:val="0"/>
              <w:spacing w:line="440" w:lineRule="exact"/>
              <w:jc w:val="center"/>
              <w:rPr>
                <w:rFonts w:ascii="宋体" w:hAnsi="宋体" w:cs="宋体"/>
                <w:sz w:val="24"/>
              </w:rPr>
            </w:pPr>
            <w:r>
              <w:rPr>
                <w:rFonts w:hint="eastAsia" w:ascii="宋体" w:hAnsi="宋体" w:cs="宋体"/>
                <w:sz w:val="24"/>
              </w:rPr>
              <w:t>信誉要求</w:t>
            </w:r>
          </w:p>
        </w:tc>
        <w:tc>
          <w:tcPr>
            <w:tcW w:w="6391" w:type="dxa"/>
            <w:vAlign w:val="center"/>
          </w:tcPr>
          <w:p w14:paraId="71E7D223">
            <w:pPr>
              <w:snapToGrid w:val="0"/>
              <w:spacing w:line="440" w:lineRule="exact"/>
              <w:rPr>
                <w:rFonts w:ascii="宋体" w:hAnsi="宋体" w:cs="宋体"/>
                <w:sz w:val="24"/>
              </w:rPr>
            </w:pPr>
            <w:r>
              <w:rPr>
                <w:rFonts w:hint="eastAsia" w:ascii="宋体" w:hAnsi="宋体" w:cs="宋体"/>
                <w:b w:val="0"/>
                <w:bCs w:val="0"/>
                <w:kern w:val="0"/>
                <w:sz w:val="24"/>
              </w:rPr>
              <w:t>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cs="宋体"/>
                <w:b/>
                <w:bCs/>
                <w:kern w:val="0"/>
                <w:sz w:val="24"/>
              </w:rPr>
              <w:t>（</w:t>
            </w:r>
            <w:r>
              <w:rPr>
                <w:rFonts w:hint="eastAsia" w:ascii="宋体" w:hAnsi="宋体" w:cs="宋体"/>
                <w:b/>
                <w:bCs/>
                <w:sz w:val="24"/>
              </w:rPr>
              <w:t>说明：</w:t>
            </w:r>
            <w:r>
              <w:rPr>
                <w:rFonts w:hint="eastAsia" w:ascii="宋体" w:hAnsi="宋体" w:cs="宋体"/>
                <w:b/>
                <w:bCs/>
                <w:kern w:val="0"/>
                <w:sz w:val="24"/>
              </w:rPr>
              <w:t>不强制要求供应商提供查询截图，</w:t>
            </w:r>
            <w:r>
              <w:rPr>
                <w:rFonts w:hint="eastAsia" w:ascii="宋体" w:hAnsi="宋体" w:cs="宋体"/>
                <w:b/>
                <w:bCs/>
                <w:color w:val="000000"/>
                <w:sz w:val="24"/>
              </w:rPr>
              <w:t>由采购代理机构</w:t>
            </w:r>
            <w:r>
              <w:rPr>
                <w:rFonts w:hint="eastAsia" w:ascii="宋体" w:hAnsi="宋体" w:cs="宋体"/>
                <w:b/>
                <w:bCs/>
                <w:kern w:val="0"/>
                <w:sz w:val="24"/>
              </w:rPr>
              <w:t>以磋商响应截止日当天网上查询结果作为评审依据）。</w:t>
            </w:r>
          </w:p>
        </w:tc>
        <w:tc>
          <w:tcPr>
            <w:tcW w:w="1458" w:type="dxa"/>
            <w:vAlign w:val="center"/>
          </w:tcPr>
          <w:p w14:paraId="3E8DBEF9">
            <w:pPr>
              <w:snapToGrid w:val="0"/>
              <w:spacing w:line="440" w:lineRule="exact"/>
              <w:jc w:val="center"/>
              <w:rPr>
                <w:rFonts w:ascii="宋体" w:hAnsi="宋体" w:cs="宋体"/>
                <w:sz w:val="24"/>
              </w:rPr>
            </w:pPr>
            <w:r>
              <w:rPr>
                <w:rFonts w:hint="eastAsia" w:ascii="宋体" w:hAnsi="宋体" w:cs="宋体"/>
                <w:sz w:val="24"/>
              </w:rPr>
              <w:t>符合要求</w:t>
            </w:r>
          </w:p>
        </w:tc>
      </w:tr>
      <w:tr w14:paraId="4CB5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2DD37707">
            <w:pPr>
              <w:tabs>
                <w:tab w:val="left" w:pos="6635"/>
              </w:tabs>
              <w:snapToGrid w:val="0"/>
              <w:spacing w:line="440" w:lineRule="exact"/>
              <w:jc w:val="center"/>
              <w:rPr>
                <w:rFonts w:hint="default" w:ascii="宋体" w:hAnsi="宋体" w:eastAsia="宋体" w:cs="宋体"/>
                <w:sz w:val="24"/>
                <w:lang w:val="en-US" w:eastAsia="zh-CN"/>
              </w:rPr>
            </w:pPr>
            <w:r>
              <w:rPr>
                <w:rFonts w:hint="eastAsia" w:ascii="宋体" w:hAnsi="宋体" w:cs="宋体"/>
                <w:sz w:val="24"/>
                <w:lang w:val="en-US" w:eastAsia="zh-CN"/>
              </w:rPr>
              <w:t>11</w:t>
            </w:r>
          </w:p>
        </w:tc>
        <w:tc>
          <w:tcPr>
            <w:tcW w:w="1534" w:type="dxa"/>
            <w:vAlign w:val="center"/>
          </w:tcPr>
          <w:p w14:paraId="2BEF2A21">
            <w:pPr>
              <w:adjustRightInd w:val="0"/>
              <w:snapToGrid w:val="0"/>
              <w:spacing w:line="440" w:lineRule="exact"/>
              <w:jc w:val="center"/>
              <w:rPr>
                <w:rFonts w:ascii="宋体" w:hAnsi="宋体" w:cs="宋体"/>
                <w:sz w:val="24"/>
              </w:rPr>
            </w:pPr>
            <w:r>
              <w:rPr>
                <w:rFonts w:hint="eastAsia" w:ascii="宋体" w:hAnsi="宋体" w:cs="宋体"/>
                <w:sz w:val="24"/>
              </w:rPr>
              <w:t>企业关系关联承诺书</w:t>
            </w:r>
          </w:p>
        </w:tc>
        <w:tc>
          <w:tcPr>
            <w:tcW w:w="6391" w:type="dxa"/>
            <w:vAlign w:val="center"/>
          </w:tcPr>
          <w:p w14:paraId="07AA5B3B">
            <w:pPr>
              <w:snapToGrid w:val="0"/>
              <w:spacing w:line="440" w:lineRule="exact"/>
              <w:rPr>
                <w:rFonts w:ascii="宋体" w:hAnsi="宋体" w:cs="宋体"/>
                <w:sz w:val="24"/>
              </w:rPr>
            </w:pPr>
            <w:r>
              <w:rPr>
                <w:rFonts w:hint="eastAsia" w:ascii="宋体" w:hAnsi="宋体" w:eastAsia="宋体" w:cs="宋体"/>
                <w:i w:val="0"/>
                <w:iCs w:val="0"/>
                <w:caps w:val="0"/>
                <w:color w:val="auto"/>
                <w:spacing w:val="0"/>
                <w:sz w:val="24"/>
                <w:szCs w:val="24"/>
                <w:shd w:val="clear" w:fill="FFFFFF"/>
              </w:rPr>
              <w:t>单位负责人为同一人或者存在直接控股、管理关系的不同供应商，不得同时参加同一采购活动</w:t>
            </w:r>
            <w:r>
              <w:rPr>
                <w:rFonts w:hint="eastAsia" w:ascii="宋体" w:hAnsi="宋体" w:cs="宋体"/>
                <w:color w:val="333333"/>
                <w:sz w:val="24"/>
                <w:shd w:val="clear" w:color="auto" w:fill="FFFFFF"/>
              </w:rPr>
              <w:t>；</w:t>
            </w:r>
            <w:r>
              <w:rPr>
                <w:rFonts w:hint="eastAsia" w:ascii="宋体" w:hAnsi="宋体" w:cs="宋体"/>
                <w:b/>
                <w:bCs/>
                <w:sz w:val="24"/>
              </w:rPr>
              <w:t>（提供“供应商企业关系关联承诺书”，式样见竞争性磋商响应文件格式）。</w:t>
            </w:r>
          </w:p>
        </w:tc>
        <w:tc>
          <w:tcPr>
            <w:tcW w:w="1458" w:type="dxa"/>
            <w:vAlign w:val="center"/>
          </w:tcPr>
          <w:p w14:paraId="35BA4F16">
            <w:pPr>
              <w:snapToGrid w:val="0"/>
              <w:spacing w:line="440" w:lineRule="exact"/>
              <w:jc w:val="center"/>
              <w:rPr>
                <w:rFonts w:ascii="宋体" w:hAnsi="宋体" w:cs="宋体"/>
                <w:sz w:val="24"/>
              </w:rPr>
            </w:pPr>
            <w:r>
              <w:rPr>
                <w:rFonts w:hint="eastAsia" w:ascii="宋体" w:hAnsi="宋体" w:cs="宋体"/>
                <w:sz w:val="24"/>
              </w:rPr>
              <w:t>符合要求</w:t>
            </w:r>
          </w:p>
        </w:tc>
      </w:tr>
      <w:tr w14:paraId="4E2C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5DF94E39">
            <w:pPr>
              <w:tabs>
                <w:tab w:val="left" w:pos="6635"/>
              </w:tabs>
              <w:snapToGrid w:val="0"/>
              <w:spacing w:line="44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2</w:t>
            </w:r>
          </w:p>
        </w:tc>
        <w:tc>
          <w:tcPr>
            <w:tcW w:w="1534" w:type="dxa"/>
            <w:vAlign w:val="center"/>
          </w:tcPr>
          <w:p w14:paraId="7BFAB0A5">
            <w:pPr>
              <w:adjustRightInd w:val="0"/>
              <w:snapToGrid w:val="0"/>
              <w:spacing w:line="440" w:lineRule="exact"/>
              <w:jc w:val="center"/>
              <w:rPr>
                <w:rFonts w:ascii="宋体" w:hAnsi="宋体" w:cs="宋体"/>
                <w:sz w:val="24"/>
              </w:rPr>
            </w:pPr>
            <w:r>
              <w:rPr>
                <w:rFonts w:hint="eastAsia" w:ascii="宋体" w:hAnsi="宋体" w:cs="宋体"/>
                <w:sz w:val="24"/>
              </w:rPr>
              <w:t>非联合体</w:t>
            </w:r>
          </w:p>
          <w:p w14:paraId="33962C3D">
            <w:pPr>
              <w:adjustRightInd w:val="0"/>
              <w:snapToGrid w:val="0"/>
              <w:spacing w:line="440" w:lineRule="exact"/>
              <w:jc w:val="center"/>
              <w:rPr>
                <w:rFonts w:ascii="宋体" w:hAnsi="宋体" w:cs="宋体"/>
                <w:sz w:val="24"/>
              </w:rPr>
            </w:pPr>
            <w:r>
              <w:rPr>
                <w:rFonts w:hint="eastAsia" w:ascii="宋体" w:hAnsi="宋体" w:cs="宋体"/>
                <w:sz w:val="24"/>
              </w:rPr>
              <w:t>声明函</w:t>
            </w:r>
          </w:p>
        </w:tc>
        <w:tc>
          <w:tcPr>
            <w:tcW w:w="6391" w:type="dxa"/>
            <w:vAlign w:val="center"/>
          </w:tcPr>
          <w:p w14:paraId="62D4C1FE">
            <w:pPr>
              <w:snapToGrid w:val="0"/>
              <w:spacing w:line="440" w:lineRule="exact"/>
              <w:rPr>
                <w:rFonts w:ascii="宋体" w:hAnsi="宋体" w:cs="宋体"/>
                <w:sz w:val="24"/>
              </w:rPr>
            </w:pPr>
            <w:r>
              <w:rPr>
                <w:rFonts w:hint="eastAsia" w:ascii="宋体" w:hAnsi="宋体" w:cs="宋体"/>
                <w:sz w:val="24"/>
              </w:rPr>
              <w:t>本项目不接受联合体投标,供应商需保证资质文件的真实、合法、有效；</w:t>
            </w:r>
            <w:r>
              <w:rPr>
                <w:rFonts w:hint="eastAsia" w:ascii="宋体" w:hAnsi="宋体" w:cs="宋体"/>
                <w:b/>
                <w:bCs/>
                <w:sz w:val="24"/>
              </w:rPr>
              <w:t>（提供“非联合体声明”，式样见竞争性磋商响应文件格式）</w:t>
            </w:r>
          </w:p>
        </w:tc>
        <w:tc>
          <w:tcPr>
            <w:tcW w:w="1458" w:type="dxa"/>
            <w:vAlign w:val="center"/>
          </w:tcPr>
          <w:p w14:paraId="5E3FBDF8">
            <w:pPr>
              <w:snapToGrid w:val="0"/>
              <w:spacing w:line="440" w:lineRule="exact"/>
              <w:jc w:val="center"/>
              <w:rPr>
                <w:rFonts w:ascii="宋体" w:hAnsi="宋体" w:cs="宋体"/>
                <w:sz w:val="24"/>
              </w:rPr>
            </w:pPr>
            <w:r>
              <w:rPr>
                <w:rFonts w:hint="eastAsia" w:ascii="宋体" w:hAnsi="宋体" w:cs="宋体"/>
                <w:sz w:val="24"/>
              </w:rPr>
              <w:t>符合要求</w:t>
            </w:r>
          </w:p>
        </w:tc>
      </w:tr>
      <w:tr w14:paraId="46F7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atLeast"/>
          <w:jc w:val="center"/>
        </w:trPr>
        <w:tc>
          <w:tcPr>
            <w:tcW w:w="667" w:type="dxa"/>
            <w:vAlign w:val="center"/>
          </w:tcPr>
          <w:p w14:paraId="6A239FD2">
            <w:pPr>
              <w:tabs>
                <w:tab w:val="left" w:pos="6635"/>
              </w:tabs>
              <w:snapToGrid w:val="0"/>
              <w:spacing w:line="460" w:lineRule="exact"/>
              <w:jc w:val="center"/>
              <w:rPr>
                <w:rFonts w:hint="eastAsia" w:ascii="宋体" w:hAnsi="宋体" w:eastAsia="宋体" w:cs="宋体"/>
                <w:sz w:val="24"/>
                <w:lang w:val="en-US" w:eastAsia="zh-CN"/>
              </w:rPr>
            </w:pPr>
            <w:r>
              <w:rPr>
                <w:rFonts w:hint="eastAsia" w:ascii="宋体" w:hAnsi="宋体" w:cs="宋体"/>
                <w:sz w:val="24"/>
              </w:rPr>
              <w:t>1</w:t>
            </w:r>
            <w:r>
              <w:rPr>
                <w:rFonts w:hint="eastAsia" w:ascii="宋体" w:hAnsi="宋体" w:cs="宋体"/>
                <w:sz w:val="24"/>
                <w:lang w:val="en-US" w:eastAsia="zh-CN"/>
              </w:rPr>
              <w:t>3</w:t>
            </w:r>
          </w:p>
        </w:tc>
        <w:tc>
          <w:tcPr>
            <w:tcW w:w="1534" w:type="dxa"/>
            <w:vAlign w:val="center"/>
          </w:tcPr>
          <w:p w14:paraId="381ADD05">
            <w:pPr>
              <w:adjustRightInd w:val="0"/>
              <w:snapToGrid w:val="0"/>
              <w:spacing w:line="460" w:lineRule="exact"/>
              <w:jc w:val="center"/>
              <w:rPr>
                <w:rFonts w:ascii="宋体" w:hAnsi="宋体" w:cs="宋体"/>
                <w:sz w:val="24"/>
              </w:rPr>
            </w:pPr>
            <w:r>
              <w:rPr>
                <w:rFonts w:hint="eastAsia" w:ascii="宋体" w:hAnsi="宋体" w:cs="宋体"/>
                <w:sz w:val="24"/>
              </w:rPr>
              <w:t>本项目专门面向中小企业采购</w:t>
            </w:r>
          </w:p>
        </w:tc>
        <w:tc>
          <w:tcPr>
            <w:tcW w:w="6391" w:type="dxa"/>
            <w:vAlign w:val="center"/>
          </w:tcPr>
          <w:p w14:paraId="1FA320A8">
            <w:pPr>
              <w:snapToGrid w:val="0"/>
              <w:spacing w:line="440" w:lineRule="exact"/>
              <w:rPr>
                <w:rFonts w:ascii="宋体" w:hAnsi="宋体" w:cs="宋体"/>
                <w:sz w:val="24"/>
              </w:rPr>
            </w:pPr>
            <w:r>
              <w:rPr>
                <w:rFonts w:hint="eastAsia" w:ascii="宋体" w:hAnsi="宋体" w:cs="宋体"/>
                <w:sz w:val="24"/>
              </w:rPr>
              <w:t>本项目专门面向中小企业采购，须符合《政府采购促进中小企业发展管理办法》（财库〔2020〕46号）规定的中小企业参加。</w:t>
            </w:r>
            <w:r>
              <w:rPr>
                <w:rFonts w:hint="eastAsia" w:ascii="宋体" w:hAnsi="宋体" w:cs="宋体"/>
                <w:b/>
                <w:bCs/>
                <w:sz w:val="24"/>
              </w:rPr>
              <w:t>（提供“中小企业声明函”，式样见竞争性磋商响应文件格式）</w:t>
            </w:r>
          </w:p>
        </w:tc>
        <w:tc>
          <w:tcPr>
            <w:tcW w:w="1458" w:type="dxa"/>
            <w:vAlign w:val="center"/>
          </w:tcPr>
          <w:p w14:paraId="2A7486B6">
            <w:pPr>
              <w:snapToGrid w:val="0"/>
              <w:spacing w:line="460" w:lineRule="exact"/>
              <w:jc w:val="center"/>
              <w:rPr>
                <w:rFonts w:ascii="宋体" w:hAnsi="宋体" w:cs="宋体"/>
                <w:sz w:val="24"/>
              </w:rPr>
            </w:pPr>
            <w:r>
              <w:rPr>
                <w:rFonts w:hint="eastAsia" w:ascii="宋体" w:hAnsi="宋体" w:cs="宋体"/>
                <w:sz w:val="24"/>
              </w:rPr>
              <w:t>符合要求</w:t>
            </w:r>
          </w:p>
        </w:tc>
      </w:tr>
    </w:tbl>
    <w:p w14:paraId="6C58CB11">
      <w:pPr>
        <w:spacing w:line="520" w:lineRule="exact"/>
        <w:ind w:firstLine="482" w:firstLineChars="200"/>
        <w:rPr>
          <w:rFonts w:ascii="宋体" w:hAnsi="宋体" w:cs="宋体"/>
          <w:b/>
          <w:bCs/>
          <w:sz w:val="24"/>
        </w:rPr>
      </w:pPr>
      <w:r>
        <w:rPr>
          <w:rFonts w:hint="eastAsia" w:ascii="宋体" w:hAnsi="宋体" w:cs="宋体"/>
          <w:b/>
          <w:bCs/>
          <w:sz w:val="24"/>
        </w:rPr>
        <w:t>4.4磋商响应文件符合性审查：依据磋商文件的规定，由磋商小组对资格性审查合格的磋商响应文件进行符合性审查，以确定是否对磋商文件的实质性内容作出响应。未通过审查的按无效响应文件处理，审查办法如下：</w:t>
      </w:r>
    </w:p>
    <w:tbl>
      <w:tblPr>
        <w:tblStyle w:val="22"/>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841"/>
        <w:gridCol w:w="6136"/>
      </w:tblGrid>
      <w:tr w14:paraId="0ABA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61" w:type="dxa"/>
            <w:vAlign w:val="center"/>
          </w:tcPr>
          <w:p w14:paraId="2958CE1A">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序号</w:t>
            </w:r>
          </w:p>
        </w:tc>
        <w:tc>
          <w:tcPr>
            <w:tcW w:w="2841" w:type="dxa"/>
            <w:vAlign w:val="center"/>
          </w:tcPr>
          <w:p w14:paraId="1914EE0A">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评审内容</w:t>
            </w:r>
          </w:p>
        </w:tc>
        <w:tc>
          <w:tcPr>
            <w:tcW w:w="6136" w:type="dxa"/>
            <w:vAlign w:val="center"/>
          </w:tcPr>
          <w:p w14:paraId="7DBE7BBE">
            <w:pPr>
              <w:adjustRightInd w:val="0"/>
              <w:snapToGrid w:val="0"/>
              <w:spacing w:line="360" w:lineRule="auto"/>
              <w:jc w:val="center"/>
              <w:rPr>
                <w:rFonts w:ascii="宋体" w:hAnsi="宋体" w:cs="宋体"/>
                <w:b/>
                <w:bCs/>
                <w:sz w:val="24"/>
                <w:lang w:val="zh-CN"/>
              </w:rPr>
            </w:pPr>
            <w:r>
              <w:rPr>
                <w:rFonts w:hint="eastAsia" w:ascii="宋体" w:hAnsi="宋体" w:cs="宋体"/>
                <w:b/>
                <w:bCs/>
                <w:sz w:val="24"/>
                <w:lang w:val="zh-CN"/>
              </w:rPr>
              <w:t>评审标准</w:t>
            </w:r>
          </w:p>
        </w:tc>
      </w:tr>
      <w:tr w14:paraId="0470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761" w:type="dxa"/>
            <w:vAlign w:val="center"/>
          </w:tcPr>
          <w:p w14:paraId="5069F5B0">
            <w:pPr>
              <w:adjustRightInd w:val="0"/>
              <w:snapToGrid w:val="0"/>
              <w:spacing w:line="540" w:lineRule="exact"/>
              <w:jc w:val="center"/>
              <w:rPr>
                <w:rFonts w:ascii="宋体" w:hAnsi="宋体" w:cs="宋体"/>
                <w:sz w:val="24"/>
                <w:lang w:val="zh-CN"/>
              </w:rPr>
            </w:pPr>
            <w:r>
              <w:rPr>
                <w:rFonts w:hint="eastAsia" w:ascii="宋体" w:hAnsi="宋体" w:eastAsia="宋体" w:cs="宋体"/>
                <w:color w:val="auto"/>
                <w:kern w:val="0"/>
                <w:sz w:val="24"/>
                <w:highlight w:val="none"/>
                <w:lang w:val="zh-CN"/>
              </w:rPr>
              <w:t>1</w:t>
            </w:r>
          </w:p>
        </w:tc>
        <w:tc>
          <w:tcPr>
            <w:tcW w:w="2841" w:type="dxa"/>
            <w:vAlign w:val="center"/>
          </w:tcPr>
          <w:p w14:paraId="2F5B9789">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完整性</w:t>
            </w:r>
          </w:p>
        </w:tc>
        <w:tc>
          <w:tcPr>
            <w:tcW w:w="6136" w:type="dxa"/>
            <w:vAlign w:val="center"/>
          </w:tcPr>
          <w:p w14:paraId="1EC878DA">
            <w:pPr>
              <w:adjustRightInd w:val="0"/>
              <w:snapToGrid w:val="0"/>
              <w:spacing w:line="540" w:lineRule="exact"/>
              <w:rPr>
                <w:rFonts w:ascii="宋体" w:hAnsi="宋体" w:cs="宋体"/>
                <w:sz w:val="24"/>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构成是否有缺项，是否按照</w:t>
            </w:r>
            <w:r>
              <w:rPr>
                <w:rFonts w:hint="eastAsia" w:ascii="宋体" w:hAnsi="宋体" w:eastAsia="宋体" w:cs="宋体"/>
                <w:color w:val="auto"/>
                <w:kern w:val="0"/>
                <w:sz w:val="24"/>
                <w:highlight w:val="none"/>
                <w:lang w:eastAsia="zh-CN"/>
              </w:rPr>
              <w:t>招标</w:t>
            </w:r>
            <w:r>
              <w:rPr>
                <w:rFonts w:hint="eastAsia" w:ascii="宋体" w:hAnsi="宋体" w:eastAsia="宋体" w:cs="宋体"/>
                <w:color w:val="auto"/>
                <w:kern w:val="0"/>
                <w:sz w:val="24"/>
                <w:highlight w:val="none"/>
              </w:rPr>
              <w:t>文件要求的格式编写、装订</w:t>
            </w:r>
            <w:r>
              <w:rPr>
                <w:rFonts w:hint="eastAsia" w:ascii="宋体" w:hAnsi="宋体" w:eastAsia="宋体" w:cs="宋体"/>
                <w:color w:val="auto"/>
                <w:kern w:val="0"/>
                <w:sz w:val="24"/>
                <w:highlight w:val="none"/>
                <w:lang w:eastAsia="zh-CN"/>
              </w:rPr>
              <w:t>响应文件</w:t>
            </w:r>
          </w:p>
        </w:tc>
      </w:tr>
      <w:tr w14:paraId="275E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761" w:type="dxa"/>
            <w:vAlign w:val="center"/>
          </w:tcPr>
          <w:p w14:paraId="0F299EBB">
            <w:pPr>
              <w:adjustRightInd w:val="0"/>
              <w:snapToGrid w:val="0"/>
              <w:spacing w:line="540" w:lineRule="exact"/>
              <w:jc w:val="center"/>
              <w:rPr>
                <w:rFonts w:ascii="宋体" w:hAnsi="宋体" w:cs="宋体"/>
                <w:sz w:val="24"/>
                <w:lang w:val="zh-CN"/>
              </w:rPr>
            </w:pPr>
            <w:r>
              <w:rPr>
                <w:rFonts w:hint="eastAsia" w:ascii="宋体" w:hAnsi="宋体" w:eastAsia="宋体" w:cs="宋体"/>
                <w:color w:val="auto"/>
                <w:kern w:val="0"/>
                <w:sz w:val="24"/>
                <w:highlight w:val="none"/>
              </w:rPr>
              <w:t>2</w:t>
            </w:r>
          </w:p>
        </w:tc>
        <w:tc>
          <w:tcPr>
            <w:tcW w:w="2841" w:type="dxa"/>
            <w:vAlign w:val="center"/>
          </w:tcPr>
          <w:p w14:paraId="4418FC4C">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报价</w:t>
            </w:r>
          </w:p>
        </w:tc>
        <w:tc>
          <w:tcPr>
            <w:tcW w:w="6136" w:type="dxa"/>
            <w:vAlign w:val="center"/>
          </w:tcPr>
          <w:p w14:paraId="0861EE07">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rPr>
              <w:t>未超过</w:t>
            </w:r>
            <w:r>
              <w:rPr>
                <w:rFonts w:hint="eastAsia" w:ascii="宋体" w:hAnsi="宋体" w:eastAsia="宋体" w:cs="宋体"/>
                <w:color w:val="auto"/>
                <w:kern w:val="0"/>
                <w:sz w:val="24"/>
                <w:highlight w:val="none"/>
                <w:lang w:eastAsia="zh-CN"/>
              </w:rPr>
              <w:t>最高限价</w:t>
            </w:r>
            <w:r>
              <w:rPr>
                <w:rFonts w:hint="eastAsia" w:ascii="宋体" w:hAnsi="宋体" w:eastAsia="宋体" w:cs="宋体"/>
                <w:color w:val="auto"/>
                <w:kern w:val="0"/>
                <w:sz w:val="24"/>
                <w:highlight w:val="none"/>
              </w:rPr>
              <w:t>，且无选择性报价</w:t>
            </w:r>
          </w:p>
        </w:tc>
      </w:tr>
      <w:tr w14:paraId="36B1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61" w:type="dxa"/>
            <w:vAlign w:val="center"/>
          </w:tcPr>
          <w:p w14:paraId="72F8EB3B">
            <w:pPr>
              <w:adjustRightInd w:val="0"/>
              <w:snapToGrid w:val="0"/>
              <w:spacing w:line="540" w:lineRule="exact"/>
              <w:jc w:val="center"/>
              <w:rPr>
                <w:rFonts w:ascii="宋体" w:hAnsi="宋体" w:cs="宋体"/>
                <w:sz w:val="24"/>
                <w:lang w:val="zh-CN"/>
              </w:rPr>
            </w:pPr>
            <w:r>
              <w:rPr>
                <w:rFonts w:hint="eastAsia" w:ascii="宋体" w:hAnsi="宋体" w:eastAsia="宋体" w:cs="宋体"/>
                <w:color w:val="auto"/>
                <w:kern w:val="0"/>
                <w:sz w:val="24"/>
                <w:highlight w:val="none"/>
              </w:rPr>
              <w:t>3</w:t>
            </w:r>
          </w:p>
        </w:tc>
        <w:tc>
          <w:tcPr>
            <w:tcW w:w="2841" w:type="dxa"/>
            <w:vAlign w:val="center"/>
          </w:tcPr>
          <w:p w14:paraId="5654610D">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签署、盖章</w:t>
            </w:r>
          </w:p>
        </w:tc>
        <w:tc>
          <w:tcPr>
            <w:tcW w:w="6136" w:type="dxa"/>
            <w:vAlign w:val="center"/>
          </w:tcPr>
          <w:p w14:paraId="5B8693F6">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rPr>
              <w:t>是否按照</w:t>
            </w:r>
            <w:r>
              <w:rPr>
                <w:rFonts w:hint="eastAsia" w:ascii="宋体" w:hAnsi="宋体" w:eastAsia="宋体" w:cs="宋体"/>
                <w:color w:val="auto"/>
                <w:kern w:val="0"/>
                <w:sz w:val="24"/>
                <w:highlight w:val="none"/>
                <w:lang w:eastAsia="zh-CN"/>
              </w:rPr>
              <w:t>磋商文件</w:t>
            </w:r>
            <w:r>
              <w:rPr>
                <w:rFonts w:hint="eastAsia" w:ascii="宋体" w:hAnsi="宋体" w:eastAsia="宋体" w:cs="宋体"/>
                <w:color w:val="auto"/>
                <w:kern w:val="0"/>
                <w:sz w:val="24"/>
                <w:highlight w:val="none"/>
              </w:rPr>
              <w:t>要求签署、盖章</w:t>
            </w:r>
            <w:r>
              <w:rPr>
                <w:rFonts w:hint="eastAsia" w:ascii="宋体" w:hAnsi="宋体" w:eastAsia="宋体" w:cs="宋体"/>
                <w:color w:val="auto"/>
                <w:kern w:val="0"/>
                <w:sz w:val="24"/>
                <w:highlight w:val="none"/>
                <w:lang w:eastAsia="zh-CN"/>
              </w:rPr>
              <w:t>响应文件</w:t>
            </w:r>
          </w:p>
        </w:tc>
      </w:tr>
      <w:tr w14:paraId="7D445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761" w:type="dxa"/>
            <w:vAlign w:val="center"/>
          </w:tcPr>
          <w:p w14:paraId="41240EC0">
            <w:pPr>
              <w:adjustRightInd w:val="0"/>
              <w:snapToGrid w:val="0"/>
              <w:spacing w:line="540" w:lineRule="exact"/>
              <w:jc w:val="center"/>
              <w:rPr>
                <w:rFonts w:ascii="宋体" w:hAnsi="宋体" w:cs="宋体"/>
                <w:sz w:val="24"/>
                <w:lang w:val="zh-CN"/>
              </w:rPr>
            </w:pPr>
            <w:r>
              <w:rPr>
                <w:rFonts w:hint="eastAsia" w:ascii="宋体" w:hAnsi="宋体" w:eastAsia="宋体" w:cs="宋体"/>
                <w:color w:val="auto"/>
                <w:kern w:val="0"/>
                <w:sz w:val="24"/>
                <w:highlight w:val="none"/>
              </w:rPr>
              <w:t>4</w:t>
            </w:r>
          </w:p>
        </w:tc>
        <w:tc>
          <w:tcPr>
            <w:tcW w:w="2841" w:type="dxa"/>
            <w:vAlign w:val="center"/>
          </w:tcPr>
          <w:p w14:paraId="094BD781">
            <w:pPr>
              <w:adjustRightInd w:val="0"/>
              <w:snapToGrid w:val="0"/>
              <w:spacing w:line="540" w:lineRule="exact"/>
              <w:rPr>
                <w:rFonts w:ascii="宋体" w:hAnsi="宋体" w:cs="宋体"/>
                <w:sz w:val="24"/>
              </w:rPr>
            </w:pP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有效期</w:t>
            </w:r>
          </w:p>
        </w:tc>
        <w:tc>
          <w:tcPr>
            <w:tcW w:w="6136" w:type="dxa"/>
            <w:vAlign w:val="center"/>
          </w:tcPr>
          <w:p w14:paraId="39196500">
            <w:pPr>
              <w:adjustRightInd w:val="0"/>
              <w:snapToGrid w:val="0"/>
              <w:spacing w:line="540" w:lineRule="exact"/>
              <w:rPr>
                <w:rFonts w:ascii="宋体" w:hAnsi="宋体" w:cs="宋体"/>
                <w:sz w:val="24"/>
                <w:lang w:val="zh-CN"/>
              </w:rPr>
            </w:pPr>
            <w:r>
              <w:rPr>
                <w:rFonts w:hint="eastAsia" w:ascii="宋体" w:hAnsi="宋体" w:eastAsia="宋体" w:cs="宋体"/>
                <w:color w:val="auto"/>
                <w:kern w:val="0"/>
                <w:sz w:val="24"/>
                <w:highlight w:val="none"/>
                <w:lang w:val="zh-CN"/>
              </w:rPr>
              <w:t>不少于90个日历天（从递交</w:t>
            </w:r>
            <w:r>
              <w:rPr>
                <w:rFonts w:hint="eastAsia" w:ascii="宋体" w:hAnsi="宋体" w:eastAsia="宋体" w:cs="宋体"/>
                <w:color w:val="auto"/>
                <w:kern w:val="0"/>
                <w:sz w:val="24"/>
                <w:highlight w:val="none"/>
                <w:lang w:val="zh-CN" w:eastAsia="zh-CN"/>
              </w:rPr>
              <w:t>响应文件</w:t>
            </w:r>
            <w:r>
              <w:rPr>
                <w:rFonts w:hint="eastAsia" w:ascii="宋体" w:hAnsi="宋体" w:eastAsia="宋体" w:cs="宋体"/>
                <w:color w:val="auto"/>
                <w:kern w:val="0"/>
                <w:sz w:val="24"/>
                <w:highlight w:val="none"/>
                <w:lang w:val="zh-CN"/>
              </w:rPr>
              <w:t>截止之日起计算）</w:t>
            </w:r>
          </w:p>
        </w:tc>
      </w:tr>
    </w:tbl>
    <w:p w14:paraId="5AC7CF38">
      <w:pPr>
        <w:spacing w:line="520" w:lineRule="exact"/>
        <w:rPr>
          <w:rFonts w:hint="eastAsia" w:ascii="宋体" w:hAnsi="宋体" w:cs="宋体"/>
          <w:sz w:val="24"/>
        </w:rPr>
      </w:pPr>
    </w:p>
    <w:p w14:paraId="107E2C4E">
      <w:pPr>
        <w:spacing w:line="240" w:lineRule="auto"/>
        <w:rPr>
          <w:rFonts w:hint="eastAsia" w:ascii="宋体" w:hAnsi="宋体" w:cs="宋体"/>
          <w:sz w:val="24"/>
        </w:rPr>
      </w:pPr>
    </w:p>
    <w:p w14:paraId="663DEE01">
      <w:pPr>
        <w:spacing w:line="240" w:lineRule="auto"/>
        <w:rPr>
          <w:rFonts w:hint="eastAsia" w:ascii="宋体" w:hAnsi="宋体" w:cs="宋体"/>
          <w:sz w:val="24"/>
        </w:rPr>
      </w:pPr>
      <w:r>
        <w:rPr>
          <w:rFonts w:hint="eastAsia" w:ascii="宋体" w:hAnsi="宋体" w:cs="宋体"/>
          <w:sz w:val="24"/>
        </w:rPr>
        <w:t>满分：100分，综合评分法。各分项分值分配如下：</w:t>
      </w:r>
    </w:p>
    <w:p w14:paraId="7A83ADC2">
      <w:pPr>
        <w:pStyle w:val="2"/>
        <w:spacing w:line="360" w:lineRule="auto"/>
        <w:jc w:val="center"/>
        <w:rPr>
          <w:rFonts w:hint="eastAsia" w:ascii="宋体" w:hAnsi="宋体" w:cs="宋体"/>
          <w:sz w:val="24"/>
        </w:rPr>
      </w:pPr>
      <w:r>
        <w:rPr>
          <w:rFonts w:hint="eastAsia" w:ascii="宋体" w:hAnsi="宋体" w:cs="宋体"/>
          <w:b/>
          <w:sz w:val="32"/>
          <w:szCs w:val="32"/>
          <w:lang w:val="zh-CN"/>
        </w:rPr>
        <w:t>评标因素及权重分值表</w:t>
      </w:r>
    </w:p>
    <w:tbl>
      <w:tblPr>
        <w:tblStyle w:val="22"/>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1006"/>
        <w:gridCol w:w="945"/>
        <w:gridCol w:w="6667"/>
      </w:tblGrid>
      <w:tr w14:paraId="61FD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jc w:val="center"/>
        </w:trPr>
        <w:tc>
          <w:tcPr>
            <w:tcW w:w="1462" w:type="dxa"/>
            <w:gridSpan w:val="2"/>
            <w:noWrap w:val="0"/>
            <w:vAlign w:val="center"/>
          </w:tcPr>
          <w:p w14:paraId="54600595">
            <w:pPr>
              <w:pStyle w:val="2"/>
              <w:kinsoku w:val="0"/>
              <w:overflowPunct w:val="0"/>
              <w:spacing w:before="37" w:line="360" w:lineRule="auto"/>
              <w:ind w:left="63" w:right="63"/>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投标</w:t>
            </w:r>
            <w:r>
              <w:rPr>
                <w:rFonts w:hint="eastAsia" w:ascii="宋体" w:hAnsi="宋体" w:eastAsia="宋体" w:cs="宋体"/>
                <w:b/>
                <w:bCs/>
                <w:color w:val="auto"/>
                <w:sz w:val="24"/>
                <w:highlight w:val="none"/>
              </w:rPr>
              <w:t>报价</w:t>
            </w:r>
          </w:p>
          <w:p w14:paraId="264FA9A6">
            <w:pPr>
              <w:pStyle w:val="2"/>
              <w:kinsoku w:val="0"/>
              <w:overflowPunct w:val="0"/>
              <w:spacing w:before="37" w:line="360" w:lineRule="auto"/>
              <w:ind w:left="63" w:right="63"/>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得分</w:t>
            </w:r>
          </w:p>
        </w:tc>
        <w:tc>
          <w:tcPr>
            <w:tcW w:w="945" w:type="dxa"/>
            <w:noWrap w:val="0"/>
            <w:vAlign w:val="center"/>
          </w:tcPr>
          <w:p w14:paraId="714322E9">
            <w:pPr>
              <w:pStyle w:val="2"/>
              <w:kinsoku w:val="0"/>
              <w:overflowPunct w:val="0"/>
              <w:spacing w:before="37" w:line="360" w:lineRule="auto"/>
              <w:ind w:left="63" w:right="63"/>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15</w:t>
            </w:r>
            <w:r>
              <w:rPr>
                <w:rFonts w:hint="eastAsia" w:ascii="宋体" w:hAnsi="宋体" w:eastAsia="宋体" w:cs="宋体"/>
                <w:b/>
                <w:bCs/>
                <w:color w:val="auto"/>
                <w:sz w:val="24"/>
                <w:highlight w:val="none"/>
              </w:rPr>
              <w:t>分</w:t>
            </w:r>
          </w:p>
        </w:tc>
        <w:tc>
          <w:tcPr>
            <w:tcW w:w="6667" w:type="dxa"/>
            <w:noWrap w:val="0"/>
            <w:vAlign w:val="center"/>
          </w:tcPr>
          <w:p w14:paraId="4106DA4D">
            <w:pPr>
              <w:adjustRightInd w:val="0"/>
              <w:snapToGrid w:val="0"/>
              <w:spacing w:line="540" w:lineRule="exact"/>
              <w:rPr>
                <w:rFonts w:hint="default" w:ascii="宋体" w:hAnsi="宋体" w:eastAsia="宋体" w:cs="宋体"/>
                <w:color w:val="auto"/>
                <w:sz w:val="24"/>
                <w:highlight w:val="none"/>
                <w:lang w:val="en-US"/>
              </w:rPr>
            </w:pPr>
            <w:r>
              <w:rPr>
                <w:rFonts w:hint="eastAsia" w:ascii="宋体" w:hAnsi="宋体" w:eastAsia="宋体" w:cs="宋体"/>
                <w:color w:val="auto"/>
                <w:kern w:val="0"/>
                <w:sz w:val="24"/>
                <w:highlight w:val="none"/>
              </w:rPr>
              <w:t>满足</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lang w:eastAsia="zh-CN"/>
              </w:rPr>
              <w:t>文件</w:t>
            </w:r>
            <w:r>
              <w:rPr>
                <w:rFonts w:hint="eastAsia" w:ascii="宋体" w:hAnsi="宋体" w:eastAsia="宋体" w:cs="宋体"/>
                <w:color w:val="auto"/>
                <w:kern w:val="0"/>
                <w:sz w:val="24"/>
                <w:highlight w:val="none"/>
              </w:rPr>
              <w:t>要求且投标价格最低的</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报价为评标基准价，其价格分为</w:t>
            </w:r>
            <w:r>
              <w:rPr>
                <w:rFonts w:hint="eastAsia" w:ascii="宋体" w:hAnsi="宋体" w:cs="宋体"/>
                <w:color w:val="auto"/>
                <w:kern w:val="0"/>
                <w:sz w:val="24"/>
                <w:highlight w:val="none"/>
                <w:lang w:val="en-US" w:eastAsia="zh-CN"/>
              </w:rPr>
              <w:t>15</w:t>
            </w:r>
            <w:r>
              <w:rPr>
                <w:rFonts w:hint="eastAsia" w:ascii="宋体" w:hAnsi="宋体" w:eastAsia="宋体" w:cs="宋体"/>
                <w:color w:val="auto"/>
                <w:kern w:val="0"/>
                <w:sz w:val="24"/>
                <w:highlight w:val="none"/>
              </w:rPr>
              <w:t>分。高于评标基准价的</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的价格分按照下列公式计算：</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报价得分=（评标基准价/</w:t>
            </w:r>
            <w:r>
              <w:rPr>
                <w:rFonts w:hint="eastAsia" w:ascii="宋体" w:hAnsi="宋体" w:cs="宋体"/>
                <w:color w:val="auto"/>
                <w:kern w:val="0"/>
                <w:sz w:val="24"/>
                <w:highlight w:val="none"/>
                <w:lang w:eastAsia="zh-CN"/>
              </w:rPr>
              <w:t>磋商</w:t>
            </w:r>
            <w:r>
              <w:rPr>
                <w:rFonts w:hint="eastAsia" w:ascii="宋体" w:hAnsi="宋体" w:eastAsia="宋体" w:cs="宋体"/>
                <w:color w:val="auto"/>
                <w:kern w:val="0"/>
                <w:sz w:val="24"/>
                <w:highlight w:val="none"/>
              </w:rPr>
              <w:t>报价）×</w:t>
            </w:r>
            <w:r>
              <w:rPr>
                <w:rFonts w:hint="eastAsia" w:ascii="宋体" w:hAnsi="宋体" w:cs="宋体"/>
                <w:color w:val="auto"/>
                <w:kern w:val="0"/>
                <w:sz w:val="24"/>
                <w:highlight w:val="none"/>
                <w:lang w:val="en-US" w:eastAsia="zh-CN"/>
              </w:rPr>
              <w:t>15</w:t>
            </w:r>
          </w:p>
        </w:tc>
      </w:tr>
      <w:tr w14:paraId="06A8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1462" w:type="dxa"/>
            <w:gridSpan w:val="2"/>
            <w:noWrap w:val="0"/>
            <w:vAlign w:val="center"/>
          </w:tcPr>
          <w:p w14:paraId="5143A02F">
            <w:pPr>
              <w:pStyle w:val="2"/>
              <w:kinsoku w:val="0"/>
              <w:overflowPunct w:val="0"/>
              <w:spacing w:before="37" w:line="360" w:lineRule="auto"/>
              <w:ind w:left="63" w:leftChars="0" w:right="63" w:rightChars="0"/>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类似项目</w:t>
            </w:r>
          </w:p>
          <w:p w14:paraId="34DADC4F">
            <w:pPr>
              <w:pStyle w:val="2"/>
              <w:kinsoku w:val="0"/>
              <w:overflowPunct w:val="0"/>
              <w:spacing w:before="37" w:line="360" w:lineRule="auto"/>
              <w:ind w:left="63" w:leftChars="0" w:right="63" w:rightChars="0"/>
              <w:jc w:val="center"/>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业绩</w:t>
            </w:r>
          </w:p>
        </w:tc>
        <w:tc>
          <w:tcPr>
            <w:tcW w:w="945" w:type="dxa"/>
            <w:noWrap w:val="0"/>
            <w:vAlign w:val="center"/>
          </w:tcPr>
          <w:p w14:paraId="06643B7B">
            <w:pPr>
              <w:pStyle w:val="2"/>
              <w:kinsoku w:val="0"/>
              <w:overflowPunct w:val="0"/>
              <w:spacing w:before="37" w:line="360" w:lineRule="auto"/>
              <w:ind w:left="63" w:leftChars="0" w:right="63" w:rightChars="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10</w:t>
            </w:r>
            <w:r>
              <w:rPr>
                <w:rFonts w:hint="eastAsia" w:ascii="宋体" w:hAnsi="宋体" w:eastAsia="宋体" w:cs="宋体"/>
                <w:b/>
                <w:bCs/>
                <w:color w:val="auto"/>
                <w:sz w:val="24"/>
                <w:highlight w:val="none"/>
              </w:rPr>
              <w:t>分</w:t>
            </w:r>
          </w:p>
        </w:tc>
        <w:tc>
          <w:tcPr>
            <w:tcW w:w="6667" w:type="dxa"/>
            <w:noWrap w:val="0"/>
            <w:vAlign w:val="center"/>
          </w:tcPr>
          <w:p w14:paraId="37F239B7">
            <w:pPr>
              <w:pStyle w:val="2"/>
              <w:kinsoku w:val="0"/>
              <w:overflowPunct w:val="0"/>
              <w:spacing w:before="37" w:line="360" w:lineRule="auto"/>
              <w:ind w:right="63" w:rightChars="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提供近</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月至今)类似项目业绩的合同，须在磋商响应文件中提供合同复印件，复印件需加盖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公章，每</w:t>
            </w:r>
            <w:r>
              <w:rPr>
                <w:rFonts w:hint="eastAsia" w:cs="宋体"/>
                <w:color w:val="auto"/>
                <w:sz w:val="24"/>
                <w:highlight w:val="none"/>
                <w:lang w:val="en-US" w:eastAsia="zh-CN"/>
              </w:rPr>
              <w:t>有一</w:t>
            </w:r>
            <w:r>
              <w:rPr>
                <w:rFonts w:hint="eastAsia" w:ascii="宋体" w:hAnsi="宋体" w:eastAsia="宋体" w:cs="宋体"/>
                <w:color w:val="auto"/>
                <w:sz w:val="24"/>
                <w:highlight w:val="none"/>
              </w:rPr>
              <w:t>个业绩合同得</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分，满分</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w:t>
            </w:r>
          </w:p>
        </w:tc>
      </w:tr>
      <w:tr w14:paraId="4AD9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456" w:type="dxa"/>
            <w:vMerge w:val="restart"/>
            <w:noWrap w:val="0"/>
            <w:vAlign w:val="center"/>
          </w:tcPr>
          <w:p w14:paraId="7CD63D7F">
            <w:pPr>
              <w:pStyle w:val="2"/>
              <w:kinsoku w:val="0"/>
              <w:overflowPunct w:val="0"/>
              <w:spacing w:before="37" w:line="360" w:lineRule="auto"/>
              <w:ind w:left="63" w:right="63"/>
              <w:rPr>
                <w:rFonts w:hint="eastAsia" w:ascii="宋体" w:hAnsi="宋体" w:eastAsia="宋体" w:cs="宋体"/>
                <w:b/>
                <w:bCs/>
                <w:color w:val="auto"/>
                <w:sz w:val="24"/>
                <w:highlight w:val="none"/>
                <w:lang w:eastAsia="zh-CN"/>
              </w:rPr>
            </w:pPr>
            <w:r>
              <w:rPr>
                <w:rFonts w:hint="eastAsia" w:cs="宋体"/>
                <w:b/>
                <w:bCs/>
                <w:color w:val="auto"/>
                <w:sz w:val="24"/>
                <w:highlight w:val="none"/>
                <w:lang w:eastAsia="zh-CN"/>
              </w:rPr>
              <w:t>实施方案</w:t>
            </w:r>
          </w:p>
        </w:tc>
        <w:tc>
          <w:tcPr>
            <w:tcW w:w="1006" w:type="dxa"/>
            <w:noWrap w:val="0"/>
            <w:vAlign w:val="center"/>
          </w:tcPr>
          <w:p w14:paraId="3F22AC63">
            <w:pPr>
              <w:pStyle w:val="2"/>
              <w:kinsoku w:val="0"/>
              <w:overflowPunct w:val="0"/>
              <w:spacing w:before="37" w:line="360" w:lineRule="auto"/>
              <w:ind w:left="63" w:right="63"/>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监理大</w:t>
            </w:r>
            <w:r>
              <w:rPr>
                <w:rFonts w:hint="eastAsia" w:cs="宋体"/>
                <w:b/>
                <w:bCs/>
                <w:color w:val="auto"/>
                <w:sz w:val="24"/>
                <w:highlight w:val="none"/>
                <w:lang w:val="en-US" w:eastAsia="zh-CN"/>
              </w:rPr>
              <w:t xml:space="preserve"> </w:t>
            </w:r>
            <w:r>
              <w:rPr>
                <w:rFonts w:hint="eastAsia" w:ascii="宋体" w:hAnsi="宋体" w:eastAsia="宋体" w:cs="宋体"/>
                <w:b/>
                <w:bCs/>
                <w:color w:val="auto"/>
                <w:sz w:val="24"/>
                <w:highlight w:val="none"/>
                <w:lang w:eastAsia="zh-CN"/>
              </w:rPr>
              <w:t>纲</w:t>
            </w:r>
          </w:p>
        </w:tc>
        <w:tc>
          <w:tcPr>
            <w:tcW w:w="945" w:type="dxa"/>
            <w:noWrap w:val="0"/>
            <w:vAlign w:val="center"/>
          </w:tcPr>
          <w:p w14:paraId="272451BC">
            <w:pPr>
              <w:pStyle w:val="2"/>
              <w:keepNext w:val="0"/>
              <w:keepLines w:val="0"/>
              <w:pageBreakBefore w:val="0"/>
              <w:widowControl w:val="0"/>
              <w:kinsoku w:val="0"/>
              <w:wordWrap/>
              <w:overflowPunct w:val="0"/>
              <w:topLinePunct w:val="0"/>
              <w:autoSpaceDE/>
              <w:autoSpaceDN/>
              <w:bidi w:val="0"/>
              <w:adjustRightInd/>
              <w:snapToGrid/>
              <w:spacing w:before="37" w:line="420" w:lineRule="exact"/>
              <w:ind w:left="63" w:right="62"/>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6</w:t>
            </w: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分</w:t>
            </w:r>
          </w:p>
        </w:tc>
        <w:tc>
          <w:tcPr>
            <w:tcW w:w="6667" w:type="dxa"/>
            <w:noWrap w:val="0"/>
            <w:vAlign w:val="center"/>
          </w:tcPr>
          <w:p w14:paraId="41E51D66">
            <w:pPr>
              <w:numPr>
                <w:ilvl w:val="0"/>
                <w:numId w:val="0"/>
              </w:numPr>
              <w:spacing w:line="400" w:lineRule="exac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rPr>
              <w:t>监理工作目标及监理依据</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6分</w:t>
            </w:r>
            <w:r>
              <w:rPr>
                <w:rFonts w:hint="eastAsia" w:asciiTheme="minorEastAsia" w:hAnsiTheme="minorEastAsia" w:eastAsiaTheme="minorEastAsia" w:cstheme="minorEastAsia"/>
                <w:b/>
                <w:bCs/>
                <w:sz w:val="24"/>
                <w:szCs w:val="24"/>
                <w:highlight w:val="none"/>
                <w:lang w:eastAsia="zh-CN"/>
              </w:rPr>
              <w:t>）</w:t>
            </w:r>
          </w:p>
          <w:p w14:paraId="7522F068">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w:t>
            </w:r>
            <w:r>
              <w:rPr>
                <w:rFonts w:hint="eastAsia" w:asciiTheme="minorEastAsia" w:hAnsiTheme="minorEastAsia" w:eastAsiaTheme="minorEastAsia" w:cstheme="minorEastAsia"/>
                <w:sz w:val="24"/>
                <w:szCs w:val="24"/>
                <w:highlight w:val="none"/>
                <w:lang w:val="en-US" w:eastAsia="zh-CN"/>
              </w:rPr>
              <w:t>的</w:t>
            </w:r>
            <w:r>
              <w:rPr>
                <w:rFonts w:hint="eastAsia" w:asciiTheme="minorEastAsia" w:hAnsiTheme="minorEastAsia" w:eastAsiaTheme="minorEastAsia" w:cstheme="minorEastAsia"/>
                <w:sz w:val="24"/>
                <w:szCs w:val="24"/>
                <w:highlight w:val="none"/>
              </w:rPr>
              <w:t xml:space="preserve">计6分； </w:t>
            </w:r>
          </w:p>
          <w:p w14:paraId="733C15E4">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②内容完整但条理不清晰的或内容宽泛，计4分； </w:t>
            </w:r>
          </w:p>
          <w:p w14:paraId="31641DC6">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③只有框架，无实质性内容的或只有简单叙述，计2分； </w:t>
            </w:r>
          </w:p>
          <w:p w14:paraId="7B9E5526">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293E3BD0">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sz w:val="24"/>
                <w:szCs w:val="24"/>
                <w:highlight w:val="none"/>
              </w:rPr>
              <w:t>质量控制措施（6分）</w:t>
            </w:r>
          </w:p>
          <w:p w14:paraId="7683B5D7">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①内容详细，条理性清晰，具有针对性，切合本项目情况，计6分； </w:t>
            </w:r>
          </w:p>
          <w:p w14:paraId="315D4520">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②内容完整但条理不清晰的或内容宽泛，计4分； </w:t>
            </w:r>
          </w:p>
          <w:p w14:paraId="2D6D68F0">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③只有框架，无实质性内容的或只有简单叙述，计2分； </w:t>
            </w:r>
          </w:p>
          <w:p w14:paraId="7CF88296">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19481253">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3.</w:t>
            </w:r>
            <w:r>
              <w:rPr>
                <w:rFonts w:hint="eastAsia" w:asciiTheme="minorEastAsia" w:hAnsiTheme="minorEastAsia" w:eastAsiaTheme="minorEastAsia" w:cstheme="minorEastAsia"/>
                <w:b/>
                <w:bCs/>
                <w:sz w:val="24"/>
                <w:szCs w:val="24"/>
                <w:highlight w:val="none"/>
              </w:rPr>
              <w:t>进度控制措施（</w:t>
            </w:r>
            <w:r>
              <w:rPr>
                <w:rFonts w:hint="eastAsia" w:asciiTheme="minorEastAsia" w:hAnsiTheme="minorEastAsia" w:eastAsia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分）</w:t>
            </w:r>
          </w:p>
          <w:p w14:paraId="406B5CE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①内容详细，条理性清晰，具有针对性，切合本项目情况，计6分； </w:t>
            </w:r>
          </w:p>
          <w:p w14:paraId="5C6CBA77">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②内容完整但条理不清晰的或内容宽泛，计4分； </w:t>
            </w:r>
          </w:p>
          <w:p w14:paraId="278EC64B">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③只有框架，无实质性内容的或只有简单叙述，计2分； </w:t>
            </w:r>
          </w:p>
          <w:p w14:paraId="7B231649">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42C80EB8">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4.</w:t>
            </w:r>
            <w:r>
              <w:rPr>
                <w:rFonts w:hint="eastAsia" w:asciiTheme="minorEastAsia" w:hAnsiTheme="minorEastAsia" w:eastAsiaTheme="minorEastAsia" w:cstheme="minorEastAsia"/>
                <w:b/>
                <w:bCs/>
                <w:sz w:val="24"/>
                <w:szCs w:val="24"/>
                <w:highlight w:val="none"/>
              </w:rPr>
              <w:t>合同管理及信息管理（</w:t>
            </w:r>
            <w:r>
              <w:rPr>
                <w:rFonts w:hint="eastAsia" w:asciiTheme="minorEastAsia" w:hAnsiTheme="minorEastAsia" w:eastAsia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分）</w:t>
            </w:r>
          </w:p>
          <w:p w14:paraId="67B24F27">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①内容详细，条理性清晰，具有针对性，切合本项目情况，计6分； </w:t>
            </w:r>
          </w:p>
          <w:p w14:paraId="7360D163">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②内容完整但条理不清晰的或内容宽泛，计4分； </w:t>
            </w:r>
          </w:p>
          <w:p w14:paraId="299B89F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③只有框架，无实质性内容的或只有简单叙述，计2分； </w:t>
            </w:r>
          </w:p>
          <w:p w14:paraId="587CDAC3">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274FD2EC">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5.</w:t>
            </w:r>
            <w:r>
              <w:rPr>
                <w:rFonts w:hint="eastAsia" w:asciiTheme="minorEastAsia" w:hAnsiTheme="minorEastAsia" w:eastAsiaTheme="minorEastAsia" w:cstheme="minorEastAsia"/>
                <w:b/>
                <w:bCs/>
                <w:sz w:val="24"/>
                <w:szCs w:val="24"/>
                <w:highlight w:val="none"/>
              </w:rPr>
              <w:t>安全文明施工保障措施（</w:t>
            </w: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分）</w:t>
            </w:r>
          </w:p>
          <w:p w14:paraId="51BD8D2E">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①内容详细，条理性清晰，具有针对性，切合本项目情况，计</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分； </w:t>
            </w:r>
          </w:p>
          <w:p w14:paraId="57ACD7FF">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②内容完整但条理不清晰的或内容宽泛，计</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分； </w:t>
            </w:r>
          </w:p>
          <w:p w14:paraId="74CBA9E5">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③只有框架，无实质性内容的或只有简单叙述，计</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分； </w:t>
            </w:r>
          </w:p>
          <w:p w14:paraId="396360E8">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253A677B">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重点部位及关键工序的控制方法（</w:t>
            </w: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分）；</w:t>
            </w:r>
          </w:p>
          <w:p w14:paraId="6628FC0D">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①内容详细，条理性清晰，具有针对性，切合本项目情况，计</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分； </w:t>
            </w:r>
          </w:p>
          <w:p w14:paraId="006CD90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②内容完整但条理不清晰的或内容宽泛，计</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分； </w:t>
            </w:r>
          </w:p>
          <w:p w14:paraId="74B55989">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③只有框架，无实质性内容的或只有简单叙述，计</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分； </w:t>
            </w:r>
          </w:p>
          <w:p w14:paraId="4C025281">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2EE92401">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监理工作流程（</w:t>
            </w: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分）</w:t>
            </w:r>
          </w:p>
          <w:p w14:paraId="65E7504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①内容详细，条理性清晰，具有针对性，切合本项目情况，计</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分； </w:t>
            </w:r>
          </w:p>
          <w:p w14:paraId="63E847FB">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②内容完整但条理不清晰的或内容宽泛，计</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分； </w:t>
            </w:r>
          </w:p>
          <w:p w14:paraId="4DCF93A5">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③只有框架，无实质性内容的或只有简单叙述，计</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分； </w:t>
            </w:r>
          </w:p>
          <w:p w14:paraId="10E255C3">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45E2A3C4">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8.</w:t>
            </w:r>
            <w:r>
              <w:rPr>
                <w:rFonts w:hint="eastAsia" w:asciiTheme="minorEastAsia" w:hAnsiTheme="minorEastAsia" w:eastAsiaTheme="minorEastAsia" w:cstheme="minorEastAsia"/>
                <w:b/>
                <w:bCs/>
                <w:sz w:val="24"/>
                <w:szCs w:val="24"/>
                <w:highlight w:val="none"/>
              </w:rPr>
              <w:t>监理工作制度（</w:t>
            </w: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分）</w:t>
            </w:r>
          </w:p>
          <w:p w14:paraId="75099062">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①内容详细，条理性清晰，具有针对性，切合本项目情况，计</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分； </w:t>
            </w:r>
          </w:p>
          <w:p w14:paraId="231E64A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②内容完整但条理不清晰的或内容宽泛，计</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分； </w:t>
            </w:r>
          </w:p>
          <w:p w14:paraId="39F49F98">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③只有框架，无实质性内容的或只有简单叙述，计</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分； </w:t>
            </w:r>
          </w:p>
          <w:p w14:paraId="177D33EC">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7D9B48E6">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kern w:val="2"/>
                <w:sz w:val="24"/>
                <w:szCs w:val="24"/>
                <w:highlight w:val="none"/>
                <w:lang w:val="en-US" w:eastAsia="zh-CN" w:bidi="ar-SA"/>
              </w:rPr>
              <w:t>9.</w:t>
            </w:r>
            <w:r>
              <w:rPr>
                <w:rFonts w:hint="eastAsia" w:asciiTheme="minorEastAsia" w:hAnsiTheme="minorEastAsia" w:eastAsiaTheme="minorEastAsia" w:cstheme="minorEastAsia"/>
                <w:b/>
                <w:bCs/>
                <w:sz w:val="24"/>
                <w:szCs w:val="24"/>
                <w:highlight w:val="none"/>
              </w:rPr>
              <w:t>监理工作的管理及保修阶段的服务工作（</w:t>
            </w:r>
            <w:r>
              <w:rPr>
                <w:rFonts w:hint="eastAsia" w:asciiTheme="minorEastAsia" w:hAnsiTheme="minorEastAsia" w:eastAsiaTheme="minorEastAsia" w:cstheme="minorEastAsia"/>
                <w:b/>
                <w:bCs/>
                <w:sz w:val="24"/>
                <w:szCs w:val="24"/>
                <w:highlight w:val="none"/>
                <w:lang w:val="en-US" w:eastAsia="zh-CN"/>
              </w:rPr>
              <w:t>7</w:t>
            </w:r>
            <w:r>
              <w:rPr>
                <w:rFonts w:hint="eastAsia" w:asciiTheme="minorEastAsia" w:hAnsiTheme="minorEastAsia" w:eastAsiaTheme="minorEastAsia" w:cstheme="minorEastAsia"/>
                <w:b/>
                <w:bCs/>
                <w:sz w:val="24"/>
                <w:szCs w:val="24"/>
                <w:highlight w:val="none"/>
              </w:rPr>
              <w:t>分）</w:t>
            </w:r>
          </w:p>
          <w:p w14:paraId="37244707">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①内容详细，条理性清晰，具有针对性，切合本项目情况，计</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 xml:space="preserve">分； </w:t>
            </w:r>
          </w:p>
          <w:p w14:paraId="1DE119DE">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②内容完整但条理不清晰的或内容宽泛，计</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分； </w:t>
            </w:r>
          </w:p>
          <w:p w14:paraId="53539562">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③只有框架，无实质性内容的或只有简单叙述，计</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分； </w:t>
            </w:r>
          </w:p>
          <w:p w14:paraId="24112EF1">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④未提供相关内容的不计分。</w:t>
            </w:r>
          </w:p>
          <w:p w14:paraId="466B8CB5">
            <w:pPr>
              <w:numPr>
                <w:ilvl w:val="0"/>
                <w:numId w:val="0"/>
              </w:numPr>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10.</w:t>
            </w:r>
            <w:r>
              <w:rPr>
                <w:rFonts w:hint="eastAsia" w:asciiTheme="minorEastAsia" w:hAnsiTheme="minorEastAsia" w:eastAsiaTheme="minorEastAsia" w:cstheme="minorEastAsia"/>
                <w:b/>
                <w:bCs/>
                <w:sz w:val="24"/>
                <w:szCs w:val="24"/>
                <w:highlight w:val="none"/>
              </w:rPr>
              <w:t>拟投入试验和检测仪器设备情况配置合理，设备量充足、能够满足工程需要。（</w:t>
            </w:r>
            <w:r>
              <w:rPr>
                <w:rFonts w:hint="eastAsia" w:asciiTheme="minorEastAsia" w:hAnsiTheme="minorEastAsia" w:eastAsiaTheme="minorEastAsia" w:cstheme="minorEastAsia"/>
                <w:b/>
                <w:bCs/>
                <w:sz w:val="24"/>
                <w:szCs w:val="24"/>
                <w:highlight w:val="none"/>
                <w:lang w:val="en-US" w:eastAsia="zh-CN"/>
              </w:rPr>
              <w:t>6</w:t>
            </w:r>
            <w:r>
              <w:rPr>
                <w:rFonts w:hint="eastAsia" w:asciiTheme="minorEastAsia" w:hAnsiTheme="minorEastAsia" w:eastAsiaTheme="minorEastAsia" w:cstheme="minorEastAsia"/>
                <w:b/>
                <w:bCs/>
                <w:sz w:val="24"/>
                <w:szCs w:val="24"/>
                <w:highlight w:val="none"/>
              </w:rPr>
              <w:t>分）</w:t>
            </w:r>
          </w:p>
          <w:p w14:paraId="0018B05E">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①内容详细，条理性清晰，具有针对性，切合本项目情况，计6分； </w:t>
            </w:r>
          </w:p>
          <w:p w14:paraId="5833DD32">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②内容完整但条理不清晰的或内容宽泛，计4分； </w:t>
            </w:r>
          </w:p>
          <w:p w14:paraId="065D058A">
            <w:pPr>
              <w:numPr>
                <w:ilvl w:val="0"/>
                <w:numId w:val="0"/>
              </w:num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③只有框架，无实质性内容的或只有简单叙述，计2分； </w:t>
            </w:r>
          </w:p>
          <w:p w14:paraId="28C9D068">
            <w:pPr>
              <w:pStyle w:val="2"/>
              <w:keepNext w:val="0"/>
              <w:keepLines w:val="0"/>
              <w:pageBreakBefore w:val="0"/>
              <w:widowControl w:val="0"/>
              <w:kinsoku w:val="0"/>
              <w:wordWrap/>
              <w:overflowPunct w:val="0"/>
              <w:topLinePunct w:val="0"/>
              <w:autoSpaceDE/>
              <w:autoSpaceDN/>
              <w:bidi w:val="0"/>
              <w:adjustRightInd/>
              <w:snapToGrid/>
              <w:spacing w:before="37" w:line="420" w:lineRule="exact"/>
              <w:ind w:right="62"/>
              <w:textAlignment w:val="auto"/>
              <w:rPr>
                <w:rFonts w:hint="eastAsia" w:ascii="宋体" w:hAnsi="宋体" w:eastAsia="宋体" w:cs="宋体"/>
                <w:color w:val="auto"/>
                <w:sz w:val="24"/>
                <w:highlight w:val="none"/>
              </w:rPr>
            </w:pPr>
            <w:r>
              <w:rPr>
                <w:rFonts w:hint="eastAsia" w:asciiTheme="minorEastAsia" w:hAnsiTheme="minorEastAsia" w:eastAsiaTheme="minorEastAsia" w:cstheme="minorEastAsia"/>
                <w:sz w:val="24"/>
                <w:szCs w:val="24"/>
                <w:highlight w:val="none"/>
              </w:rPr>
              <w:t>④未提供相关内容的不计分。</w:t>
            </w:r>
          </w:p>
        </w:tc>
      </w:tr>
      <w:tr w14:paraId="1C95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jc w:val="center"/>
        </w:trPr>
        <w:tc>
          <w:tcPr>
            <w:tcW w:w="456" w:type="dxa"/>
            <w:vMerge w:val="continue"/>
            <w:noWrap w:val="0"/>
            <w:vAlign w:val="center"/>
          </w:tcPr>
          <w:p w14:paraId="48153E2C">
            <w:pPr>
              <w:pStyle w:val="2"/>
              <w:kinsoku w:val="0"/>
              <w:overflowPunct w:val="0"/>
              <w:spacing w:before="37" w:line="360" w:lineRule="auto"/>
              <w:ind w:left="63" w:right="63"/>
              <w:rPr>
                <w:rFonts w:hint="eastAsia" w:ascii="宋体" w:hAnsi="宋体" w:eastAsia="宋体" w:cs="宋体"/>
                <w:b/>
                <w:bCs/>
                <w:color w:val="auto"/>
                <w:sz w:val="24"/>
                <w:highlight w:val="none"/>
                <w:lang w:eastAsia="zh-CN"/>
              </w:rPr>
            </w:pPr>
          </w:p>
        </w:tc>
        <w:tc>
          <w:tcPr>
            <w:tcW w:w="1006" w:type="dxa"/>
            <w:noWrap w:val="0"/>
            <w:vAlign w:val="center"/>
          </w:tcPr>
          <w:p w14:paraId="695D8068">
            <w:pPr>
              <w:pStyle w:val="2"/>
              <w:kinsoku w:val="0"/>
              <w:overflowPunct w:val="0"/>
              <w:spacing w:before="37" w:line="360" w:lineRule="auto"/>
              <w:ind w:left="63" w:right="63"/>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现场监理人员配</w:t>
            </w:r>
            <w:r>
              <w:rPr>
                <w:rFonts w:hint="eastAsia" w:cs="宋体"/>
                <w:b/>
                <w:bCs/>
                <w:color w:val="auto"/>
                <w:sz w:val="24"/>
                <w:highlight w:val="none"/>
                <w:lang w:val="en-US" w:eastAsia="zh-CN"/>
              </w:rPr>
              <w:t xml:space="preserve"> </w:t>
            </w:r>
            <w:r>
              <w:rPr>
                <w:rFonts w:hint="eastAsia" w:ascii="宋体" w:hAnsi="宋体" w:eastAsia="宋体" w:cs="宋体"/>
                <w:b/>
                <w:bCs/>
                <w:color w:val="auto"/>
                <w:sz w:val="24"/>
                <w:highlight w:val="none"/>
                <w:lang w:eastAsia="zh-CN"/>
              </w:rPr>
              <w:t>备</w:t>
            </w:r>
          </w:p>
        </w:tc>
        <w:tc>
          <w:tcPr>
            <w:tcW w:w="945" w:type="dxa"/>
            <w:noWrap w:val="0"/>
            <w:vAlign w:val="center"/>
          </w:tcPr>
          <w:p w14:paraId="0A47AE94">
            <w:pPr>
              <w:pStyle w:val="2"/>
              <w:keepNext w:val="0"/>
              <w:keepLines w:val="0"/>
              <w:pageBreakBefore w:val="0"/>
              <w:widowControl w:val="0"/>
              <w:kinsoku w:val="0"/>
              <w:wordWrap/>
              <w:overflowPunct w:val="0"/>
              <w:topLinePunct w:val="0"/>
              <w:autoSpaceDE/>
              <w:autoSpaceDN/>
              <w:bidi w:val="0"/>
              <w:adjustRightInd/>
              <w:snapToGrid/>
              <w:spacing w:before="37" w:line="420" w:lineRule="exact"/>
              <w:ind w:left="63" w:right="62"/>
              <w:textAlignment w:val="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10分</w:t>
            </w:r>
          </w:p>
        </w:tc>
        <w:tc>
          <w:tcPr>
            <w:tcW w:w="6667" w:type="dxa"/>
            <w:noWrap w:val="0"/>
            <w:vAlign w:val="center"/>
          </w:tcPr>
          <w:p w14:paraId="0557C90D">
            <w:pPr>
              <w:pStyle w:val="2"/>
              <w:keepNext w:val="0"/>
              <w:keepLines w:val="0"/>
              <w:pageBreakBefore w:val="0"/>
              <w:widowControl w:val="0"/>
              <w:kinsoku w:val="0"/>
              <w:wordWrap/>
              <w:overflowPunct w:val="0"/>
              <w:topLinePunct w:val="0"/>
              <w:autoSpaceDE/>
              <w:autoSpaceDN/>
              <w:bidi w:val="0"/>
              <w:adjustRightInd/>
              <w:snapToGrid/>
              <w:spacing w:before="37" w:line="420" w:lineRule="exact"/>
              <w:ind w:right="6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1.拟派本项目总监具有高级工程师职称得4分；</w:t>
            </w:r>
          </w:p>
          <w:p w14:paraId="5A195A7F">
            <w:pPr>
              <w:pStyle w:val="2"/>
              <w:keepNext w:val="0"/>
              <w:keepLines w:val="0"/>
              <w:pageBreakBefore w:val="0"/>
              <w:widowControl w:val="0"/>
              <w:kinsoku w:val="0"/>
              <w:wordWrap/>
              <w:overflowPunct w:val="0"/>
              <w:topLinePunct w:val="0"/>
              <w:autoSpaceDE/>
              <w:autoSpaceDN/>
              <w:bidi w:val="0"/>
              <w:adjustRightInd/>
              <w:snapToGrid/>
              <w:spacing w:before="37" w:line="420" w:lineRule="exact"/>
              <w:ind w:right="6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2.拟派本项目专业监理人员配备齐全，包含土建、给排水、装饰、电气照明、消防专业。配备齐全得6分，未配备</w:t>
            </w:r>
            <w:r>
              <w:rPr>
                <w:rFonts w:hint="eastAsia" w:ascii="宋体" w:hAnsi="宋体" w:cs="宋体"/>
                <w:color w:val="auto"/>
                <w:sz w:val="24"/>
                <w:highlight w:val="none"/>
                <w:lang w:val="en-US" w:eastAsia="zh-CN"/>
              </w:rPr>
              <w:t>齐全</w:t>
            </w:r>
            <w:r>
              <w:rPr>
                <w:rFonts w:hint="eastAsia" w:ascii="宋体" w:hAnsi="宋体" w:eastAsia="宋体" w:cs="宋体"/>
                <w:color w:val="auto"/>
                <w:sz w:val="24"/>
                <w:highlight w:val="none"/>
              </w:rPr>
              <w:t>的不计分。</w:t>
            </w:r>
          </w:p>
        </w:tc>
      </w:tr>
    </w:tbl>
    <w:p w14:paraId="3F10DF69">
      <w:pPr>
        <w:widowControl/>
        <w:autoSpaceDE w:val="0"/>
        <w:autoSpaceDN w:val="0"/>
        <w:spacing w:line="480" w:lineRule="exact"/>
        <w:textAlignment w:val="bottom"/>
        <w:rPr>
          <w:rFonts w:ascii="宋体" w:hAnsi="宋体"/>
          <w:sz w:val="24"/>
        </w:rPr>
      </w:pPr>
      <w:r>
        <w:rPr>
          <w:rFonts w:hint="eastAsia" w:ascii="宋体" w:hAnsi="宋体"/>
          <w:sz w:val="24"/>
        </w:rPr>
        <w:t>注：（1）评委打分超过得分界限或未按本方法赋分时，该评委的打分按废票处理。</w:t>
      </w:r>
    </w:p>
    <w:p w14:paraId="361D3252">
      <w:pPr>
        <w:spacing w:line="480" w:lineRule="exact"/>
        <w:ind w:firstLine="480" w:firstLineChars="200"/>
        <w:rPr>
          <w:rFonts w:ascii="宋体" w:hAnsi="宋体" w:cs="宋体"/>
          <w:sz w:val="24"/>
        </w:rPr>
      </w:pPr>
      <w:r>
        <w:rPr>
          <w:rFonts w:hint="eastAsia" w:ascii="宋体" w:hAnsi="宋体"/>
          <w:sz w:val="24"/>
        </w:rPr>
        <w:t>（2）各种计算数字均保 留两位小数，第三位“四舍五入”。</w:t>
      </w:r>
    </w:p>
    <w:p w14:paraId="1A28865D">
      <w:pPr>
        <w:spacing w:line="480" w:lineRule="exact"/>
        <w:ind w:firstLine="480" w:firstLineChars="200"/>
        <w:rPr>
          <w:rFonts w:ascii="宋体" w:hAnsi="宋体" w:cs="宋体"/>
          <w:sz w:val="24"/>
        </w:rPr>
      </w:pPr>
      <w:r>
        <w:rPr>
          <w:rFonts w:hint="eastAsia" w:ascii="宋体" w:hAnsi="宋体" w:cs="宋体"/>
          <w:sz w:val="24"/>
        </w:rPr>
        <w:t>4.6磋商小组对磋商响应文件中的内容有疑问的部分，可以向供应商质询并要求该供应商做出书面澄清，但不得对磋商响应文件做实质性修改，质询工作应当由全体磋商小组成员参加。对于实质性不符合竞争性磋商文件的，磋商小组有权予以拒绝。质询工作应做书面记录，采购人代表、磋商小组成员及供应商应在记录上签字确认。</w:t>
      </w:r>
    </w:p>
    <w:p w14:paraId="55123BE4">
      <w:pPr>
        <w:spacing w:line="480" w:lineRule="exact"/>
        <w:ind w:firstLine="480" w:firstLineChars="200"/>
        <w:rPr>
          <w:rFonts w:ascii="宋体" w:hAnsi="宋体" w:cs="宋体"/>
          <w:sz w:val="24"/>
        </w:rPr>
      </w:pPr>
      <w:r>
        <w:rPr>
          <w:rFonts w:hint="eastAsia" w:ascii="宋体" w:hAnsi="宋体" w:cs="宋体"/>
          <w:sz w:val="24"/>
        </w:rPr>
        <w:t>4.6磋商小组审查供应商的磋商响应文件，磋商响应文件中的报价为磋商第一次报价。第二轮供应商磋商报价满足磋商文件要求的技术标准及要求，该供应商进行第二次报价（即为供应商最终承诺报价）。</w:t>
      </w:r>
    </w:p>
    <w:p w14:paraId="3403A027">
      <w:pPr>
        <w:spacing w:line="480" w:lineRule="exact"/>
        <w:ind w:firstLine="482" w:firstLineChars="200"/>
        <w:rPr>
          <w:rFonts w:ascii="宋体" w:hAnsi="宋体"/>
          <w:b/>
          <w:bCs/>
          <w:sz w:val="24"/>
        </w:rPr>
      </w:pPr>
      <w:r>
        <w:rPr>
          <w:rFonts w:hint="eastAsia" w:ascii="宋体" w:hAnsi="宋体"/>
          <w:b/>
          <w:bCs/>
          <w:sz w:val="24"/>
        </w:rPr>
        <w:t>5、特殊情况处理：</w:t>
      </w:r>
    </w:p>
    <w:p w14:paraId="30E58350">
      <w:pPr>
        <w:spacing w:line="480" w:lineRule="exact"/>
        <w:ind w:firstLine="480" w:firstLineChars="200"/>
        <w:rPr>
          <w:rFonts w:ascii="宋体" w:hAnsi="宋体"/>
          <w:sz w:val="24"/>
        </w:rPr>
      </w:pPr>
      <w:r>
        <w:rPr>
          <w:rFonts w:hint="eastAsia" w:ascii="宋体" w:hAnsi="宋体"/>
          <w:sz w:val="24"/>
        </w:rPr>
        <w:t>5.1若出现综合得分相同的，最后磋商报价得分高者为第一成交候选供应商，若综合评分和最后磋商报价的得分均相同的，技术响应得分高者为第一成交候选供应商，若上述两项得分相同，则由全体磋商小组成员无记名投票，得票高者为第一成交候选供应商。</w:t>
      </w:r>
    </w:p>
    <w:p w14:paraId="2BD6B5A5">
      <w:pPr>
        <w:spacing w:line="480" w:lineRule="exact"/>
        <w:ind w:firstLine="480" w:firstLineChars="200"/>
        <w:rPr>
          <w:rFonts w:ascii="宋体" w:hAnsi="宋体"/>
          <w:sz w:val="24"/>
        </w:rPr>
      </w:pPr>
      <w:r>
        <w:rPr>
          <w:rFonts w:hint="eastAsia" w:ascii="宋体" w:hAnsi="宋体"/>
          <w:sz w:val="24"/>
        </w:rPr>
        <w:t>5.2评议过程中，若出现本评分方法以外的特殊情况时，将暂停评审，待磋商小组商榷后再进行复会。</w:t>
      </w:r>
    </w:p>
    <w:p w14:paraId="3E600FDC">
      <w:pPr>
        <w:spacing w:line="480" w:lineRule="exact"/>
        <w:ind w:firstLine="482" w:firstLineChars="200"/>
        <w:rPr>
          <w:rFonts w:ascii="宋体" w:hAnsi="宋体"/>
          <w:b/>
          <w:sz w:val="24"/>
        </w:rPr>
      </w:pPr>
      <w:r>
        <w:rPr>
          <w:rFonts w:hint="eastAsia" w:ascii="宋体" w:hAnsi="宋体"/>
          <w:b/>
          <w:sz w:val="24"/>
        </w:rPr>
        <w:t>6、政府采购政策评分标准</w:t>
      </w:r>
    </w:p>
    <w:p w14:paraId="43220713">
      <w:pPr>
        <w:spacing w:line="480" w:lineRule="exact"/>
        <w:ind w:firstLine="480" w:firstLineChars="200"/>
        <w:rPr>
          <w:rFonts w:ascii="宋体" w:hAnsi="宋体"/>
          <w:sz w:val="24"/>
        </w:rPr>
      </w:pPr>
      <w:r>
        <w:rPr>
          <w:rFonts w:hint="eastAsia" w:ascii="宋体" w:hAnsi="宋体"/>
          <w:sz w:val="24"/>
        </w:rPr>
        <w:t>6.1小微企业的价格评分标准</w:t>
      </w:r>
    </w:p>
    <w:p w14:paraId="7B91AC63">
      <w:pPr>
        <w:spacing w:line="480" w:lineRule="exact"/>
        <w:ind w:firstLine="480" w:firstLineChars="200"/>
        <w:rPr>
          <w:rFonts w:ascii="宋体" w:hAnsi="宋体"/>
          <w:sz w:val="24"/>
        </w:rPr>
      </w:pPr>
      <w:r>
        <w:rPr>
          <w:rFonts w:hint="eastAsia" w:ascii="宋体" w:hAnsi="宋体"/>
          <w:sz w:val="24"/>
        </w:rPr>
        <w:t>6.1.1根据《政府采购促进中小企业发展管理办法》（财库〔2020〕46号），对于专门面向中小企业采购的项目或者采购包,不再执行价格评审优惠的扶持政策。</w:t>
      </w:r>
    </w:p>
    <w:p w14:paraId="325B3354">
      <w:pPr>
        <w:spacing w:line="480" w:lineRule="exact"/>
        <w:ind w:firstLine="480" w:firstLineChars="200"/>
        <w:rPr>
          <w:rFonts w:ascii="宋体" w:hAnsi="宋体"/>
          <w:sz w:val="24"/>
        </w:rPr>
      </w:pPr>
      <w:r>
        <w:rPr>
          <w:rFonts w:hint="eastAsia" w:ascii="宋体" w:hAnsi="宋体"/>
          <w:sz w:val="24"/>
        </w:rPr>
        <w:t>6.1.2中小企业参加政府采购活动，须提供《中小企业声明函》（式样见竞争性磋商响应文件格式），否则不得享受相关中小企业扶持政策。供应商须保证真实性，如有虚假，将依法承担相应责任。</w:t>
      </w:r>
    </w:p>
    <w:p w14:paraId="71BBEB8A">
      <w:pPr>
        <w:spacing w:line="480" w:lineRule="exact"/>
        <w:ind w:firstLine="480" w:firstLineChars="200"/>
        <w:rPr>
          <w:rFonts w:ascii="宋体" w:hAnsi="宋体"/>
          <w:sz w:val="24"/>
        </w:rPr>
      </w:pPr>
      <w:r>
        <w:rPr>
          <w:rFonts w:hint="eastAsia" w:ascii="宋体" w:hAnsi="宋体"/>
          <w:sz w:val="24"/>
        </w:rPr>
        <w:t>6.1.3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75586C35">
      <w:pPr>
        <w:spacing w:line="480" w:lineRule="exact"/>
        <w:ind w:firstLine="480" w:firstLineChars="200"/>
        <w:rPr>
          <w:rFonts w:ascii="宋体" w:hAnsi="宋体"/>
          <w:sz w:val="24"/>
        </w:rPr>
      </w:pPr>
      <w:r>
        <w:rPr>
          <w:rFonts w:hint="eastAsia" w:ascii="宋体" w:hAnsi="宋体"/>
          <w:sz w:val="24"/>
        </w:rPr>
        <w:t>6.1.4在工程项目中，工程应当由中小企业承建，不对其中涉及的货物的制造商和服务的承接商作出要求。</w:t>
      </w:r>
    </w:p>
    <w:p w14:paraId="533C58B2">
      <w:pPr>
        <w:spacing w:line="480" w:lineRule="exact"/>
        <w:ind w:firstLine="480" w:firstLineChars="200"/>
        <w:rPr>
          <w:rFonts w:ascii="宋体" w:hAnsi="宋体"/>
          <w:sz w:val="24"/>
        </w:rPr>
      </w:pPr>
      <w:r>
        <w:rPr>
          <w:rFonts w:hint="eastAsia" w:ascii="宋体" w:hAnsi="宋体" w:cs="仿宋"/>
          <w:sz w:val="24"/>
        </w:rPr>
        <w:t>6.2</w:t>
      </w:r>
      <w:r>
        <w:rPr>
          <w:rFonts w:hint="eastAsia" w:ascii="宋体" w:hAnsi="宋体"/>
          <w:sz w:val="24"/>
        </w:rPr>
        <w:t>监狱企业的价格评分标准</w:t>
      </w:r>
    </w:p>
    <w:p w14:paraId="302C9AEF">
      <w:pPr>
        <w:spacing w:line="480" w:lineRule="exact"/>
        <w:ind w:firstLine="480" w:firstLineChars="200"/>
        <w:rPr>
          <w:rFonts w:ascii="宋体" w:hAnsi="宋体"/>
          <w:sz w:val="24"/>
        </w:rPr>
      </w:pPr>
      <w:r>
        <w:rPr>
          <w:rFonts w:hint="eastAsia" w:ascii="宋体" w:hAnsi="宋体"/>
          <w:sz w:val="24"/>
        </w:rPr>
        <w:t>6.2.1在政府采购活动中，监狱企业视同小型、微型企业，享受预留份额、评审中价格扣除等政府采购促进中小企业发展的政府采购政策。</w:t>
      </w:r>
    </w:p>
    <w:p w14:paraId="6F9BD46E">
      <w:pPr>
        <w:spacing w:line="480" w:lineRule="exact"/>
        <w:ind w:firstLine="480" w:firstLineChars="200"/>
        <w:rPr>
          <w:rFonts w:ascii="宋体" w:hAnsi="宋体"/>
          <w:sz w:val="24"/>
        </w:rPr>
      </w:pPr>
      <w:r>
        <w:rPr>
          <w:rFonts w:hint="eastAsia" w:ascii="宋体" w:hAnsi="宋体"/>
          <w:sz w:val="24"/>
        </w:rPr>
        <w:t>6.2.2监狱企业参加政府采购活动时，应当提供由省级以上监狱管理局、戒毒管理局（含新疆生产建设兵团）出具的属于监狱企业的证明文件。</w:t>
      </w:r>
    </w:p>
    <w:p w14:paraId="202A4A26">
      <w:pPr>
        <w:spacing w:line="480" w:lineRule="exact"/>
        <w:ind w:firstLine="600" w:firstLineChars="250"/>
        <w:rPr>
          <w:rFonts w:ascii="宋体" w:hAnsi="宋体"/>
          <w:sz w:val="24"/>
        </w:rPr>
      </w:pPr>
      <w:r>
        <w:rPr>
          <w:rFonts w:hint="eastAsia" w:ascii="宋体" w:hAnsi="宋体"/>
          <w:sz w:val="24"/>
        </w:rPr>
        <w:t>6.2.3监狱企业按《财政部、司法部关于政府采购支持监狱企业发展有关问题的通知》（财库〔2014〕68号）文件规定标准执行。</w:t>
      </w:r>
    </w:p>
    <w:p w14:paraId="5DFAD0DA">
      <w:pPr>
        <w:spacing w:line="480" w:lineRule="exact"/>
        <w:ind w:firstLine="600" w:firstLineChars="250"/>
        <w:rPr>
          <w:rFonts w:ascii="宋体" w:hAnsi="宋体"/>
          <w:sz w:val="24"/>
        </w:rPr>
      </w:pPr>
      <w:r>
        <w:rPr>
          <w:rFonts w:hint="eastAsia" w:ascii="宋体" w:hAnsi="宋体"/>
          <w:sz w:val="24"/>
        </w:rPr>
        <w:t>6.3残疾人福利性单位的价格评分标准</w:t>
      </w:r>
    </w:p>
    <w:p w14:paraId="729067B1">
      <w:pPr>
        <w:spacing w:line="480" w:lineRule="exact"/>
        <w:ind w:firstLine="600" w:firstLineChars="250"/>
        <w:rPr>
          <w:rFonts w:ascii="宋体" w:hAnsi="宋体"/>
          <w:sz w:val="24"/>
        </w:rPr>
      </w:pPr>
      <w:r>
        <w:rPr>
          <w:rFonts w:hint="eastAsia" w:ascii="宋体" w:hAnsi="宋体"/>
          <w:sz w:val="24"/>
        </w:rPr>
        <w:t>6.3.1在政府采购活动中，残疾人福利性单位视同小型、微型企业，享受预留份额、评审中价格扣除等政府采购促进中小企业发展的政府采购政策。</w:t>
      </w:r>
    </w:p>
    <w:p w14:paraId="792AF7E0">
      <w:pPr>
        <w:spacing w:line="480" w:lineRule="exact"/>
        <w:ind w:firstLine="480" w:firstLineChars="200"/>
        <w:rPr>
          <w:rFonts w:ascii="宋体" w:hAnsi="宋体"/>
          <w:sz w:val="24"/>
        </w:rPr>
      </w:pPr>
      <w:r>
        <w:rPr>
          <w:rFonts w:hint="eastAsia" w:ascii="宋体" w:hAnsi="宋体"/>
          <w:sz w:val="24"/>
        </w:rPr>
        <w:t>6.3.2</w:t>
      </w:r>
      <w:r>
        <w:rPr>
          <w:rFonts w:ascii="宋体" w:hAnsi="宋体"/>
          <w:sz w:val="24"/>
        </w:rPr>
        <w:t>残疾人福利性单位属于小型、微型企业的，不重复享受政策。</w:t>
      </w:r>
    </w:p>
    <w:p w14:paraId="66011399">
      <w:pPr>
        <w:spacing w:line="480" w:lineRule="exact"/>
        <w:ind w:firstLine="480" w:firstLineChars="200"/>
        <w:rPr>
          <w:rFonts w:ascii="宋体" w:hAnsi="宋体"/>
          <w:sz w:val="24"/>
        </w:rPr>
      </w:pPr>
      <w:r>
        <w:rPr>
          <w:rFonts w:hint="eastAsia" w:ascii="宋体" w:hAnsi="宋体"/>
          <w:sz w:val="24"/>
        </w:rPr>
        <w:t>6.3.3</w:t>
      </w:r>
      <w:r>
        <w:rPr>
          <w:rFonts w:ascii="宋体" w:hAnsi="宋体"/>
          <w:sz w:val="24"/>
        </w:rPr>
        <w:t>符合条件的残疾人福利性单位在参加政府采购活动时，应当提供本通知规定的《残疾人福利性单位声明函》（</w:t>
      </w:r>
      <w:r>
        <w:rPr>
          <w:rFonts w:hint="eastAsia" w:ascii="宋体" w:hAnsi="宋体"/>
          <w:sz w:val="24"/>
        </w:rPr>
        <w:t>式样见竞争性磋商响应文件格式</w:t>
      </w:r>
      <w:r>
        <w:rPr>
          <w:rFonts w:ascii="宋体" w:hAnsi="宋体"/>
          <w:sz w:val="24"/>
        </w:rPr>
        <w:t>），并对声明的真实性负责</w:t>
      </w:r>
      <w:r>
        <w:rPr>
          <w:rFonts w:hint="eastAsia" w:ascii="宋体" w:hAnsi="宋体"/>
          <w:sz w:val="24"/>
        </w:rPr>
        <w:t>，未提供的不视为</w:t>
      </w:r>
      <w:r>
        <w:rPr>
          <w:rFonts w:ascii="宋体" w:hAnsi="宋体"/>
          <w:sz w:val="24"/>
        </w:rPr>
        <w:t xml:space="preserve">残疾人福利性单位。 </w:t>
      </w:r>
    </w:p>
    <w:p w14:paraId="5CBC88A0">
      <w:pPr>
        <w:spacing w:line="480" w:lineRule="exact"/>
        <w:ind w:firstLine="597" w:firstLineChars="249"/>
        <w:rPr>
          <w:rFonts w:ascii="宋体" w:hAnsi="宋体"/>
          <w:sz w:val="24"/>
        </w:rPr>
      </w:pPr>
      <w:r>
        <w:rPr>
          <w:rFonts w:hint="eastAsia" w:ascii="宋体" w:hAnsi="宋体"/>
          <w:sz w:val="24"/>
        </w:rPr>
        <w:t>6.4节能产品、环境标志产品政策</w:t>
      </w:r>
    </w:p>
    <w:p w14:paraId="63F7EA80">
      <w:pPr>
        <w:spacing w:line="480" w:lineRule="exact"/>
        <w:ind w:firstLine="597" w:firstLineChars="249"/>
        <w:rPr>
          <w:rFonts w:ascii="宋体" w:hAnsi="宋体"/>
          <w:sz w:val="24"/>
        </w:rPr>
      </w:pPr>
      <w:r>
        <w:rPr>
          <w:rFonts w:hint="eastAsia" w:ascii="宋体" w:hAnsi="宋体"/>
          <w:sz w:val="24"/>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0AE76A13">
      <w:pPr>
        <w:adjustRightInd w:val="0"/>
        <w:snapToGrid w:val="0"/>
        <w:spacing w:line="480" w:lineRule="exact"/>
        <w:ind w:firstLine="482" w:firstLineChars="200"/>
        <w:rPr>
          <w:rFonts w:ascii="宋体" w:hAnsi="宋体" w:cs="宋体"/>
          <w:b/>
          <w:bCs/>
          <w:sz w:val="24"/>
        </w:rPr>
      </w:pPr>
      <w:r>
        <w:rPr>
          <w:rFonts w:hint="eastAsia" w:ascii="宋体" w:hAnsi="宋体" w:cs="宋体"/>
          <w:b/>
          <w:bCs/>
          <w:sz w:val="24"/>
        </w:rPr>
        <w:t>六、成交通知</w:t>
      </w:r>
    </w:p>
    <w:p w14:paraId="05444218">
      <w:pPr>
        <w:autoSpaceDE w:val="0"/>
        <w:autoSpaceDN w:val="0"/>
        <w:spacing w:line="480" w:lineRule="exact"/>
        <w:ind w:firstLine="480" w:firstLineChars="200"/>
        <w:textAlignment w:val="bottom"/>
        <w:rPr>
          <w:rFonts w:ascii="宋体" w:hAnsi="宋体" w:cs="宋体"/>
          <w:sz w:val="24"/>
        </w:rPr>
      </w:pPr>
      <w:r>
        <w:rPr>
          <w:rFonts w:hint="eastAsia" w:ascii="宋体" w:hAnsi="宋体" w:cs="宋体"/>
          <w:sz w:val="24"/>
        </w:rPr>
        <w:t>1、确定成交单位</w:t>
      </w:r>
    </w:p>
    <w:p w14:paraId="62EFFD01">
      <w:pPr>
        <w:spacing w:line="480" w:lineRule="exact"/>
        <w:ind w:firstLine="480" w:firstLineChars="200"/>
        <w:rPr>
          <w:rFonts w:ascii="宋体" w:hAnsi="宋体" w:cs="宋体"/>
          <w:sz w:val="24"/>
        </w:rPr>
      </w:pPr>
      <w:r>
        <w:rPr>
          <w:rFonts w:hint="eastAsia" w:ascii="宋体" w:hAnsi="宋体" w:cs="宋体"/>
          <w:sz w:val="24"/>
        </w:rPr>
        <w:t>1-1、采购人根据磋商小组提交的评审报告和采购代理机构的《成交复函》确定成交单位。</w:t>
      </w:r>
    </w:p>
    <w:p w14:paraId="57098109">
      <w:pPr>
        <w:adjustRightInd w:val="0"/>
        <w:snapToGrid w:val="0"/>
        <w:spacing w:line="480" w:lineRule="exact"/>
        <w:ind w:firstLine="480" w:firstLineChars="200"/>
        <w:rPr>
          <w:rFonts w:ascii="宋体" w:hAnsi="宋体" w:cs="宋体"/>
          <w:sz w:val="24"/>
        </w:rPr>
      </w:pPr>
      <w:r>
        <w:rPr>
          <w:rFonts w:hint="eastAsia" w:ascii="宋体" w:hAnsi="宋体" w:cs="宋体"/>
          <w:sz w:val="24"/>
        </w:rPr>
        <w:t>1-2、采购代理机构接到采购人的《成交复函》后，将成交结果在指定媒体发布公告。公告发布1个日历天，其他供应商若有异议，按《政府采购法》第52条执行。若无异议，采购代理机构向成交单位发出成交通知书。</w:t>
      </w:r>
    </w:p>
    <w:p w14:paraId="0411EF58">
      <w:pPr>
        <w:adjustRightInd w:val="0"/>
        <w:snapToGrid w:val="0"/>
        <w:spacing w:line="480" w:lineRule="exact"/>
        <w:ind w:firstLine="480" w:firstLineChars="200"/>
        <w:rPr>
          <w:rFonts w:ascii="宋体" w:hAnsi="宋体" w:cs="宋体"/>
          <w:sz w:val="24"/>
        </w:rPr>
      </w:pPr>
      <w:r>
        <w:rPr>
          <w:rFonts w:hint="eastAsia" w:ascii="宋体" w:hAnsi="宋体" w:cs="宋体"/>
          <w:sz w:val="24"/>
        </w:rPr>
        <w:t>2、成交单位应在接到采购代理机构通知之日起七日内领取成交通知书。</w:t>
      </w:r>
    </w:p>
    <w:p w14:paraId="0B237827">
      <w:pPr>
        <w:adjustRightInd w:val="0"/>
        <w:snapToGrid w:val="0"/>
        <w:spacing w:line="480" w:lineRule="exact"/>
        <w:ind w:firstLine="482" w:firstLineChars="200"/>
        <w:rPr>
          <w:rFonts w:ascii="宋体" w:hAnsi="宋体" w:cs="宋体"/>
          <w:sz w:val="24"/>
        </w:rPr>
      </w:pPr>
      <w:r>
        <w:rPr>
          <w:rFonts w:hint="eastAsia" w:ascii="宋体" w:hAnsi="宋体" w:cs="宋体"/>
          <w:b/>
          <w:bCs/>
          <w:sz w:val="24"/>
        </w:rPr>
        <w:t>七、合同授予</w:t>
      </w:r>
    </w:p>
    <w:p w14:paraId="2814F834">
      <w:pPr>
        <w:spacing w:line="480" w:lineRule="exact"/>
        <w:ind w:firstLine="480" w:firstLineChars="200"/>
        <w:rPr>
          <w:rFonts w:ascii="宋体" w:hAnsi="宋体" w:cs="宋体"/>
          <w:sz w:val="24"/>
        </w:rPr>
      </w:pPr>
      <w:r>
        <w:rPr>
          <w:rFonts w:hint="eastAsia" w:ascii="宋体" w:hAnsi="宋体" w:cs="宋体"/>
          <w:sz w:val="24"/>
        </w:rPr>
        <w:t>1、成交单位在收到成交通知书后25个日历天内，应按竞争性磋商文件的要求与采购人签订合同。</w:t>
      </w:r>
      <w:r>
        <w:rPr>
          <w:rFonts w:hint="eastAsia" w:ascii="宋体" w:hAnsi="宋体" w:cs="宋体"/>
          <w:b/>
          <w:bCs/>
          <w:sz w:val="24"/>
        </w:rPr>
        <w:t>成交单位因自身原因不按规定与采购人签订合同，则采购人将废除授标</w:t>
      </w:r>
      <w:r>
        <w:rPr>
          <w:rFonts w:hint="eastAsia" w:ascii="宋体" w:hAnsi="宋体" w:cs="宋体"/>
          <w:sz w:val="24"/>
        </w:rPr>
        <w:t>。给采购人造成损失超过履约保证金额的，还应当对超过部分予以赔偿，并依法承担相应法律责任；</w:t>
      </w:r>
    </w:p>
    <w:p w14:paraId="480389C2">
      <w:pPr>
        <w:adjustRightInd w:val="0"/>
        <w:snapToGrid w:val="0"/>
        <w:spacing w:line="480" w:lineRule="exact"/>
        <w:ind w:firstLine="480" w:firstLineChars="200"/>
        <w:rPr>
          <w:rFonts w:ascii="宋体" w:hAnsi="宋体" w:cs="宋体"/>
          <w:b/>
          <w:bCs/>
          <w:sz w:val="24"/>
        </w:rPr>
      </w:pPr>
      <w:r>
        <w:rPr>
          <w:rFonts w:hint="eastAsia" w:ascii="宋体" w:hAnsi="宋体" w:cs="宋体"/>
          <w:sz w:val="24"/>
        </w:rPr>
        <w:t>2、成交通知书将是合同的重要组成部分。竞争性磋商文件、成交单位的磋商响应文件及评审过程中有关的澄清文件均作为合同附件。</w:t>
      </w:r>
    </w:p>
    <w:p w14:paraId="29AA3F69">
      <w:pPr>
        <w:spacing w:line="480" w:lineRule="exact"/>
        <w:ind w:firstLine="480" w:firstLineChars="200"/>
        <w:jc w:val="left"/>
        <w:rPr>
          <w:rFonts w:ascii="宋体" w:hAnsi="宋体" w:cs="宋体"/>
          <w:sz w:val="24"/>
        </w:rPr>
      </w:pPr>
      <w:r>
        <w:rPr>
          <w:rFonts w:hint="eastAsia" w:ascii="宋体" w:hAnsi="宋体" w:cs="宋体"/>
          <w:sz w:val="24"/>
        </w:rPr>
        <w:t>3、成交后，成交供应商应按照政府采购合同约定履行义务，完成磋商项目的内容。</w:t>
      </w:r>
    </w:p>
    <w:p w14:paraId="291ECCB5">
      <w:pPr>
        <w:spacing w:line="480" w:lineRule="exact"/>
        <w:ind w:firstLine="482" w:firstLineChars="200"/>
        <w:rPr>
          <w:rFonts w:ascii="宋体" w:hAnsi="宋体" w:cs="宋体"/>
          <w:b/>
          <w:bCs/>
          <w:sz w:val="24"/>
        </w:rPr>
      </w:pPr>
      <w:bookmarkStart w:id="19" w:name="_Toc21991"/>
      <w:r>
        <w:rPr>
          <w:rFonts w:hint="eastAsia" w:ascii="宋体" w:hAnsi="宋体" w:cs="宋体"/>
          <w:b/>
          <w:bCs/>
          <w:sz w:val="24"/>
        </w:rPr>
        <w:t>八、询问、质疑与投诉</w:t>
      </w:r>
      <w:bookmarkEnd w:id="19"/>
    </w:p>
    <w:p w14:paraId="35F8B815">
      <w:pPr>
        <w:spacing w:line="480" w:lineRule="exact"/>
        <w:ind w:firstLine="480" w:firstLineChars="200"/>
        <w:rPr>
          <w:rFonts w:ascii="宋体" w:hAnsi="宋体"/>
          <w:sz w:val="24"/>
        </w:rPr>
      </w:pPr>
      <w:bookmarkStart w:id="20" w:name="_Toc458848743"/>
      <w:bookmarkStart w:id="21" w:name="_Toc458848828"/>
      <w:bookmarkStart w:id="22" w:name="_Toc493247325"/>
      <w:r>
        <w:rPr>
          <w:rFonts w:hint="eastAsia" w:ascii="宋体" w:hAnsi="宋体"/>
          <w:sz w:val="24"/>
        </w:rPr>
        <w:t>1.询问</w:t>
      </w:r>
    </w:p>
    <w:p w14:paraId="6415C028">
      <w:pPr>
        <w:spacing w:line="480" w:lineRule="exact"/>
        <w:ind w:firstLine="480" w:firstLineChars="200"/>
        <w:rPr>
          <w:rFonts w:ascii="宋体" w:hAnsi="宋体"/>
          <w:sz w:val="24"/>
        </w:rPr>
      </w:pPr>
      <w:r>
        <w:rPr>
          <w:rFonts w:hint="eastAsia" w:ascii="宋体" w:hAnsi="宋体"/>
          <w:sz w:val="24"/>
        </w:rPr>
        <w:t>供应商对政府采购活动事项有疑问的，可以向采购人、采购代理机构提出询问。</w:t>
      </w:r>
    </w:p>
    <w:p w14:paraId="21E745CA">
      <w:pPr>
        <w:spacing w:line="480" w:lineRule="exact"/>
        <w:ind w:firstLine="480" w:firstLineChars="200"/>
        <w:rPr>
          <w:rFonts w:ascii="宋体" w:hAnsi="宋体"/>
          <w:sz w:val="24"/>
        </w:rPr>
      </w:pPr>
      <w:r>
        <w:rPr>
          <w:rFonts w:hint="eastAsia" w:ascii="宋体" w:hAnsi="宋体"/>
          <w:sz w:val="24"/>
        </w:rPr>
        <w:t>2.质疑</w:t>
      </w:r>
    </w:p>
    <w:p w14:paraId="12D789ED">
      <w:pPr>
        <w:spacing w:line="480" w:lineRule="exact"/>
        <w:ind w:firstLine="480" w:firstLineChars="200"/>
        <w:rPr>
          <w:rFonts w:ascii="宋体" w:hAnsi="宋体"/>
          <w:sz w:val="24"/>
        </w:rPr>
      </w:pPr>
      <w:r>
        <w:rPr>
          <w:rFonts w:hint="eastAsia" w:ascii="宋体" w:hAnsi="宋体"/>
          <w:sz w:val="24"/>
        </w:rPr>
        <w:t>2.1供应商认为磋商文件、采购过程和成交结果使自己的权益受到损害的，可以向采购人、采购代理机构提出质疑，具体时限为：</w:t>
      </w:r>
    </w:p>
    <w:p w14:paraId="6BE21450">
      <w:pPr>
        <w:spacing w:line="480" w:lineRule="exact"/>
        <w:ind w:firstLine="480" w:firstLineChars="200"/>
        <w:rPr>
          <w:rFonts w:ascii="宋体" w:hAnsi="宋体"/>
          <w:sz w:val="24"/>
        </w:rPr>
      </w:pPr>
      <w:r>
        <w:rPr>
          <w:rFonts w:hint="eastAsia" w:ascii="宋体" w:hAnsi="宋体"/>
          <w:sz w:val="24"/>
        </w:rPr>
        <w:t>2.1.1对可以质疑的采购文件提出质疑的，为收到采购文件之日起七个工作日内；</w:t>
      </w:r>
    </w:p>
    <w:p w14:paraId="1DA6BDB4">
      <w:pPr>
        <w:spacing w:line="480" w:lineRule="exact"/>
        <w:ind w:firstLine="480" w:firstLineChars="200"/>
        <w:rPr>
          <w:rFonts w:ascii="宋体" w:hAnsi="宋体"/>
          <w:sz w:val="24"/>
        </w:rPr>
      </w:pPr>
      <w:r>
        <w:rPr>
          <w:rFonts w:hint="eastAsia" w:ascii="宋体" w:hAnsi="宋体"/>
          <w:sz w:val="24"/>
        </w:rPr>
        <w:t>2.1.2对采购过程提出质疑的，为各采购程序环节结束之日起七个工作日内；</w:t>
      </w:r>
    </w:p>
    <w:p w14:paraId="3163DA45">
      <w:pPr>
        <w:spacing w:line="480" w:lineRule="exact"/>
        <w:ind w:firstLine="480" w:firstLineChars="200"/>
        <w:rPr>
          <w:rFonts w:ascii="宋体" w:hAnsi="宋体"/>
          <w:sz w:val="24"/>
        </w:rPr>
      </w:pPr>
      <w:r>
        <w:rPr>
          <w:rFonts w:hint="eastAsia" w:ascii="宋体" w:hAnsi="宋体"/>
          <w:sz w:val="24"/>
        </w:rPr>
        <w:t>2.1.3对成交结果提出质疑的，为成交结果公告期限届满之日起七个工作日内。</w:t>
      </w:r>
    </w:p>
    <w:p w14:paraId="79B4EC75">
      <w:pPr>
        <w:spacing w:line="480" w:lineRule="exact"/>
        <w:ind w:firstLine="480" w:firstLineChars="200"/>
        <w:rPr>
          <w:rFonts w:ascii="宋体" w:hAnsi="宋体"/>
          <w:sz w:val="24"/>
        </w:rPr>
      </w:pPr>
      <w:r>
        <w:rPr>
          <w:rFonts w:hint="eastAsia" w:ascii="宋体" w:hAnsi="宋体"/>
          <w:sz w:val="24"/>
        </w:rPr>
        <w:t>2.2供应商须在法定质疑期内一次性提出针对同一采购程序环节的质疑。</w:t>
      </w:r>
    </w:p>
    <w:p w14:paraId="6BB585D9">
      <w:pPr>
        <w:spacing w:line="480" w:lineRule="exact"/>
        <w:ind w:firstLine="480" w:firstLineChars="200"/>
        <w:rPr>
          <w:rFonts w:ascii="宋体" w:hAnsi="宋体"/>
          <w:sz w:val="24"/>
        </w:rPr>
      </w:pPr>
      <w:r>
        <w:rPr>
          <w:rFonts w:hint="eastAsia" w:ascii="宋体" w:hAnsi="宋体"/>
          <w:sz w:val="24"/>
        </w:rPr>
        <w:t>2.3供应商必须按照财政部发布的《政府采购供应商质疑函范本》及其制作说明提出质疑。</w:t>
      </w:r>
    </w:p>
    <w:p w14:paraId="61538E3A">
      <w:pPr>
        <w:spacing w:line="480" w:lineRule="exact"/>
        <w:ind w:firstLine="480" w:firstLineChars="200"/>
        <w:rPr>
          <w:rFonts w:ascii="宋体" w:hAnsi="宋体" w:cs="宋体"/>
          <w:sz w:val="24"/>
        </w:rPr>
      </w:pPr>
      <w:r>
        <w:rPr>
          <w:rFonts w:hint="eastAsia" w:ascii="宋体" w:hAnsi="宋体"/>
          <w:sz w:val="24"/>
        </w:rPr>
        <w:t>2</w:t>
      </w:r>
      <w:r>
        <w:rPr>
          <w:rFonts w:hint="eastAsia" w:ascii="宋体" w:hAnsi="宋体" w:cs="宋体"/>
          <w:sz w:val="24"/>
        </w:rPr>
        <w:t>.4供应商</w:t>
      </w:r>
      <w:r>
        <w:rPr>
          <w:rFonts w:ascii="宋体" w:hAnsi="宋体" w:cs="宋体"/>
          <w:sz w:val="24"/>
        </w:rPr>
        <w:t>提出质疑应当提交必要的证明材料</w:t>
      </w:r>
      <w:r>
        <w:rPr>
          <w:rFonts w:hint="eastAsia" w:ascii="宋体" w:hAnsi="宋体" w:cs="宋体"/>
          <w:sz w:val="24"/>
        </w:rPr>
        <w:t>，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3641FD0C">
      <w:pPr>
        <w:spacing w:line="480" w:lineRule="exact"/>
        <w:ind w:firstLine="480" w:firstLineChars="200"/>
        <w:rPr>
          <w:rFonts w:ascii="宋体" w:hAnsi="宋体"/>
          <w:sz w:val="24"/>
        </w:rPr>
      </w:pPr>
      <w:r>
        <w:rPr>
          <w:rFonts w:hint="eastAsia" w:ascii="宋体" w:hAnsi="宋体" w:cs="宋体"/>
          <w:sz w:val="24"/>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36A6E8F">
      <w:pPr>
        <w:spacing w:line="480" w:lineRule="exact"/>
        <w:ind w:firstLine="480" w:firstLineChars="200"/>
        <w:rPr>
          <w:rFonts w:ascii="宋体" w:hAnsi="宋体"/>
          <w:sz w:val="24"/>
        </w:rPr>
      </w:pPr>
      <w:r>
        <w:rPr>
          <w:rFonts w:hint="eastAsia" w:ascii="宋体" w:hAnsi="宋体"/>
          <w:sz w:val="24"/>
        </w:rPr>
        <w:t>2.6供应商应在法定期限内以书面形式提出质疑，联系人：</w:t>
      </w:r>
      <w:r>
        <w:rPr>
          <w:rFonts w:hint="eastAsia" w:ascii="宋体" w:hAnsi="宋体"/>
          <w:sz w:val="24"/>
          <w:lang w:val="en-US" w:eastAsia="zh-CN"/>
        </w:rPr>
        <w:t>刘瑞</w:t>
      </w:r>
      <w:r>
        <w:rPr>
          <w:rFonts w:hint="eastAsia" w:ascii="宋体" w:hAnsi="宋体"/>
          <w:sz w:val="24"/>
        </w:rPr>
        <w:t>，联系方式：17868600926，地址：</w:t>
      </w:r>
      <w:r>
        <w:rPr>
          <w:rFonts w:hint="eastAsia" w:ascii="宋体" w:hAnsi="宋体"/>
          <w:sz w:val="24"/>
          <w:lang w:eastAsia="zh-CN"/>
        </w:rPr>
        <w:t>陕西信恒项目管理有限公司</w:t>
      </w:r>
      <w:r>
        <w:rPr>
          <w:rFonts w:hint="eastAsia" w:ascii="宋体" w:hAnsi="宋体"/>
          <w:sz w:val="24"/>
        </w:rPr>
        <w:t>（</w:t>
      </w:r>
      <w:r>
        <w:rPr>
          <w:rFonts w:hint="eastAsia" w:ascii="宋体" w:hAnsi="宋体"/>
          <w:sz w:val="24"/>
          <w:lang w:eastAsia="zh-CN"/>
        </w:rPr>
        <w:t>陕西省咸阳市秦都区金华路华天大厦D座5单元701</w:t>
      </w:r>
      <w:r>
        <w:rPr>
          <w:rFonts w:hint="eastAsia" w:ascii="宋体" w:hAnsi="宋体"/>
          <w:sz w:val="24"/>
        </w:rPr>
        <w:t>）。</w:t>
      </w:r>
    </w:p>
    <w:p w14:paraId="468A4AD8">
      <w:pPr>
        <w:spacing w:line="480" w:lineRule="exact"/>
        <w:ind w:firstLine="480" w:firstLineChars="200"/>
        <w:rPr>
          <w:rFonts w:ascii="宋体" w:hAnsi="宋体"/>
          <w:sz w:val="24"/>
        </w:rPr>
      </w:pPr>
      <w:r>
        <w:rPr>
          <w:rFonts w:hint="eastAsia" w:ascii="宋体" w:hAnsi="宋体"/>
          <w:sz w:val="24"/>
        </w:rPr>
        <w:t>3.投诉</w:t>
      </w:r>
    </w:p>
    <w:p w14:paraId="5430E6FE">
      <w:pPr>
        <w:spacing w:line="480" w:lineRule="exact"/>
        <w:ind w:firstLine="480" w:firstLineChars="200"/>
        <w:rPr>
          <w:rFonts w:ascii="宋体" w:hAnsi="宋体"/>
          <w:sz w:val="24"/>
        </w:rPr>
      </w:pPr>
      <w:r>
        <w:rPr>
          <w:rFonts w:hint="eastAsia" w:ascii="宋体" w:hAnsi="宋体"/>
          <w:sz w:val="24"/>
        </w:rPr>
        <w:t>质疑供应商对采购人、采购代理机构的答复不满意或者采购人、采购代理机构未在规定的时间内作出答复的，可按《中华人民共和国政府采购法》第55条和《政府采购质疑和投诉办法》（财政部令第94号）第17条等有关规定执行。</w:t>
      </w:r>
    </w:p>
    <w:bookmarkEnd w:id="20"/>
    <w:bookmarkEnd w:id="21"/>
    <w:bookmarkEnd w:id="22"/>
    <w:p w14:paraId="02697E2E">
      <w:pPr>
        <w:spacing w:line="480" w:lineRule="exact"/>
        <w:ind w:firstLine="482" w:firstLineChars="200"/>
        <w:rPr>
          <w:rFonts w:ascii="宋体" w:hAnsi="宋体" w:cs="宋体"/>
          <w:b/>
          <w:bCs/>
          <w:sz w:val="24"/>
        </w:rPr>
      </w:pPr>
      <w:r>
        <w:rPr>
          <w:rFonts w:hint="eastAsia" w:ascii="宋体" w:hAnsi="宋体" w:cs="宋体"/>
          <w:b/>
          <w:bCs/>
          <w:sz w:val="24"/>
        </w:rPr>
        <w:t>九、其他约定</w:t>
      </w:r>
    </w:p>
    <w:p w14:paraId="5E57511D">
      <w:pPr>
        <w:snapToGrid w:val="0"/>
        <w:spacing w:line="480" w:lineRule="exact"/>
        <w:ind w:firstLine="480" w:firstLineChars="200"/>
        <w:rPr>
          <w:rFonts w:hint="eastAsia" w:ascii="宋体" w:hAnsi="宋体" w:cs="宋体"/>
          <w:sz w:val="24"/>
        </w:rPr>
      </w:pPr>
      <w:r>
        <w:rPr>
          <w:rFonts w:hint="eastAsia" w:ascii="宋体" w:hAnsi="宋体" w:cs="宋体"/>
          <w:sz w:val="24"/>
        </w:rPr>
        <w:t>1、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76E35564">
      <w:pPr>
        <w:spacing w:line="480" w:lineRule="exact"/>
        <w:ind w:firstLine="480" w:firstLineChars="200"/>
        <w:rPr>
          <w:rFonts w:ascii="宋体" w:hAnsi="宋体" w:cs="宋体"/>
          <w:sz w:val="24"/>
        </w:rPr>
      </w:pPr>
      <w:r>
        <w:rPr>
          <w:rFonts w:hint="eastAsia" w:ascii="宋体" w:hAnsi="宋体" w:cs="宋体"/>
          <w:sz w:val="24"/>
        </w:rPr>
        <w:t>2、如果发生下列情况，采购代理机构将根据有关规定报请县政府采购监督管理机关批准变更招标、重新组织或终止招标活动：</w:t>
      </w:r>
    </w:p>
    <w:p w14:paraId="4E6B5BB7">
      <w:pPr>
        <w:spacing w:line="480" w:lineRule="exact"/>
        <w:ind w:firstLine="480" w:firstLineChars="200"/>
        <w:rPr>
          <w:rFonts w:ascii="宋体" w:hAnsi="宋体" w:cs="宋体"/>
          <w:sz w:val="24"/>
        </w:rPr>
      </w:pPr>
      <w:r>
        <w:rPr>
          <w:rFonts w:hint="eastAsia" w:ascii="宋体" w:hAnsi="宋体" w:cs="宋体"/>
          <w:sz w:val="24"/>
        </w:rPr>
        <w:t>2-1、在采购活动中因重大变故，采购任务取消的；</w:t>
      </w:r>
    </w:p>
    <w:p w14:paraId="434FB786">
      <w:pPr>
        <w:spacing w:line="480" w:lineRule="exact"/>
        <w:ind w:firstLine="480" w:firstLineChars="200"/>
        <w:rPr>
          <w:rFonts w:ascii="宋体" w:hAnsi="宋体" w:cs="宋体"/>
          <w:sz w:val="24"/>
        </w:rPr>
      </w:pPr>
      <w:r>
        <w:rPr>
          <w:rFonts w:hint="eastAsia" w:ascii="宋体" w:hAnsi="宋体" w:cs="宋体"/>
          <w:sz w:val="24"/>
        </w:rPr>
        <w:t>2-2、因情况变化，不再符合规定的采购方式适用情形的；</w:t>
      </w:r>
    </w:p>
    <w:p w14:paraId="7681D138">
      <w:pPr>
        <w:spacing w:line="480" w:lineRule="exact"/>
        <w:ind w:firstLine="480" w:firstLineChars="200"/>
        <w:rPr>
          <w:rFonts w:ascii="宋体" w:hAnsi="宋体" w:cs="宋体"/>
          <w:sz w:val="24"/>
        </w:rPr>
      </w:pPr>
      <w:r>
        <w:rPr>
          <w:rFonts w:hint="eastAsia" w:ascii="宋体" w:hAnsi="宋体" w:cs="宋体"/>
          <w:sz w:val="24"/>
        </w:rPr>
        <w:t>2-3、所有供应商的</w:t>
      </w:r>
      <w:r>
        <w:rPr>
          <w:rFonts w:hint="eastAsia" w:ascii="宋体" w:hAnsi="宋体" w:cs="宋体"/>
          <w:sz w:val="24"/>
          <w:lang w:eastAsia="zh-CN"/>
        </w:rPr>
        <w:t>最后报价</w:t>
      </w:r>
      <w:r>
        <w:rPr>
          <w:rFonts w:hint="eastAsia" w:ascii="宋体" w:hAnsi="宋体" w:cs="宋体"/>
          <w:sz w:val="24"/>
        </w:rPr>
        <w:t>均超出采购预算限额，采购人不能支付的；</w:t>
      </w:r>
    </w:p>
    <w:p w14:paraId="62AFF8F8">
      <w:pPr>
        <w:spacing w:line="480" w:lineRule="exact"/>
        <w:ind w:firstLine="480" w:firstLineChars="200"/>
        <w:rPr>
          <w:rFonts w:ascii="宋体" w:hAnsi="宋体" w:cs="宋体"/>
          <w:sz w:val="24"/>
        </w:rPr>
      </w:pPr>
      <w:r>
        <w:rPr>
          <w:rFonts w:hint="eastAsia" w:ascii="宋体" w:hAnsi="宋体" w:cs="宋体"/>
          <w:sz w:val="24"/>
        </w:rPr>
        <w:t>2-4、在采购过程中符合竞争要求的供应商不足3家的；</w:t>
      </w:r>
    </w:p>
    <w:p w14:paraId="6F3434C5">
      <w:pPr>
        <w:spacing w:line="480" w:lineRule="exact"/>
        <w:ind w:firstLine="480" w:firstLineChars="200"/>
        <w:rPr>
          <w:rFonts w:ascii="宋体" w:hAnsi="宋体" w:cs="宋体"/>
          <w:sz w:val="24"/>
        </w:rPr>
      </w:pPr>
      <w:r>
        <w:rPr>
          <w:rFonts w:hint="eastAsia" w:ascii="宋体" w:hAnsi="宋体" w:cs="宋体"/>
          <w:sz w:val="24"/>
        </w:rPr>
        <w:t>2-5、磋商小组三分之二以上的评审专家认定所有磋商报价存在价格不实现象的；</w:t>
      </w:r>
    </w:p>
    <w:p w14:paraId="4DE6834B">
      <w:pPr>
        <w:spacing w:line="480" w:lineRule="exact"/>
        <w:ind w:firstLine="480" w:firstLineChars="200"/>
        <w:rPr>
          <w:rFonts w:ascii="宋体" w:hAnsi="宋体" w:cs="宋体"/>
          <w:sz w:val="24"/>
        </w:rPr>
      </w:pPr>
      <w:r>
        <w:rPr>
          <w:rFonts w:hint="eastAsia" w:ascii="宋体" w:hAnsi="宋体" w:cs="宋体"/>
          <w:sz w:val="24"/>
        </w:rPr>
        <w:t>2-6、有证据证明有围标、串标现象发生的；</w:t>
      </w:r>
    </w:p>
    <w:p w14:paraId="63EF81B6">
      <w:pPr>
        <w:spacing w:line="480" w:lineRule="exact"/>
        <w:ind w:firstLine="480" w:firstLineChars="200"/>
        <w:rPr>
          <w:rFonts w:ascii="宋体" w:hAnsi="宋体" w:cs="宋体"/>
          <w:sz w:val="24"/>
        </w:rPr>
      </w:pPr>
      <w:r>
        <w:rPr>
          <w:rFonts w:hint="eastAsia" w:ascii="宋体" w:hAnsi="宋体" w:cs="宋体"/>
          <w:sz w:val="24"/>
        </w:rPr>
        <w:t>2-7、出现影响采购公正的违法、违规行为的。</w:t>
      </w:r>
    </w:p>
    <w:bookmarkEnd w:id="16"/>
    <w:bookmarkEnd w:id="17"/>
    <w:p w14:paraId="0767F859">
      <w:pPr>
        <w:rPr>
          <w:rFonts w:ascii="宋体" w:hAnsi="宋体" w:cs="宋体"/>
          <w:b/>
          <w:sz w:val="32"/>
          <w:szCs w:val="32"/>
        </w:rPr>
      </w:pPr>
      <w:bookmarkStart w:id="23" w:name="_Toc404340463"/>
      <w:bookmarkStart w:id="24" w:name="_Toc319064300"/>
      <w:bookmarkStart w:id="25" w:name="_Toc1903"/>
      <w:bookmarkStart w:id="26" w:name="_Toc203787705"/>
      <w:r>
        <w:rPr>
          <w:rFonts w:hint="eastAsia" w:ascii="宋体" w:hAnsi="宋体" w:cs="宋体"/>
          <w:b/>
          <w:sz w:val="32"/>
          <w:szCs w:val="32"/>
        </w:rPr>
        <w:br w:type="page"/>
      </w:r>
    </w:p>
    <w:p w14:paraId="5E1D8EB2">
      <w:pPr>
        <w:numPr>
          <w:ilvl w:val="0"/>
          <w:numId w:val="1"/>
        </w:numPr>
        <w:spacing w:line="460" w:lineRule="exact"/>
        <w:jc w:val="center"/>
        <w:rPr>
          <w:rFonts w:hint="eastAsia" w:ascii="宋体" w:hAnsi="宋体" w:eastAsia="宋体" w:cs="宋体"/>
          <w:b/>
          <w:color w:val="auto"/>
          <w:sz w:val="32"/>
          <w:szCs w:val="32"/>
          <w:highlight w:val="none"/>
          <w:lang w:val="en-US" w:eastAsia="zh-CN"/>
        </w:rPr>
      </w:pPr>
      <w:bookmarkStart w:id="27" w:name="_Toc1496"/>
      <w:r>
        <w:rPr>
          <w:rFonts w:hint="eastAsia" w:ascii="宋体" w:hAnsi="宋体" w:cs="宋体"/>
          <w:b/>
          <w:bCs/>
          <w:kern w:val="44"/>
          <w:sz w:val="32"/>
          <w:szCs w:val="44"/>
        </w:rPr>
        <w:t xml:space="preserve">第三章  </w:t>
      </w:r>
      <w:bookmarkEnd w:id="23"/>
      <w:bookmarkEnd w:id="24"/>
      <w:bookmarkEnd w:id="25"/>
      <w:bookmarkEnd w:id="27"/>
      <w:bookmarkStart w:id="28" w:name="_Toc319064301"/>
      <w:bookmarkStart w:id="29" w:name="_Toc404340464"/>
      <w:r>
        <w:rPr>
          <w:rFonts w:hint="eastAsia" w:ascii="宋体" w:hAnsi="宋体" w:eastAsia="宋体" w:cs="宋体"/>
          <w:b/>
          <w:color w:val="auto"/>
          <w:sz w:val="32"/>
          <w:szCs w:val="32"/>
          <w:highlight w:val="none"/>
        </w:rPr>
        <w:t>合同</w:t>
      </w:r>
      <w:r>
        <w:rPr>
          <w:rFonts w:hint="eastAsia" w:ascii="宋体" w:hAnsi="宋体" w:eastAsia="宋体" w:cs="宋体"/>
          <w:b/>
          <w:color w:val="auto"/>
          <w:sz w:val="32"/>
          <w:szCs w:val="32"/>
          <w:highlight w:val="none"/>
          <w:lang w:val="zh-CN"/>
        </w:rPr>
        <w:t>条款及格式</w:t>
      </w:r>
    </w:p>
    <w:p w14:paraId="60953047">
      <w:pPr>
        <w:autoSpaceDE w:val="0"/>
        <w:autoSpaceDN w:val="0"/>
        <w:adjustRightInd w:val="0"/>
        <w:spacing w:line="240" w:lineRule="atLeast"/>
        <w:jc w:val="center"/>
        <w:rPr>
          <w:rFonts w:hint="eastAsia" w:ascii="仿宋" w:hAnsi="仿宋" w:eastAsia="仿宋" w:cs="仿宋"/>
          <w:b/>
          <w:bCs/>
          <w:color w:val="auto"/>
          <w:kern w:val="0"/>
          <w:sz w:val="56"/>
          <w:szCs w:val="56"/>
        </w:rPr>
      </w:pPr>
      <w:r>
        <w:rPr>
          <w:rFonts w:hint="eastAsia" w:ascii="仿宋" w:hAnsi="仿宋" w:eastAsia="仿宋" w:cs="仿宋"/>
          <w:color w:val="auto"/>
          <w:kern w:val="0"/>
          <w:sz w:val="56"/>
          <w:szCs w:val="56"/>
        </w:rPr>
        <w:t xml:space="preserve"> </w:t>
      </w:r>
      <w:r>
        <w:rPr>
          <w:rFonts w:hint="eastAsia" w:ascii="仿宋" w:hAnsi="仿宋" w:eastAsia="仿宋" w:cs="仿宋"/>
          <w:b/>
          <w:bCs/>
          <w:color w:val="auto"/>
          <w:kern w:val="0"/>
          <w:sz w:val="56"/>
          <w:szCs w:val="56"/>
        </w:rPr>
        <w:t>建设工程</w:t>
      </w:r>
      <w:r>
        <w:rPr>
          <w:rFonts w:hint="eastAsia" w:ascii="仿宋" w:hAnsi="仿宋" w:eastAsia="仿宋" w:cs="仿宋"/>
          <w:b/>
          <w:bCs/>
          <w:color w:val="auto"/>
          <w:kern w:val="0"/>
          <w:sz w:val="56"/>
          <w:szCs w:val="56"/>
          <w:lang w:val="en-US" w:eastAsia="zh-CN"/>
        </w:rPr>
        <w:t>监理</w:t>
      </w:r>
      <w:r>
        <w:rPr>
          <w:rFonts w:hint="eastAsia" w:ascii="仿宋" w:hAnsi="仿宋" w:eastAsia="仿宋" w:cs="仿宋"/>
          <w:b/>
          <w:bCs/>
          <w:color w:val="auto"/>
          <w:kern w:val="0"/>
          <w:sz w:val="56"/>
          <w:szCs w:val="56"/>
        </w:rPr>
        <w:t>合同</w:t>
      </w:r>
    </w:p>
    <w:p w14:paraId="591996E4">
      <w:pPr>
        <w:tabs>
          <w:tab w:val="left" w:pos="427"/>
        </w:tabs>
        <w:autoSpaceDE w:val="0"/>
        <w:autoSpaceDN w:val="0"/>
        <w:adjustRightInd w:val="0"/>
        <w:jc w:val="left"/>
        <w:rPr>
          <w:rFonts w:hint="eastAsia" w:ascii="仿宋" w:hAnsi="仿宋" w:eastAsia="仿宋" w:cs="仿宋"/>
          <w:b/>
          <w:bCs/>
          <w:color w:val="auto"/>
          <w:kern w:val="0"/>
          <w:sz w:val="24"/>
          <w:szCs w:val="24"/>
        </w:rPr>
      </w:pPr>
    </w:p>
    <w:p w14:paraId="230AB52C">
      <w:pPr>
        <w:tabs>
          <w:tab w:val="left" w:pos="427"/>
        </w:tabs>
        <w:autoSpaceDE w:val="0"/>
        <w:autoSpaceDN w:val="0"/>
        <w:adjustRightInd w:val="0"/>
        <w:jc w:val="left"/>
        <w:rPr>
          <w:rFonts w:hint="eastAsia" w:ascii="仿宋" w:hAnsi="仿宋" w:eastAsia="仿宋" w:cs="仿宋"/>
          <w:b/>
          <w:bCs/>
          <w:color w:val="auto"/>
          <w:kern w:val="0"/>
          <w:sz w:val="22"/>
          <w:szCs w:val="22"/>
        </w:rPr>
      </w:pPr>
    </w:p>
    <w:p w14:paraId="39FEB6AD">
      <w:pPr>
        <w:tabs>
          <w:tab w:val="left" w:pos="427"/>
        </w:tabs>
        <w:autoSpaceDE w:val="0"/>
        <w:autoSpaceDN w:val="0"/>
        <w:adjustRightInd w:val="0"/>
        <w:jc w:val="left"/>
        <w:rPr>
          <w:rFonts w:hint="eastAsia" w:ascii="仿宋" w:hAnsi="仿宋" w:eastAsia="仿宋" w:cs="仿宋"/>
          <w:b/>
          <w:bCs/>
          <w:color w:val="auto"/>
          <w:kern w:val="0"/>
          <w:sz w:val="22"/>
          <w:szCs w:val="22"/>
        </w:rPr>
      </w:pPr>
    </w:p>
    <w:p w14:paraId="72571330">
      <w:pPr>
        <w:tabs>
          <w:tab w:val="left" w:pos="427"/>
        </w:tabs>
        <w:autoSpaceDE w:val="0"/>
        <w:autoSpaceDN w:val="0"/>
        <w:adjustRightInd w:val="0"/>
        <w:jc w:val="left"/>
        <w:rPr>
          <w:rFonts w:hint="eastAsia" w:ascii="仿宋" w:hAnsi="仿宋" w:eastAsia="仿宋" w:cs="仿宋"/>
          <w:b/>
          <w:bCs/>
          <w:color w:val="auto"/>
          <w:kern w:val="0"/>
          <w:sz w:val="22"/>
          <w:szCs w:val="22"/>
        </w:rPr>
      </w:pPr>
    </w:p>
    <w:p w14:paraId="5C5AE0D3">
      <w:pPr>
        <w:tabs>
          <w:tab w:val="left" w:pos="427"/>
        </w:tabs>
        <w:autoSpaceDE w:val="0"/>
        <w:autoSpaceDN w:val="0"/>
        <w:adjustRightInd w:val="0"/>
        <w:jc w:val="left"/>
        <w:rPr>
          <w:rFonts w:hint="eastAsia" w:ascii="仿宋" w:hAnsi="仿宋" w:eastAsia="仿宋" w:cs="仿宋"/>
          <w:b/>
          <w:bCs/>
          <w:color w:val="auto"/>
          <w:kern w:val="0"/>
          <w:sz w:val="22"/>
          <w:szCs w:val="22"/>
        </w:rPr>
      </w:pPr>
    </w:p>
    <w:p w14:paraId="4BD1BF32">
      <w:pPr>
        <w:tabs>
          <w:tab w:val="left" w:pos="427"/>
        </w:tabs>
        <w:autoSpaceDE w:val="0"/>
        <w:autoSpaceDN w:val="0"/>
        <w:adjustRightInd w:val="0"/>
        <w:jc w:val="left"/>
        <w:rPr>
          <w:rFonts w:hint="eastAsia" w:ascii="仿宋" w:hAnsi="仿宋" w:eastAsia="仿宋" w:cs="仿宋"/>
          <w:b/>
          <w:bCs/>
          <w:color w:val="auto"/>
          <w:kern w:val="0"/>
          <w:sz w:val="22"/>
          <w:szCs w:val="22"/>
        </w:rPr>
      </w:pPr>
    </w:p>
    <w:p w14:paraId="1DA5419B">
      <w:pPr>
        <w:autoSpaceDE w:val="0"/>
        <w:autoSpaceDN w:val="0"/>
        <w:adjustRightInd w:val="0"/>
        <w:jc w:val="center"/>
        <w:rPr>
          <w:rFonts w:hint="eastAsia" w:ascii="仿宋" w:hAnsi="仿宋" w:eastAsia="仿宋" w:cs="仿宋"/>
          <w:b/>
          <w:bCs/>
          <w:color w:val="auto"/>
          <w:kern w:val="0"/>
          <w:sz w:val="36"/>
          <w:szCs w:val="36"/>
        </w:rPr>
      </w:pPr>
    </w:p>
    <w:p w14:paraId="3675B855">
      <w:pPr>
        <w:pStyle w:val="2"/>
        <w:rPr>
          <w:rFonts w:hint="eastAsia" w:ascii="仿宋" w:hAnsi="仿宋" w:eastAsia="仿宋" w:cs="仿宋"/>
          <w:b/>
          <w:bCs/>
          <w:color w:val="auto"/>
          <w:kern w:val="0"/>
          <w:sz w:val="36"/>
          <w:szCs w:val="36"/>
        </w:rPr>
      </w:pPr>
    </w:p>
    <w:p w14:paraId="7BB02185">
      <w:pPr>
        <w:rPr>
          <w:rFonts w:hint="eastAsia" w:ascii="仿宋" w:hAnsi="仿宋" w:eastAsia="仿宋" w:cs="仿宋"/>
          <w:b/>
          <w:bCs/>
          <w:color w:val="auto"/>
          <w:kern w:val="0"/>
          <w:sz w:val="36"/>
          <w:szCs w:val="36"/>
        </w:rPr>
      </w:pPr>
    </w:p>
    <w:p w14:paraId="7266367C">
      <w:pPr>
        <w:pStyle w:val="2"/>
        <w:jc w:val="both"/>
        <w:rPr>
          <w:rFonts w:hint="eastAsia"/>
        </w:rPr>
      </w:pPr>
    </w:p>
    <w:p w14:paraId="679598B7">
      <w:pPr>
        <w:pStyle w:val="2"/>
        <w:jc w:val="both"/>
        <w:rPr>
          <w:rFonts w:hint="eastAsia"/>
        </w:rPr>
      </w:pPr>
    </w:p>
    <w:p w14:paraId="1939A91F">
      <w:pPr>
        <w:rPr>
          <w:rFonts w:hint="eastAsia"/>
        </w:rPr>
      </w:pPr>
    </w:p>
    <w:p w14:paraId="18081C3C">
      <w:pPr>
        <w:pStyle w:val="2"/>
        <w:rPr>
          <w:rFonts w:hint="eastAsia"/>
        </w:rPr>
      </w:pPr>
    </w:p>
    <w:p w14:paraId="61D20FC5">
      <w:pPr>
        <w:rPr>
          <w:rFonts w:hint="eastAsia"/>
        </w:rPr>
      </w:pPr>
    </w:p>
    <w:p w14:paraId="164CB721">
      <w:pPr>
        <w:pStyle w:val="2"/>
        <w:rPr>
          <w:rFonts w:hint="eastAsia"/>
        </w:rPr>
      </w:pPr>
    </w:p>
    <w:p w14:paraId="10BB26AA">
      <w:pPr>
        <w:rPr>
          <w:rFonts w:hint="eastAsia"/>
        </w:rPr>
      </w:pPr>
    </w:p>
    <w:p w14:paraId="64950344">
      <w:pPr>
        <w:autoSpaceDE w:val="0"/>
        <w:autoSpaceDN w:val="0"/>
        <w:adjustRightInd w:val="0"/>
        <w:jc w:val="center"/>
        <w:rPr>
          <w:rFonts w:hint="eastAsia" w:ascii="仿宋" w:hAnsi="仿宋" w:eastAsia="仿宋" w:cs="仿宋"/>
          <w:b/>
          <w:bCs/>
          <w:color w:val="auto"/>
          <w:kern w:val="0"/>
          <w:sz w:val="22"/>
          <w:szCs w:val="22"/>
        </w:rPr>
      </w:pPr>
    </w:p>
    <w:p w14:paraId="7CE5C7A7">
      <w:pPr>
        <w:autoSpaceDE w:val="0"/>
        <w:autoSpaceDN w:val="0"/>
        <w:adjustRightInd w:val="0"/>
        <w:jc w:val="center"/>
        <w:rPr>
          <w:rFonts w:hint="eastAsia" w:ascii="仿宋" w:hAnsi="仿宋" w:eastAsia="仿宋" w:cs="仿宋"/>
          <w:b/>
          <w:bCs/>
          <w:color w:val="auto"/>
          <w:kern w:val="0"/>
          <w:sz w:val="36"/>
          <w:szCs w:val="36"/>
        </w:rPr>
      </w:pPr>
    </w:p>
    <w:tbl>
      <w:tblPr>
        <w:tblStyle w:val="22"/>
        <w:tblpPr w:leftFromText="180" w:rightFromText="180" w:vertAnchor="text" w:horzAnchor="page" w:tblpX="3886"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52"/>
      </w:tblGrid>
      <w:tr w14:paraId="1BC9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trPr>
        <w:tc>
          <w:tcPr>
            <w:tcW w:w="3852" w:type="dxa"/>
            <w:tcBorders>
              <w:top w:val="nil"/>
              <w:left w:val="nil"/>
              <w:bottom w:val="nil"/>
              <w:right w:val="nil"/>
            </w:tcBorders>
            <w:noWrap w:val="0"/>
            <w:vAlign w:val="top"/>
          </w:tcPr>
          <w:p w14:paraId="3DA06B45">
            <w:pPr>
              <w:keepNext w:val="0"/>
              <w:keepLines w:val="0"/>
              <w:kinsoku/>
              <w:wordWrap/>
              <w:overflowPunct/>
              <w:topLinePunct w:val="0"/>
              <w:autoSpaceDE/>
              <w:autoSpaceDN/>
              <w:bidi w:val="0"/>
              <w:snapToGrid/>
              <w:spacing w:beforeAutospacing="0" w:afterAutospacing="0" w:line="360" w:lineRule="auto"/>
              <w:ind w:right="0" w:rightChars="0"/>
              <w:jc w:val="distribute"/>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rPr>
              <w:t>住房和城乡建设部</w:t>
            </w:r>
          </w:p>
          <w:p w14:paraId="21A14F84">
            <w:pPr>
              <w:keepNext w:val="0"/>
              <w:keepLines w:val="0"/>
              <w:kinsoku/>
              <w:wordWrap/>
              <w:overflowPunct/>
              <w:topLinePunct w:val="0"/>
              <w:autoSpaceDE/>
              <w:autoSpaceDN/>
              <w:bidi w:val="0"/>
              <w:snapToGrid/>
              <w:spacing w:beforeAutospacing="0" w:afterAutospacing="0" w:line="360" w:lineRule="auto"/>
              <w:ind w:right="0" w:rightChars="0"/>
              <w:jc w:val="distribute"/>
              <w:textAlignment w:val="auto"/>
              <w:rPr>
                <w:rFonts w:hint="eastAsia" w:ascii="仿宋" w:hAnsi="仿宋" w:eastAsia="仿宋" w:cs="仿宋"/>
                <w:color w:val="auto"/>
                <w:kern w:val="2"/>
                <w:sz w:val="24"/>
                <w:szCs w:val="24"/>
              </w:rPr>
            </w:pPr>
            <w:r>
              <w:rPr>
                <w:rFonts w:hint="eastAsia" w:ascii="仿宋" w:hAnsi="仿宋" w:eastAsia="仿宋" w:cs="仿宋"/>
                <w:b/>
                <w:bCs/>
                <w:color w:val="auto"/>
                <w:kern w:val="2"/>
                <w:sz w:val="24"/>
                <w:szCs w:val="24"/>
              </w:rPr>
              <w:t>国家工商行政管理总局</w:t>
            </w:r>
          </w:p>
        </w:tc>
      </w:tr>
    </w:tbl>
    <w:p w14:paraId="2B821AD0">
      <w:pPr>
        <w:keepNext w:val="0"/>
        <w:keepLines w:val="0"/>
        <w:kinsoku/>
        <w:wordWrap/>
        <w:overflowPunct/>
        <w:topLinePunct w:val="0"/>
        <w:autoSpaceDE/>
        <w:autoSpaceDN/>
        <w:bidi w:val="0"/>
        <w:snapToGrid/>
        <w:spacing w:beforeAutospacing="0" w:afterAutospacing="0" w:line="360" w:lineRule="auto"/>
        <w:ind w:left="0" w:leftChars="0" w:right="0" w:rightChars="0" w:firstLine="480" w:firstLineChars="200"/>
        <w:jc w:val="distribute"/>
        <w:textAlignment w:val="auto"/>
        <w:rPr>
          <w:rFonts w:hint="eastAsia" w:ascii="仿宋" w:hAnsi="仿宋" w:eastAsia="仿宋" w:cs="仿宋"/>
          <w:color w:val="auto"/>
          <w:kern w:val="2"/>
          <w:sz w:val="24"/>
          <w:szCs w:val="24"/>
        </w:rPr>
      </w:pPr>
    </w:p>
    <w:tbl>
      <w:tblPr>
        <w:tblStyle w:val="22"/>
        <w:tblpPr w:leftFromText="180" w:rightFromText="180" w:vertAnchor="text" w:horzAnchor="page" w:tblpX="7810" w:tblpY="1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tblGrid>
      <w:tr w14:paraId="28A30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008" w:type="dxa"/>
            <w:tcBorders>
              <w:top w:val="nil"/>
              <w:left w:val="nil"/>
              <w:bottom w:val="nil"/>
              <w:right w:val="nil"/>
            </w:tcBorders>
            <w:noWrap w:val="0"/>
            <w:vAlign w:val="top"/>
          </w:tcPr>
          <w:p w14:paraId="26206346">
            <w:pPr>
              <w:keepNext w:val="0"/>
              <w:keepLines w:val="0"/>
              <w:kinsoku/>
              <w:wordWrap/>
              <w:overflowPunct/>
              <w:topLinePunct w:val="0"/>
              <w:autoSpaceDE/>
              <w:autoSpaceDN/>
              <w:bidi w:val="0"/>
              <w:snapToGrid/>
              <w:spacing w:beforeAutospacing="0" w:afterAutospacing="0" w:line="360" w:lineRule="auto"/>
              <w:ind w:right="0" w:rightChars="0"/>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rPr>
              <w:t>制定</w:t>
            </w:r>
          </w:p>
        </w:tc>
      </w:tr>
    </w:tbl>
    <w:p w14:paraId="027C0908">
      <w:pPr>
        <w:pStyle w:val="19"/>
        <w:tabs>
          <w:tab w:val="left" w:pos="1260"/>
          <w:tab w:val="left" w:pos="1685"/>
          <w:tab w:val="right" w:leader="dot" w:pos="8400"/>
        </w:tabs>
        <w:ind w:firstLine="360"/>
        <w:rPr>
          <w:rFonts w:hint="eastAsia" w:ascii="仿宋" w:hAnsi="仿宋" w:eastAsia="仿宋" w:cs="仿宋"/>
          <w:sz w:val="36"/>
          <w:szCs w:val="28"/>
        </w:rPr>
      </w:pPr>
    </w:p>
    <w:p w14:paraId="4280B343">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Style w:val="42"/>
          <w:rFonts w:hint="eastAsia" w:ascii="仿宋" w:hAnsi="仿宋" w:eastAsia="仿宋" w:cs="仿宋"/>
          <w:sz w:val="24"/>
          <w:szCs w:val="24"/>
        </w:rPr>
      </w:pPr>
    </w:p>
    <w:p w14:paraId="53E05102">
      <w:pPr>
        <w:pStyle w:val="41"/>
        <w:rPr>
          <w:rFonts w:hint="eastAsia" w:ascii="仿宋" w:hAnsi="仿宋" w:eastAsia="仿宋" w:cs="仿宋"/>
          <w:sz w:val="24"/>
          <w:szCs w:val="24"/>
        </w:rPr>
        <w:sectPr>
          <w:headerReference r:id="rId12" w:type="default"/>
          <w:footerReference r:id="rId13" w:type="default"/>
          <w:pgSz w:w="11906" w:h="16838"/>
          <w:pgMar w:top="1418" w:right="1418" w:bottom="1418" w:left="1418" w:header="851" w:footer="992" w:gutter="0"/>
          <w:pgNumType w:fmt="decimal"/>
          <w:cols w:space="720" w:num="1"/>
          <w:docGrid w:linePitch="312" w:charSpace="0"/>
        </w:sectPr>
      </w:pPr>
      <w:r>
        <w:rPr>
          <w:rFonts w:hint="eastAsia" w:ascii="仿宋" w:hAnsi="仿宋" w:eastAsia="仿宋" w:cs="仿宋"/>
          <w:sz w:val="24"/>
          <w:szCs w:val="24"/>
        </w:rPr>
        <w:br w:type="page"/>
      </w:r>
    </w:p>
    <w:p w14:paraId="471E8A1E">
      <w:pPr>
        <w:pStyle w:val="41"/>
        <w:rPr>
          <w:rFonts w:hint="eastAsia" w:ascii="仿宋" w:hAnsi="仿宋" w:eastAsia="仿宋" w:cs="仿宋"/>
          <w:sz w:val="24"/>
          <w:szCs w:val="24"/>
        </w:rPr>
      </w:pPr>
    </w:p>
    <w:p w14:paraId="0BB3E0E3">
      <w:pPr>
        <w:keepNext w:val="0"/>
        <w:keepLines w:val="0"/>
        <w:pageBreakBefore w:val="0"/>
        <w:widowControl/>
        <w:kinsoku/>
        <w:wordWrap/>
        <w:overflowPunct/>
        <w:topLinePunct w:val="0"/>
        <w:autoSpaceDE/>
        <w:autoSpaceDN/>
        <w:bidi w:val="0"/>
        <w:adjustRightInd/>
        <w:snapToGrid/>
        <w:spacing w:beforeAutospacing="0" w:afterAutospacing="0" w:line="432" w:lineRule="auto"/>
        <w:ind w:left="0" w:leftChars="0" w:right="0" w:rightChars="0" w:firstLine="0" w:firstLineChars="0"/>
        <w:jc w:val="center"/>
        <w:textAlignment w:val="auto"/>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rPr>
        <w:t>第一部分  协议书</w:t>
      </w:r>
    </w:p>
    <w:p w14:paraId="1373FF1A">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u w:val="single"/>
          <w:lang w:val="en-US" w:eastAsia="zh-CN"/>
        </w:rPr>
      </w:pPr>
      <w:bookmarkStart w:id="30" w:name="_Toc9250"/>
      <w:bookmarkStart w:id="31" w:name="_Toc28392"/>
      <w:r>
        <w:rPr>
          <w:rFonts w:hint="eastAsia" w:asciiTheme="minorEastAsia" w:hAnsiTheme="minorEastAsia" w:eastAsiaTheme="minorEastAsia" w:cstheme="minorEastAsia"/>
          <w:b/>
          <w:bCs/>
          <w:color w:val="auto"/>
          <w:kern w:val="0"/>
          <w:sz w:val="24"/>
          <w:szCs w:val="24"/>
        </w:rPr>
        <w:t>委托人（全称）：</w:t>
      </w:r>
      <w:bookmarkEnd w:id="30"/>
      <w:bookmarkEnd w:id="31"/>
      <w:r>
        <w:rPr>
          <w:rFonts w:hint="eastAsia" w:asciiTheme="minorEastAsia" w:hAnsiTheme="minorEastAsia" w:eastAsiaTheme="minorEastAsia" w:cstheme="minorEastAsia"/>
          <w:b/>
          <w:bCs/>
          <w:color w:val="auto"/>
          <w:kern w:val="0"/>
          <w:sz w:val="24"/>
          <w:szCs w:val="24"/>
          <w:u w:val="single"/>
          <w:lang w:val="en-US" w:eastAsia="zh-CN"/>
        </w:rPr>
        <w:t xml:space="preserve">  </w:t>
      </w:r>
      <w:r>
        <w:rPr>
          <w:rFonts w:hint="eastAsia" w:asciiTheme="minorEastAsia" w:hAnsiTheme="minorEastAsia" w:eastAsiaTheme="minorEastAsia" w:cstheme="minorEastAsia"/>
          <w:color w:val="000000"/>
          <w:kern w:val="0"/>
          <w:sz w:val="24"/>
          <w:szCs w:val="24"/>
          <w:u w:val="single"/>
          <w:lang w:val="en-US" w:eastAsia="zh-CN" w:bidi="ar"/>
        </w:rPr>
        <w:t>泾阳县住房和城乡建设局</w:t>
      </w:r>
      <w:r>
        <w:rPr>
          <w:rFonts w:hint="eastAsia" w:asciiTheme="minorEastAsia" w:hAnsiTheme="minorEastAsia" w:eastAsiaTheme="minorEastAsia" w:cstheme="minorEastAsia"/>
          <w:b/>
          <w:bCs/>
          <w:color w:val="auto"/>
          <w:kern w:val="0"/>
          <w:sz w:val="24"/>
          <w:szCs w:val="24"/>
          <w:u w:val="single"/>
          <w:lang w:val="en-US" w:eastAsia="zh-CN"/>
        </w:rPr>
        <w:t xml:space="preserve">       </w:t>
      </w:r>
    </w:p>
    <w:p w14:paraId="3C010262">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textAlignment w:val="auto"/>
        <w:rPr>
          <w:rFonts w:hint="eastAsia" w:asciiTheme="minorEastAsia" w:hAnsiTheme="minorEastAsia" w:eastAsiaTheme="minorEastAsia" w:cstheme="minorEastAsia"/>
          <w:color w:val="auto"/>
          <w:kern w:val="0"/>
          <w:sz w:val="24"/>
          <w:szCs w:val="24"/>
          <w:u w:val="single"/>
          <w:lang w:val="en-US" w:eastAsia="zh-CN"/>
        </w:rPr>
      </w:pPr>
      <w:bookmarkStart w:id="32" w:name="_Toc18507"/>
      <w:bookmarkStart w:id="33" w:name="_Toc8352"/>
      <w:r>
        <w:rPr>
          <w:rFonts w:hint="eastAsia" w:asciiTheme="minorEastAsia" w:hAnsiTheme="minorEastAsia" w:eastAsiaTheme="minorEastAsia" w:cstheme="minorEastAsia"/>
          <w:b/>
          <w:bCs/>
          <w:color w:val="auto"/>
          <w:kern w:val="0"/>
          <w:sz w:val="24"/>
          <w:szCs w:val="24"/>
        </w:rPr>
        <w:t>监理人（全称）：</w:t>
      </w:r>
      <w:bookmarkEnd w:id="32"/>
      <w:bookmarkEnd w:id="33"/>
      <w:r>
        <w:rPr>
          <w:rFonts w:hint="eastAsia" w:asciiTheme="minorEastAsia" w:hAnsiTheme="minorEastAsia" w:eastAsiaTheme="minorEastAsia" w:cstheme="minorEastAsia"/>
          <w:b/>
          <w:bCs/>
          <w:color w:val="auto"/>
          <w:kern w:val="0"/>
          <w:sz w:val="24"/>
          <w:szCs w:val="24"/>
          <w:u w:val="single"/>
          <w:lang w:val="en-US" w:eastAsia="zh-CN"/>
        </w:rPr>
        <w:t xml:space="preserve">                               </w:t>
      </w:r>
    </w:p>
    <w:p w14:paraId="713B8B00">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rPr>
        <w:t>根据《中华人民共和国</w:t>
      </w:r>
      <w:r>
        <w:rPr>
          <w:rFonts w:hint="eastAsia" w:asciiTheme="minorEastAsia" w:hAnsiTheme="minorEastAsia" w:eastAsiaTheme="minorEastAsia" w:cstheme="minorEastAsia"/>
          <w:color w:val="auto"/>
          <w:kern w:val="0"/>
          <w:sz w:val="24"/>
          <w:szCs w:val="24"/>
          <w:lang w:eastAsia="zh-CN"/>
        </w:rPr>
        <w:t>民法典</w:t>
      </w:r>
      <w:r>
        <w:rPr>
          <w:rFonts w:hint="eastAsia" w:asciiTheme="minorEastAsia" w:hAnsiTheme="minorEastAsia" w:eastAsiaTheme="minorEastAsia" w:cstheme="minorEastAsia"/>
          <w:color w:val="auto"/>
          <w:kern w:val="0"/>
          <w:sz w:val="24"/>
          <w:szCs w:val="24"/>
        </w:rPr>
        <w:t>》、《中华人民共和国建筑法》及其他有关法律、法规，遵循平等、自愿、公平和诚信的原则，双方就下述工程委托监理与相关服务事项协商一致，订立本合同。</w:t>
      </w:r>
    </w:p>
    <w:p w14:paraId="1CFE033E">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34" w:name="_Toc13822"/>
      <w:bookmarkStart w:id="35" w:name="_Toc23036"/>
      <w:r>
        <w:rPr>
          <w:rFonts w:hint="eastAsia" w:asciiTheme="minorEastAsia" w:hAnsiTheme="minorEastAsia" w:eastAsiaTheme="minorEastAsia" w:cstheme="minorEastAsia"/>
          <w:b/>
          <w:bCs/>
          <w:color w:val="auto"/>
          <w:kern w:val="0"/>
          <w:sz w:val="24"/>
          <w:szCs w:val="24"/>
        </w:rPr>
        <w:t>一、工程概况</w:t>
      </w:r>
      <w:bookmarkEnd w:id="34"/>
      <w:bookmarkEnd w:id="35"/>
    </w:p>
    <w:p w14:paraId="72876EA1">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0"/>
          <w:sz w:val="24"/>
          <w:szCs w:val="24"/>
        </w:rPr>
      </w:pPr>
      <w:r>
        <w:rPr>
          <w:rFonts w:hint="eastAsia" w:asciiTheme="minorEastAsia" w:hAnsiTheme="minorEastAsia" w:eastAsiaTheme="minorEastAsia" w:cstheme="minorEastAsia"/>
          <w:b w:val="0"/>
          <w:bCs w:val="0"/>
          <w:color w:val="auto"/>
          <w:kern w:val="0"/>
          <w:sz w:val="24"/>
          <w:szCs w:val="24"/>
        </w:rPr>
        <w:t>1. 工程名称：</w:t>
      </w:r>
      <w:r>
        <w:rPr>
          <w:rFonts w:hint="eastAsia" w:asciiTheme="minorEastAsia" w:hAnsiTheme="minorEastAsia" w:eastAsiaTheme="minorEastAsia" w:cstheme="minorEastAsia"/>
          <w:b w:val="0"/>
          <w:bCs w:val="0"/>
          <w:color w:val="auto"/>
          <w:kern w:val="0"/>
          <w:sz w:val="24"/>
          <w:szCs w:val="24"/>
          <w:u w:val="single"/>
          <w:lang w:val="en-US" w:eastAsia="zh-CN"/>
        </w:rPr>
        <w:t>泾阳县县城吉元大街基础设施改造项目监理服务</w:t>
      </w:r>
      <w:r>
        <w:rPr>
          <w:rFonts w:hint="eastAsia" w:asciiTheme="minorEastAsia" w:hAnsiTheme="minorEastAsia" w:eastAsiaTheme="minorEastAsia" w:cstheme="minorEastAsia"/>
          <w:b w:val="0"/>
          <w:bCs w:val="0"/>
          <w:color w:val="auto"/>
          <w:kern w:val="0"/>
          <w:sz w:val="24"/>
          <w:szCs w:val="24"/>
          <w:u w:val="none"/>
          <w:lang w:val="en-US" w:eastAsia="zh-CN"/>
        </w:rPr>
        <w:t>；</w:t>
      </w:r>
    </w:p>
    <w:p w14:paraId="394F562C">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0"/>
          <w:sz w:val="24"/>
          <w:szCs w:val="24"/>
        </w:rPr>
      </w:pPr>
      <w:r>
        <w:rPr>
          <w:rFonts w:hint="eastAsia" w:asciiTheme="minorEastAsia" w:hAnsiTheme="minorEastAsia" w:eastAsiaTheme="minorEastAsia" w:cstheme="minorEastAsia"/>
          <w:b w:val="0"/>
          <w:bCs w:val="0"/>
          <w:color w:val="auto"/>
          <w:kern w:val="0"/>
          <w:sz w:val="24"/>
          <w:szCs w:val="24"/>
        </w:rPr>
        <w:t>2. 工程地点：</w:t>
      </w: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val="0"/>
          <w:bCs w:val="0"/>
          <w:color w:val="auto"/>
          <w:kern w:val="0"/>
          <w:sz w:val="24"/>
          <w:szCs w:val="24"/>
          <w:u w:val="single"/>
          <w:lang w:val="en-US" w:eastAsia="zh-CN"/>
        </w:rPr>
        <w:t xml:space="preserve">  </w:t>
      </w:r>
      <w:r>
        <w:rPr>
          <w:rFonts w:hint="eastAsia" w:asciiTheme="minorEastAsia" w:hAnsiTheme="minorEastAsia" w:eastAsiaTheme="minorEastAsia" w:cstheme="minorEastAsia"/>
          <w:b w:val="0"/>
          <w:bCs w:val="0"/>
          <w:color w:val="auto"/>
          <w:kern w:val="0"/>
          <w:sz w:val="24"/>
          <w:szCs w:val="24"/>
        </w:rPr>
        <w:t>；</w:t>
      </w:r>
    </w:p>
    <w:p w14:paraId="4778CA1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pacing w:before="0" w:beforeAutospacing="0" w:after="0" w:afterAutospacing="0" w:line="384" w:lineRule="auto"/>
        <w:ind w:left="0" w:right="0" w:firstLine="480"/>
        <w:textAlignment w:val="baseline"/>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b w:val="0"/>
          <w:bCs w:val="0"/>
          <w:color w:val="auto"/>
          <w:kern w:val="0"/>
          <w:sz w:val="24"/>
          <w:szCs w:val="24"/>
        </w:rPr>
        <w:t>3. 工程规模：</w:t>
      </w:r>
      <w:r>
        <w:rPr>
          <w:rFonts w:hint="eastAsia" w:asciiTheme="minorEastAsia" w:hAnsiTheme="minorEastAsia" w:eastAsiaTheme="minorEastAsia" w:cstheme="minorEastAsia"/>
          <w:b w:val="0"/>
          <w:bCs w:val="0"/>
          <w:color w:val="auto"/>
          <w:kern w:val="0"/>
          <w:sz w:val="24"/>
          <w:szCs w:val="24"/>
          <w:u w:val="single"/>
          <w:lang w:val="en-US" w:eastAsia="zh-CN"/>
        </w:rPr>
        <w:t xml:space="preserve"> 在县城吉元大街（汇奇医院-泾干大街），翻修人行道1.9万平方米，更新路灯68套，施交通标线、安装隔离护栏、交通标志牌、信号灯及监控设施，敷设通信排管等市政基础设施建设（具体以施工图为准）</w:t>
      </w:r>
      <w:r>
        <w:rPr>
          <w:rFonts w:hint="eastAsia" w:asciiTheme="minorEastAsia" w:hAnsiTheme="minorEastAsia" w:eastAsiaTheme="minorEastAsia" w:cstheme="minorEastAsia"/>
          <w:b w:val="0"/>
          <w:bCs w:val="0"/>
          <w:color w:val="auto"/>
          <w:kern w:val="0"/>
          <w:sz w:val="24"/>
          <w:szCs w:val="24"/>
          <w:u w:val="single"/>
          <w:lang w:val="en-US" w:eastAsia="zh-CN" w:bidi="ar-SA"/>
        </w:rPr>
        <w:t>。</w:t>
      </w:r>
    </w:p>
    <w:p w14:paraId="7C574C32">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36" w:name="_Toc11778"/>
      <w:bookmarkStart w:id="37" w:name="_Toc31761"/>
      <w:r>
        <w:rPr>
          <w:rFonts w:hint="eastAsia" w:asciiTheme="minorEastAsia" w:hAnsiTheme="minorEastAsia" w:eastAsiaTheme="minorEastAsia" w:cstheme="minorEastAsia"/>
          <w:b/>
          <w:bCs/>
          <w:color w:val="auto"/>
          <w:kern w:val="0"/>
          <w:sz w:val="24"/>
          <w:szCs w:val="24"/>
        </w:rPr>
        <w:t>二、词语限定</w:t>
      </w:r>
      <w:bookmarkEnd w:id="36"/>
      <w:bookmarkEnd w:id="37"/>
    </w:p>
    <w:p w14:paraId="5C1EC2E4">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协议书中相关词语的含义与通用条件中的定义与解释相同。</w:t>
      </w:r>
    </w:p>
    <w:p w14:paraId="3DFE0AFC">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38" w:name="_Toc23360"/>
      <w:bookmarkStart w:id="39" w:name="_Toc13969"/>
      <w:r>
        <w:rPr>
          <w:rFonts w:hint="eastAsia" w:asciiTheme="minorEastAsia" w:hAnsiTheme="minorEastAsia" w:eastAsiaTheme="minorEastAsia" w:cstheme="minorEastAsia"/>
          <w:b/>
          <w:bCs/>
          <w:color w:val="auto"/>
          <w:kern w:val="0"/>
          <w:sz w:val="24"/>
          <w:szCs w:val="24"/>
        </w:rPr>
        <w:t>三、组成本合同的文件</w:t>
      </w:r>
      <w:bookmarkEnd w:id="38"/>
      <w:bookmarkEnd w:id="39"/>
    </w:p>
    <w:p w14:paraId="37A9DEF8">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 协议书；</w:t>
      </w:r>
    </w:p>
    <w:p w14:paraId="7977D765">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 中标通知书；</w:t>
      </w:r>
    </w:p>
    <w:p w14:paraId="1E75073D">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 xml:space="preserve">3. </w:t>
      </w:r>
      <w:r>
        <w:rPr>
          <w:rFonts w:hint="eastAsia" w:asciiTheme="minorEastAsia" w:hAnsiTheme="minorEastAsia" w:eastAsiaTheme="minorEastAsia" w:cstheme="minorEastAsia"/>
          <w:color w:val="auto"/>
          <w:kern w:val="0"/>
          <w:sz w:val="24"/>
          <w:szCs w:val="24"/>
          <w:lang w:val="en-US" w:eastAsia="zh-CN"/>
        </w:rPr>
        <w:t>投标文件</w:t>
      </w:r>
      <w:r>
        <w:rPr>
          <w:rFonts w:hint="eastAsia" w:asciiTheme="minorEastAsia" w:hAnsiTheme="minorEastAsia" w:eastAsiaTheme="minorEastAsia" w:cstheme="minorEastAsia"/>
          <w:color w:val="auto"/>
          <w:kern w:val="0"/>
          <w:sz w:val="24"/>
          <w:szCs w:val="24"/>
        </w:rPr>
        <w:t>；</w:t>
      </w:r>
    </w:p>
    <w:p w14:paraId="369CC5BA">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4. 专用条件；</w:t>
      </w:r>
    </w:p>
    <w:p w14:paraId="075291A1">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5. 通用条件；</w:t>
      </w:r>
    </w:p>
    <w:p w14:paraId="7D1EE02B">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6. 附录，即：</w:t>
      </w:r>
    </w:p>
    <w:p w14:paraId="05C0E511">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附录A  相关服务的范围和内容</w:t>
      </w:r>
    </w:p>
    <w:p w14:paraId="46ACCB08">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附录B  委托人派遣的人员和提供的房屋、资料、设备</w:t>
      </w:r>
    </w:p>
    <w:p w14:paraId="29F8EBC0">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本合同签订后，双方依法签订的补充协议也是本合同文件的组成部分。</w:t>
      </w:r>
    </w:p>
    <w:p w14:paraId="4A332A48">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40" w:name="_Toc7576"/>
      <w:bookmarkStart w:id="41" w:name="_Toc28481"/>
      <w:r>
        <w:rPr>
          <w:rFonts w:hint="eastAsia" w:asciiTheme="minorEastAsia" w:hAnsiTheme="minorEastAsia" w:eastAsiaTheme="minorEastAsia" w:cstheme="minorEastAsia"/>
          <w:b/>
          <w:bCs/>
          <w:color w:val="auto"/>
          <w:kern w:val="0"/>
          <w:sz w:val="24"/>
          <w:szCs w:val="24"/>
        </w:rPr>
        <w:t>四、总监理工程师</w:t>
      </w:r>
      <w:bookmarkEnd w:id="40"/>
      <w:bookmarkEnd w:id="41"/>
    </w:p>
    <w:p w14:paraId="180EA652">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总监理工程师姓名：</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，身份证号码：</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注册号</w:t>
      </w:r>
      <w:r>
        <w:rPr>
          <w:rFonts w:hint="eastAsia" w:asciiTheme="minorEastAsia" w:hAnsiTheme="minorEastAsia" w:eastAsiaTheme="minorEastAsia" w:cstheme="minorEastAsia"/>
          <w:color w:val="auto"/>
          <w:kern w:val="0"/>
          <w:sz w:val="24"/>
          <w:szCs w:val="24"/>
          <w:lang w:eastAsia="zh-CN"/>
        </w:rPr>
        <w:t>：</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none"/>
          <w:lang w:val="en-US" w:eastAsia="zh-CN"/>
        </w:rPr>
        <w:t>。</w:t>
      </w:r>
    </w:p>
    <w:p w14:paraId="5FA75712">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jc w:val="left"/>
        <w:textAlignment w:val="auto"/>
        <w:rPr>
          <w:rFonts w:hint="eastAsia" w:asciiTheme="minorEastAsia" w:hAnsiTheme="minorEastAsia" w:eastAsiaTheme="minorEastAsia" w:cstheme="minorEastAsia"/>
          <w:b/>
          <w:bCs/>
          <w:color w:val="auto"/>
          <w:kern w:val="0"/>
          <w:sz w:val="24"/>
          <w:szCs w:val="24"/>
          <w:highlight w:val="none"/>
        </w:rPr>
      </w:pPr>
      <w:bookmarkStart w:id="42" w:name="_Toc8583"/>
      <w:bookmarkStart w:id="43" w:name="_Toc26194"/>
      <w:r>
        <w:rPr>
          <w:rFonts w:hint="eastAsia" w:asciiTheme="minorEastAsia" w:hAnsiTheme="minorEastAsia" w:eastAsiaTheme="minorEastAsia" w:cstheme="minorEastAsia"/>
          <w:b/>
          <w:bCs/>
          <w:color w:val="auto"/>
          <w:kern w:val="0"/>
          <w:sz w:val="24"/>
          <w:szCs w:val="24"/>
        </w:rPr>
        <w:t>五、签约酬金</w:t>
      </w:r>
      <w:bookmarkEnd w:id="42"/>
      <w:bookmarkEnd w:id="43"/>
    </w:p>
    <w:p w14:paraId="135E0DBE">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firstLine="480" w:firstLineChars="200"/>
        <w:jc w:val="left"/>
        <w:textAlignment w:val="auto"/>
        <w:outlineLvl w:val="9"/>
        <w:rPr>
          <w:rFonts w:hint="eastAsia" w:asciiTheme="minorEastAsia" w:hAnsiTheme="minorEastAsia" w:eastAsiaTheme="minorEastAsia" w:cstheme="minorEastAsia"/>
          <w:color w:val="auto"/>
          <w:kern w:val="0"/>
          <w:sz w:val="24"/>
          <w:szCs w:val="24"/>
          <w:highlight w:val="none"/>
          <w:u w:val="none"/>
          <w:lang w:val="en-US" w:eastAsia="zh-CN"/>
        </w:rPr>
      </w:pPr>
      <w:r>
        <w:rPr>
          <w:rFonts w:hint="eastAsia" w:asciiTheme="minorEastAsia" w:hAnsiTheme="minorEastAsia" w:eastAsiaTheme="minorEastAsia" w:cstheme="minorEastAsia"/>
          <w:color w:val="auto"/>
          <w:kern w:val="0"/>
          <w:sz w:val="24"/>
          <w:szCs w:val="24"/>
          <w:highlight w:val="none"/>
        </w:rPr>
        <w:t>签约酬金（大写）：</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none"/>
          <w:lang w:val="en-US" w:eastAsia="zh-CN"/>
        </w:rPr>
        <w:t>固定费率</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0"/>
          <w:sz w:val="24"/>
          <w:szCs w:val="24"/>
          <w:highlight w:val="none"/>
          <w:u w:val="single"/>
          <w:lang w:val="en-US" w:eastAsia="zh-CN"/>
        </w:rPr>
        <w:t xml:space="preserve">    </w:t>
      </w:r>
      <w:r>
        <w:rPr>
          <w:rFonts w:hint="eastAsia" w:asciiTheme="minorEastAsia" w:hAnsiTheme="minorEastAsia" w:eastAsiaTheme="minorEastAsia" w:cstheme="minorEastAsia"/>
          <w:color w:val="auto"/>
          <w:kern w:val="0"/>
          <w:sz w:val="24"/>
          <w:szCs w:val="24"/>
          <w:highlight w:val="none"/>
          <w:u w:val="none"/>
          <w:lang w:val="en-US" w:eastAsia="zh-CN"/>
        </w:rPr>
        <w:t xml:space="preserve"> %</w:t>
      </w:r>
    </w:p>
    <w:p w14:paraId="04AA3410">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44" w:name="_Toc3731"/>
      <w:bookmarkStart w:id="45" w:name="_Toc15204"/>
      <w:r>
        <w:rPr>
          <w:rFonts w:hint="eastAsia" w:asciiTheme="minorEastAsia" w:hAnsiTheme="minorEastAsia" w:eastAsiaTheme="minorEastAsia" w:cstheme="minorEastAsia"/>
          <w:b/>
          <w:bCs/>
          <w:color w:val="auto"/>
          <w:kern w:val="0"/>
          <w:sz w:val="24"/>
          <w:szCs w:val="24"/>
        </w:rPr>
        <w:t>六、期限</w:t>
      </w:r>
      <w:bookmarkEnd w:id="44"/>
      <w:bookmarkEnd w:id="45"/>
      <w:r>
        <w:rPr>
          <w:rFonts w:hint="eastAsia" w:asciiTheme="minorEastAsia" w:hAnsiTheme="minorEastAsia" w:eastAsiaTheme="minorEastAsia" w:cstheme="minorEastAsia"/>
          <w:b/>
          <w:bCs/>
          <w:color w:val="auto"/>
          <w:kern w:val="0"/>
          <w:sz w:val="24"/>
          <w:szCs w:val="24"/>
          <w:lang w:val="en-US" w:eastAsia="zh-CN"/>
        </w:rPr>
        <w:t xml:space="preserve"> </w:t>
      </w:r>
    </w:p>
    <w:p w14:paraId="206E1ED4">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jc w:val="left"/>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 监理期限</w:t>
      </w:r>
    </w:p>
    <w:p w14:paraId="38296075">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2" w:firstLineChars="200"/>
        <w:jc w:val="left"/>
        <w:textAlignment w:val="auto"/>
        <w:rPr>
          <w:rFonts w:hint="eastAsia" w:asciiTheme="minorEastAsia" w:hAnsiTheme="minorEastAsia" w:eastAsiaTheme="minorEastAsia" w:cstheme="minorEastAsia"/>
          <w:b/>
          <w:bCs/>
          <w:color w:val="auto"/>
          <w:kern w:val="2"/>
          <w:sz w:val="24"/>
          <w:szCs w:val="24"/>
          <w:u w:val="single"/>
          <w:lang w:val="en-US" w:eastAsia="zh-CN"/>
        </w:rPr>
      </w:pPr>
      <w:r>
        <w:rPr>
          <w:rFonts w:hint="eastAsia" w:asciiTheme="minorEastAsia" w:hAnsiTheme="minorEastAsia" w:eastAsiaTheme="minorEastAsia" w:cstheme="minorEastAsia"/>
          <w:b/>
          <w:bCs/>
          <w:color w:val="auto"/>
          <w:kern w:val="2"/>
          <w:sz w:val="24"/>
          <w:szCs w:val="24"/>
          <w:u w:val="none"/>
          <w:lang w:val="en-US" w:eastAsia="zh-CN"/>
        </w:rPr>
        <w:t xml:space="preserve"> </w:t>
      </w:r>
      <w:r>
        <w:rPr>
          <w:rFonts w:hint="eastAsia" w:asciiTheme="minorEastAsia" w:hAnsiTheme="minorEastAsia" w:eastAsiaTheme="minorEastAsia" w:cstheme="minorEastAsia"/>
          <w:b w:val="0"/>
          <w:bCs w:val="0"/>
          <w:color w:val="auto"/>
          <w:kern w:val="2"/>
          <w:sz w:val="24"/>
          <w:szCs w:val="24"/>
          <w:u w:val="none"/>
          <w:lang w:val="en-US" w:eastAsia="zh-CN"/>
        </w:rPr>
        <w:t xml:space="preserve">  监理服务期</w:t>
      </w:r>
      <w:r>
        <w:rPr>
          <w:rFonts w:hint="eastAsia" w:asciiTheme="minorEastAsia" w:hAnsiTheme="minorEastAsia" w:eastAsiaTheme="minorEastAsia" w:cstheme="minorEastAsia"/>
          <w:b w:val="0"/>
          <w:bCs w:val="0"/>
          <w:color w:val="auto"/>
          <w:kern w:val="2"/>
          <w:sz w:val="24"/>
          <w:szCs w:val="24"/>
          <w:u w:val="single"/>
          <w:lang w:val="en-US" w:eastAsia="zh-CN"/>
        </w:rPr>
        <w:t xml:space="preserve">      </w:t>
      </w:r>
      <w:r>
        <w:rPr>
          <w:rFonts w:hint="eastAsia" w:asciiTheme="minorEastAsia" w:hAnsiTheme="minorEastAsia" w:eastAsiaTheme="minorEastAsia" w:cstheme="minorEastAsia"/>
          <w:b w:val="0"/>
          <w:bCs w:val="0"/>
          <w:color w:val="auto"/>
          <w:kern w:val="2"/>
          <w:sz w:val="24"/>
          <w:szCs w:val="24"/>
          <w:u w:val="none"/>
          <w:lang w:val="en-US" w:eastAsia="zh-CN"/>
        </w:rPr>
        <w:t>。</w:t>
      </w:r>
    </w:p>
    <w:p w14:paraId="162A8A24">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46" w:name="_Toc19120"/>
      <w:bookmarkStart w:id="47" w:name="_Toc14708"/>
      <w:r>
        <w:rPr>
          <w:rFonts w:hint="eastAsia" w:asciiTheme="minorEastAsia" w:hAnsiTheme="minorEastAsia" w:eastAsiaTheme="minorEastAsia" w:cstheme="minorEastAsia"/>
          <w:b/>
          <w:bCs/>
          <w:color w:val="auto"/>
          <w:kern w:val="0"/>
          <w:sz w:val="24"/>
          <w:szCs w:val="24"/>
        </w:rPr>
        <w:t>七、双方承诺</w:t>
      </w:r>
      <w:bookmarkEnd w:id="46"/>
      <w:bookmarkEnd w:id="47"/>
    </w:p>
    <w:p w14:paraId="0BA1A6E8">
      <w:pPr>
        <w:keepNext w:val="0"/>
        <w:keepLines w:val="0"/>
        <w:pageBreakBefore w:val="0"/>
        <w:widowControl/>
        <w:kinsoku/>
        <w:wordWrap/>
        <w:overflowPunct/>
        <w:topLinePunct w:val="0"/>
        <w:autoSpaceDE/>
        <w:autoSpaceDN/>
        <w:bidi w:val="0"/>
        <w:adjustRightInd/>
        <w:snapToGrid/>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color w:val="auto"/>
          <w:kern w:val="0"/>
          <w:sz w:val="24"/>
          <w:szCs w:val="24"/>
        </w:rPr>
        <w:t>1. 监理人向委托人承诺，按照本合同约定提供监理与相关服务。</w:t>
      </w:r>
    </w:p>
    <w:p w14:paraId="4B1CCFC1">
      <w:pPr>
        <w:keepNext w:val="0"/>
        <w:keepLines w:val="0"/>
        <w:pageBreakBefore w:val="0"/>
        <w:widowControl/>
        <w:kinsoku/>
        <w:wordWrap/>
        <w:overflowPunct/>
        <w:topLinePunct w:val="0"/>
        <w:autoSpaceDE/>
        <w:autoSpaceDN/>
        <w:bidi w:val="0"/>
        <w:adjustRightInd/>
        <w:snapToGrid/>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 委托人向监理人承诺，按照本合同约定派遣相应的人员，提供房屋、资料、设备，并按本合同约定支付酬金。</w:t>
      </w:r>
    </w:p>
    <w:p w14:paraId="40E33A8B">
      <w:pPr>
        <w:keepNext w:val="0"/>
        <w:keepLines w:val="0"/>
        <w:pageBreakBefore w:val="0"/>
        <w:widowControl/>
        <w:kinsoku/>
        <w:wordWrap/>
        <w:overflowPunct/>
        <w:topLinePunct w:val="0"/>
        <w:autoSpaceDE/>
        <w:autoSpaceDN/>
        <w:bidi w:val="0"/>
        <w:adjustRightInd/>
        <w:snapToGrid/>
        <w:spacing w:beforeAutospacing="0" w:afterAutospacing="0" w:line="384" w:lineRule="auto"/>
        <w:ind w:right="0" w:rightChars="0"/>
        <w:textAlignment w:val="auto"/>
        <w:rPr>
          <w:rFonts w:hint="eastAsia" w:asciiTheme="minorEastAsia" w:hAnsiTheme="minorEastAsia" w:eastAsiaTheme="minorEastAsia" w:cstheme="minorEastAsia"/>
          <w:b/>
          <w:bCs/>
          <w:color w:val="auto"/>
          <w:kern w:val="0"/>
          <w:sz w:val="24"/>
          <w:szCs w:val="24"/>
        </w:rPr>
      </w:pPr>
      <w:bookmarkStart w:id="48" w:name="_Toc31058"/>
      <w:bookmarkStart w:id="49" w:name="_Toc3343"/>
      <w:r>
        <w:rPr>
          <w:rFonts w:hint="eastAsia" w:asciiTheme="minorEastAsia" w:hAnsiTheme="minorEastAsia" w:eastAsiaTheme="minorEastAsia" w:cstheme="minorEastAsia"/>
          <w:b/>
          <w:bCs/>
          <w:color w:val="auto"/>
          <w:kern w:val="0"/>
          <w:sz w:val="24"/>
          <w:szCs w:val="24"/>
        </w:rPr>
        <w:t>八、合同订立</w:t>
      </w:r>
      <w:bookmarkEnd w:id="48"/>
      <w:bookmarkEnd w:id="49"/>
    </w:p>
    <w:p w14:paraId="32EBE65C">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1. 订立时间：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年</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月</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日。</w:t>
      </w:r>
    </w:p>
    <w:p w14:paraId="11818089">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2. 订立地点：</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000000"/>
          <w:kern w:val="0"/>
          <w:sz w:val="24"/>
          <w:szCs w:val="24"/>
          <w:u w:val="single"/>
          <w:lang w:val="en-US" w:eastAsia="zh-CN" w:bidi="ar"/>
        </w:rPr>
        <w:t>泾阳县住房和城乡建设局</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w:t>
      </w:r>
    </w:p>
    <w:p w14:paraId="56EA5E84">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3. 本合同一式</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eastAsia="zh-CN"/>
        </w:rPr>
        <w:t>捌</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份，具有同等法律效力，双方各执</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eastAsia="zh-CN"/>
        </w:rPr>
        <w:t>肆</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份。</w:t>
      </w:r>
    </w:p>
    <w:p w14:paraId="3B5E1F42">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jc w:val="both"/>
        <w:textAlignment w:val="auto"/>
        <w:rPr>
          <w:rFonts w:hint="eastAsia" w:asciiTheme="minorEastAsia" w:hAnsiTheme="minorEastAsia" w:eastAsiaTheme="minorEastAsia" w:cstheme="minorEastAsia"/>
          <w:color w:val="auto"/>
          <w:kern w:val="0"/>
          <w:sz w:val="24"/>
          <w:szCs w:val="24"/>
        </w:rPr>
      </w:pPr>
    </w:p>
    <w:p w14:paraId="258BC81F">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firstLine="480" w:firstLineChars="200"/>
        <w:jc w:val="both"/>
        <w:textAlignment w:val="auto"/>
        <w:rPr>
          <w:rFonts w:hint="eastAsia" w:asciiTheme="minorEastAsia" w:hAnsiTheme="minorEastAsia" w:eastAsiaTheme="minorEastAsia" w:cstheme="minorEastAsia"/>
          <w:color w:val="auto"/>
          <w:kern w:val="0"/>
          <w:sz w:val="24"/>
          <w:szCs w:val="24"/>
          <w:u w:val="none"/>
          <w:lang w:val="en-US" w:eastAsia="zh-CN"/>
        </w:rPr>
      </w:pPr>
      <w:r>
        <w:rPr>
          <w:rFonts w:hint="eastAsia" w:asciiTheme="minorEastAsia" w:hAnsiTheme="minorEastAsia" w:eastAsiaTheme="minorEastAsia" w:cstheme="minorEastAsia"/>
          <w:color w:val="auto"/>
          <w:kern w:val="0"/>
          <w:sz w:val="24"/>
          <w:szCs w:val="24"/>
          <w:u w:val="none"/>
        </w:rPr>
        <w:t>委托人：</w:t>
      </w:r>
      <w:r>
        <w:rPr>
          <w:rFonts w:hint="eastAsia" w:asciiTheme="minorEastAsia" w:hAnsiTheme="minorEastAsia" w:eastAsiaTheme="minorEastAsia" w:cstheme="minorEastAsia"/>
          <w:color w:val="auto"/>
          <w:kern w:val="0"/>
          <w:sz w:val="24"/>
          <w:szCs w:val="24"/>
          <w:u w:val="none"/>
          <w:lang w:val="en-US" w:eastAsia="zh-CN"/>
        </w:rPr>
        <w:t xml:space="preserve">泾阳县住房和城乡建设局（盖章）   </w:t>
      </w:r>
      <w:r>
        <w:rPr>
          <w:rFonts w:hint="eastAsia" w:asciiTheme="minorEastAsia" w:hAnsiTheme="minorEastAsia" w:eastAsiaTheme="minorEastAsia" w:cstheme="minorEastAsia"/>
          <w:color w:val="auto"/>
          <w:kern w:val="0"/>
          <w:sz w:val="24"/>
          <w:szCs w:val="24"/>
          <w:u w:val="none"/>
        </w:rPr>
        <w:t>监理人：</w:t>
      </w:r>
      <w:r>
        <w:rPr>
          <w:rFonts w:hint="eastAsia" w:asciiTheme="minorEastAsia" w:hAnsiTheme="minorEastAsia" w:eastAsiaTheme="minorEastAsia" w:cstheme="minorEastAsia"/>
          <w:color w:val="auto"/>
          <w:kern w:val="0"/>
          <w:sz w:val="24"/>
          <w:szCs w:val="24"/>
          <w:u w:val="none"/>
          <w:lang w:val="en-US" w:eastAsia="zh-CN"/>
        </w:rPr>
        <w:t>（盖章）</w:t>
      </w:r>
    </w:p>
    <w:p w14:paraId="4D61F34E">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4740" w:leftChars="200" w:right="0" w:rightChars="0" w:hanging="4320" w:hangingChars="1800"/>
        <w:textAlignment w:val="auto"/>
        <w:rPr>
          <w:rFonts w:hint="eastAsia" w:asciiTheme="minorEastAsia" w:hAnsiTheme="minorEastAsia" w:eastAsiaTheme="minorEastAsia" w:cstheme="minorEastAsia"/>
          <w:color w:val="auto"/>
          <w:kern w:val="0"/>
          <w:sz w:val="24"/>
          <w:szCs w:val="24"/>
          <w:u w:val="none"/>
          <w:lang w:val="en-US" w:eastAsia="zh-CN"/>
        </w:rPr>
      </w:pPr>
      <w:r>
        <w:rPr>
          <w:rFonts w:hint="eastAsia" w:asciiTheme="minorEastAsia" w:hAnsiTheme="minorEastAsia" w:eastAsiaTheme="minorEastAsia" w:cstheme="minorEastAsia"/>
          <w:color w:val="auto"/>
          <w:kern w:val="0"/>
          <w:sz w:val="24"/>
          <w:szCs w:val="24"/>
          <w:u w:val="none"/>
        </w:rPr>
        <w:t>住</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spacing w:val="-20"/>
          <w:kern w:val="0"/>
          <w:sz w:val="24"/>
          <w:szCs w:val="24"/>
          <w:u w:val="none"/>
        </w:rPr>
        <w:t>所：</w:t>
      </w:r>
      <w:r>
        <w:rPr>
          <w:rFonts w:hint="eastAsia" w:asciiTheme="minorEastAsia" w:hAnsiTheme="minorEastAsia" w:eastAsiaTheme="minorEastAsia" w:cstheme="minorEastAsia"/>
          <w:color w:val="auto"/>
          <w:spacing w:val="-20"/>
          <w:kern w:val="0"/>
          <w:sz w:val="24"/>
          <w:szCs w:val="24"/>
          <w:u w:val="none"/>
          <w:lang w:val="en-US" w:eastAsia="zh-CN"/>
        </w:rPr>
        <w:t xml:space="preserve"> </w:t>
      </w:r>
      <w:r>
        <w:rPr>
          <w:rFonts w:hint="eastAsia" w:asciiTheme="minorEastAsia" w:hAnsiTheme="minorEastAsia" w:eastAsiaTheme="minorEastAsia" w:cstheme="minorEastAsia"/>
          <w:i/>
          <w:iCs/>
          <w:color w:val="auto"/>
          <w:spacing w:val="-20"/>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spacing w:val="-8"/>
          <w:kern w:val="0"/>
          <w:sz w:val="24"/>
          <w:szCs w:val="24"/>
          <w:u w:val="none"/>
        </w:rPr>
        <w:t>住</w:t>
      </w:r>
      <w:r>
        <w:rPr>
          <w:rFonts w:hint="eastAsia" w:asciiTheme="minorEastAsia" w:hAnsiTheme="minorEastAsia" w:eastAsiaTheme="minorEastAsia" w:cstheme="minorEastAsia"/>
          <w:color w:val="auto"/>
          <w:spacing w:val="-8"/>
          <w:kern w:val="0"/>
          <w:sz w:val="24"/>
          <w:szCs w:val="24"/>
          <w:u w:val="none"/>
          <w:lang w:val="en-US" w:eastAsia="zh-CN"/>
        </w:rPr>
        <w:t xml:space="preserve"> </w:t>
      </w:r>
      <w:r>
        <w:rPr>
          <w:rFonts w:hint="eastAsia" w:asciiTheme="minorEastAsia" w:hAnsiTheme="minorEastAsia" w:eastAsiaTheme="minorEastAsia" w:cstheme="minorEastAsia"/>
          <w:color w:val="auto"/>
          <w:spacing w:val="-8"/>
          <w:kern w:val="0"/>
          <w:sz w:val="24"/>
          <w:szCs w:val="24"/>
          <w:u w:val="none"/>
        </w:rPr>
        <w:t>所：</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bCs/>
          <w:caps/>
          <w:sz w:val="24"/>
          <w:szCs w:val="24"/>
          <w:highlight w:val="none"/>
          <w:u w:val="none"/>
          <w:lang w:val="en-US" w:eastAsia="zh-CN"/>
        </w:rPr>
        <w:t xml:space="preserve">                   </w:t>
      </w:r>
    </w:p>
    <w:p w14:paraId="0C633C51">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none"/>
        </w:rPr>
      </w:pPr>
      <w:r>
        <w:rPr>
          <w:rFonts w:hint="eastAsia" w:asciiTheme="minorEastAsia" w:hAnsiTheme="minorEastAsia" w:eastAsiaTheme="minorEastAsia" w:cstheme="minorEastAsia"/>
          <w:color w:val="auto"/>
          <w:kern w:val="0"/>
          <w:sz w:val="24"/>
          <w:szCs w:val="24"/>
          <w:u w:val="none"/>
        </w:rPr>
        <w:t xml:space="preserve">邮政编码：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邮政编码：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p>
    <w:p w14:paraId="7E931BFB">
      <w:pPr>
        <w:keepNext w:val="0"/>
        <w:keepLines w:val="0"/>
        <w:pageBreakBefore w:val="0"/>
        <w:widowControl/>
        <w:kinsoku/>
        <w:wordWrap/>
        <w:overflowPunct/>
        <w:topLinePunct w:val="0"/>
        <w:autoSpaceDE/>
        <w:autoSpaceDN/>
        <w:bidi w:val="0"/>
        <w:adjustRightInd/>
        <w:snapToGrid w:val="0"/>
        <w:spacing w:beforeAutospacing="0" w:afterAutospacing="0" w:line="384" w:lineRule="auto"/>
        <w:ind w:right="0" w:rightChars="0" w:firstLine="480" w:firstLineChars="200"/>
        <w:textAlignment w:val="auto"/>
        <w:rPr>
          <w:rFonts w:hint="eastAsia" w:asciiTheme="minorEastAsia" w:hAnsiTheme="minorEastAsia" w:eastAsiaTheme="minorEastAsia" w:cstheme="minorEastAsia"/>
          <w:color w:val="auto"/>
          <w:kern w:val="0"/>
          <w:sz w:val="24"/>
          <w:szCs w:val="24"/>
          <w:u w:val="none"/>
        </w:rPr>
      </w:pPr>
      <w:r>
        <w:rPr>
          <w:rFonts w:hint="eastAsia" w:asciiTheme="minorEastAsia" w:hAnsiTheme="minorEastAsia" w:eastAsiaTheme="minorEastAsia" w:cstheme="minorEastAsia"/>
          <w:color w:val="auto"/>
          <w:kern w:val="0"/>
          <w:sz w:val="24"/>
          <w:szCs w:val="24"/>
          <w:u w:val="none"/>
        </w:rPr>
        <w:t>法定代表人</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法定代表人</w:t>
      </w:r>
    </w:p>
    <w:p w14:paraId="0B9F4DFB">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none"/>
          <w:lang w:val="en-US" w:eastAsia="zh-CN"/>
        </w:rPr>
      </w:pPr>
      <w:r>
        <w:rPr>
          <w:rFonts w:hint="eastAsia" w:asciiTheme="minorEastAsia" w:hAnsiTheme="minorEastAsia" w:eastAsiaTheme="minorEastAsia" w:cstheme="minorEastAsia"/>
          <w:color w:val="auto"/>
          <w:kern w:val="0"/>
          <w:sz w:val="24"/>
          <w:szCs w:val="24"/>
          <w:u w:val="none"/>
          <w:lang w:val="en-US" w:eastAsia="zh-CN"/>
        </w:rPr>
        <w:t>或授权委托</w:t>
      </w:r>
      <w:r>
        <w:rPr>
          <w:rFonts w:hint="eastAsia" w:asciiTheme="minorEastAsia" w:hAnsiTheme="minorEastAsia" w:eastAsiaTheme="minorEastAsia" w:cstheme="minorEastAsia"/>
          <w:color w:val="auto"/>
          <w:kern w:val="0"/>
          <w:sz w:val="24"/>
          <w:szCs w:val="24"/>
          <w:u w:val="none"/>
        </w:rPr>
        <w:t xml:space="preserve">人：                </w:t>
      </w:r>
      <w:r>
        <w:rPr>
          <w:rFonts w:hint="eastAsia" w:asciiTheme="minorEastAsia" w:hAnsiTheme="minorEastAsia" w:eastAsiaTheme="minorEastAsia" w:cstheme="minorEastAsia"/>
          <w:color w:val="auto"/>
          <w:kern w:val="0"/>
          <w:sz w:val="24"/>
          <w:szCs w:val="24"/>
          <w:u w:val="none"/>
          <w:lang w:val="en-US" w:eastAsia="zh-CN"/>
        </w:rPr>
        <w:t xml:space="preserve">            或授权委托</w:t>
      </w:r>
      <w:r>
        <w:rPr>
          <w:rFonts w:hint="eastAsia" w:asciiTheme="minorEastAsia" w:hAnsiTheme="minorEastAsia" w:eastAsiaTheme="minorEastAsia" w:cstheme="minorEastAsia"/>
          <w:color w:val="auto"/>
          <w:kern w:val="0"/>
          <w:sz w:val="24"/>
          <w:szCs w:val="24"/>
          <w:u w:val="none"/>
        </w:rPr>
        <w:t xml:space="preserve">人：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p>
    <w:p w14:paraId="6E648EE4">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4980" w:leftChars="200" w:right="0" w:rightChars="0" w:hanging="4560" w:hangingChars="1900"/>
        <w:textAlignment w:val="auto"/>
        <w:rPr>
          <w:rFonts w:hint="eastAsia" w:asciiTheme="minorEastAsia" w:hAnsiTheme="minorEastAsia" w:eastAsiaTheme="minorEastAsia" w:cstheme="minorEastAsia"/>
          <w:color w:val="auto"/>
          <w:kern w:val="0"/>
          <w:sz w:val="24"/>
          <w:szCs w:val="24"/>
          <w:u w:val="none"/>
        </w:rPr>
      </w:pPr>
      <w:r>
        <w:rPr>
          <w:rFonts w:hint="eastAsia" w:asciiTheme="minorEastAsia" w:hAnsiTheme="minorEastAsia" w:eastAsiaTheme="minorEastAsia" w:cstheme="minorEastAsia"/>
          <w:color w:val="auto"/>
          <w:kern w:val="0"/>
          <w:sz w:val="24"/>
          <w:szCs w:val="24"/>
          <w:u w:val="none"/>
        </w:rPr>
        <w:t xml:space="preserve">开户银行：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开户银行：</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p>
    <w:p w14:paraId="61F36016">
      <w:pPr>
        <w:keepNext w:val="0"/>
        <w:keepLines w:val="0"/>
        <w:pageBreakBefore w:val="0"/>
        <w:widowControl/>
        <w:kinsoku/>
        <w:wordWrap/>
        <w:overflowPunct/>
        <w:topLinePunct w:val="0"/>
        <w:autoSpaceDE/>
        <w:autoSpaceDN/>
        <w:bidi w:val="0"/>
        <w:adjustRightInd/>
        <w:snapToGrid w:val="0"/>
        <w:spacing w:beforeAutospacing="0" w:afterAutospacing="0" w:line="384"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none"/>
        </w:rPr>
      </w:pPr>
      <w:r>
        <w:rPr>
          <w:rFonts w:hint="eastAsia" w:asciiTheme="minorEastAsia" w:hAnsiTheme="minorEastAsia" w:eastAsiaTheme="minorEastAsia" w:cstheme="minorEastAsia"/>
          <w:color w:val="auto"/>
          <w:kern w:val="0"/>
          <w:sz w:val="24"/>
          <w:szCs w:val="24"/>
          <w:u w:val="none"/>
        </w:rPr>
        <w:t xml:space="preserve">账号：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账</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号：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p>
    <w:p w14:paraId="12F854D0">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none"/>
          <w:lang w:val="en-US" w:eastAsia="zh-CN"/>
        </w:rPr>
      </w:pPr>
      <w:r>
        <w:rPr>
          <w:rFonts w:hint="eastAsia" w:asciiTheme="minorEastAsia" w:hAnsiTheme="minorEastAsia" w:eastAsiaTheme="minorEastAsia" w:cstheme="minorEastAsia"/>
          <w:color w:val="auto"/>
          <w:kern w:val="0"/>
          <w:sz w:val="24"/>
          <w:szCs w:val="24"/>
          <w:u w:val="none"/>
        </w:rPr>
        <w:t>电话：</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电</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话：</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p>
    <w:p w14:paraId="795AF157">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none"/>
          <w:lang w:val="en-US" w:eastAsia="zh-CN"/>
        </w:rPr>
      </w:pPr>
      <w:r>
        <w:rPr>
          <w:rFonts w:hint="eastAsia" w:asciiTheme="minorEastAsia" w:hAnsiTheme="minorEastAsia" w:eastAsiaTheme="minorEastAsia" w:cstheme="minorEastAsia"/>
          <w:color w:val="auto"/>
          <w:kern w:val="0"/>
          <w:sz w:val="24"/>
          <w:szCs w:val="24"/>
          <w:u w:val="none"/>
        </w:rPr>
        <w:t xml:space="preserve">传真：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传</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真：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p>
    <w:p w14:paraId="194DB38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left="0" w:leftChars="0" w:right="0" w:rightChars="0" w:firstLine="480" w:firstLineChars="200"/>
        <w:textAlignment w:val="auto"/>
        <w:rPr>
          <w:rFonts w:hint="eastAsia" w:asciiTheme="minorEastAsia" w:hAnsiTheme="minorEastAsia" w:eastAsiaTheme="minorEastAsia" w:cstheme="minorEastAsia"/>
          <w:color w:val="auto"/>
          <w:kern w:val="0"/>
          <w:sz w:val="24"/>
          <w:szCs w:val="24"/>
          <w:u w:val="single"/>
        </w:rPr>
      </w:pPr>
      <w:r>
        <w:rPr>
          <w:rFonts w:hint="eastAsia" w:asciiTheme="minorEastAsia" w:hAnsiTheme="minorEastAsia" w:eastAsiaTheme="minorEastAsia" w:cstheme="minorEastAsia"/>
          <w:color w:val="auto"/>
          <w:kern w:val="0"/>
          <w:sz w:val="24"/>
          <w:szCs w:val="24"/>
          <w:u w:val="none"/>
        </w:rPr>
        <w:t xml:space="preserve">电子邮箱：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r>
        <w:rPr>
          <w:rFonts w:hint="eastAsia" w:asciiTheme="minorEastAsia" w:hAnsiTheme="minorEastAsia" w:eastAsiaTheme="minorEastAsia" w:cstheme="minorEastAsia"/>
          <w:color w:val="auto"/>
          <w:kern w:val="0"/>
          <w:sz w:val="24"/>
          <w:szCs w:val="24"/>
          <w:u w:val="non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电子邮箱：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none"/>
        </w:rPr>
        <w:t xml:space="preserve"> </w:t>
      </w:r>
    </w:p>
    <w:p w14:paraId="28E30596">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kern w:val="2"/>
          <w:sz w:val="24"/>
          <w:szCs w:val="24"/>
        </w:rPr>
      </w:pPr>
    </w:p>
    <w:p w14:paraId="23E32F42">
      <w:pPr>
        <w:keepNext w:val="0"/>
        <w:keepLines w:val="0"/>
        <w:pageBreakBefore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kern w:val="2"/>
          <w:sz w:val="24"/>
          <w:szCs w:val="24"/>
        </w:rPr>
      </w:pPr>
    </w:p>
    <w:p w14:paraId="1549FAF3">
      <w:pPr>
        <w:snapToGrid/>
        <w:spacing w:line="240" w:lineRule="auto"/>
        <w:jc w:val="both"/>
        <w:rPr>
          <w:rFonts w:hint="eastAsia" w:asciiTheme="minorEastAsia" w:hAnsiTheme="minorEastAsia" w:eastAsiaTheme="minorEastAsia" w:cstheme="minorEastAsia"/>
          <w:b/>
          <w:bCs/>
          <w:kern w:val="2"/>
          <w:sz w:val="24"/>
          <w:szCs w:val="24"/>
        </w:rPr>
        <w:sectPr>
          <w:footerReference r:id="rId15" w:type="first"/>
          <w:footerReference r:id="rId14" w:type="default"/>
          <w:pgSz w:w="11907" w:h="16840"/>
          <w:pgMar w:top="1440" w:right="1800" w:bottom="1440" w:left="1800" w:header="936" w:footer="771" w:gutter="0"/>
          <w:pgBorders>
            <w:top w:val="none" w:sz="0" w:space="0"/>
            <w:left w:val="none" w:sz="0" w:space="0"/>
            <w:bottom w:val="none" w:sz="0" w:space="0"/>
            <w:right w:val="none" w:sz="0" w:space="0"/>
          </w:pgBorders>
          <w:pgNumType w:fmt="decimal"/>
          <w:cols w:space="720" w:num="1"/>
          <w:docGrid w:linePitch="326" w:charSpace="0"/>
        </w:sectPr>
      </w:pPr>
    </w:p>
    <w:p w14:paraId="0D75DEB7">
      <w:pPr>
        <w:snapToGrid/>
        <w:spacing w:line="240" w:lineRule="auto"/>
        <w:jc w:val="center"/>
        <w:rPr>
          <w:rFonts w:hint="eastAsia"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t>第二部分 通用条件</w:t>
      </w:r>
    </w:p>
    <w:p w14:paraId="138C6C6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1. 定义与解释 </w:t>
      </w:r>
    </w:p>
    <w:p w14:paraId="7D219C1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 定义 </w:t>
      </w:r>
    </w:p>
    <w:p w14:paraId="126EB9EB">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除根据上下文另有其意义外，组成本合同的全部文件中的下列名词和用语应具有本款所赋予的含义： </w:t>
      </w:r>
    </w:p>
    <w:p w14:paraId="5AF9AE3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 “工程”是指按照本合同约定实施监理与相关服务的建设工程。 </w:t>
      </w:r>
    </w:p>
    <w:p w14:paraId="097A006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1.1.2 “委托人”是指本合同中委托监理与相关服务的一方，及其合法的继承人或受 </w:t>
      </w:r>
    </w:p>
    <w:p w14:paraId="233985C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让人。 </w:t>
      </w:r>
    </w:p>
    <w:p w14:paraId="7D1775E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1.1.3“监理人”是指本合同中提供监理与相关服务的一方，及其合法的继承人。 </w:t>
      </w:r>
    </w:p>
    <w:p w14:paraId="7F2804C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1.1.4 “承包人”是指在工程范围内与委托人签订勘察、设计、施工等有关合同的当 </w:t>
      </w:r>
    </w:p>
    <w:p w14:paraId="3CEC4AA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事人，及其合法的继承人。 </w:t>
      </w:r>
    </w:p>
    <w:p w14:paraId="705BC22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1.1.5 “监理”是指监理人受委托人的委托 ，依照法律法规、工程建设标准、 勘察 </w:t>
      </w:r>
    </w:p>
    <w:p w14:paraId="223AF2D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设计文件及合同，在施工阶段对建设工程质量、进度、造价进行控制，对合同、 信息 </w:t>
      </w:r>
    </w:p>
    <w:p w14:paraId="6742884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进行管理，对工程建设相关方的关系进行协调，并履行建设工程安全生产管理法定职 </w:t>
      </w:r>
    </w:p>
    <w:p w14:paraId="6D43C22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责的服务活动。 </w:t>
      </w:r>
    </w:p>
    <w:p w14:paraId="76DDB04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1.1.6 “相关服务”是指监理人受委托人的委托 ，按照本合同约定，在勘察、 设计、 </w:t>
      </w:r>
    </w:p>
    <w:p w14:paraId="5C10359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保修等阶段提供的服务活动。 </w:t>
      </w:r>
    </w:p>
    <w:p w14:paraId="6A8076D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1.1.7“正常工作”指本合同订立时通用条件和专用条件中约定的监理人的工作。 </w:t>
      </w:r>
    </w:p>
    <w:p w14:paraId="2E38E1E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1.1.8 “附加工作”是指本合同约定的正常工作以外监理人的工作。 </w:t>
      </w:r>
    </w:p>
    <w:p w14:paraId="5D9A240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1.1.9 “项目监理机构”是指监理人派驻工程负责履行本合同的组织机构。 </w:t>
      </w:r>
    </w:p>
    <w:p w14:paraId="6FECDDE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1.1.10“总监理工程师”是指由监理人的法定代表人书面授权，全面负责履行 本合同、 </w:t>
      </w:r>
    </w:p>
    <w:p w14:paraId="2F7C0C1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主持项目监理机构工作的注册监理工程师。 </w:t>
      </w:r>
    </w:p>
    <w:p w14:paraId="31B82FE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1.1.11 “酬金”是指监理人履行本合同义务，委托人按照本合同约定给付监理人的 </w:t>
      </w:r>
    </w:p>
    <w:p w14:paraId="62CB1BC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金额。 </w:t>
      </w:r>
    </w:p>
    <w:p w14:paraId="1A8A219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1.1.12 “正常工作酬金”是指监理人完成正常工作，委托人应给付监理人并在协议 </w:t>
      </w:r>
    </w:p>
    <w:p w14:paraId="4416669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书中载明的签约酬金额。 </w:t>
      </w:r>
    </w:p>
    <w:p w14:paraId="3FC38C2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1.1.13 “附加工作酬金”是指监理人完成附加工作，委托人应给付监理人的金额。 </w:t>
      </w:r>
    </w:p>
    <w:p w14:paraId="58D5416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1.1.14 “一方”是指委托人或监理人；“双方”是指委托人和监理人；“第三 方”是指除委托人和监理人以外的有关方。 </w:t>
      </w:r>
    </w:p>
    <w:p w14:paraId="7554A91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1.1.15 “书面形式”是指合同书、信件和数据电文（包括电报、电传、传真、 电子 </w:t>
      </w:r>
    </w:p>
    <w:p w14:paraId="660BBAD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数据交换和电子邮件）等可以有形地表现所载内容的形式。 </w:t>
      </w:r>
    </w:p>
    <w:p w14:paraId="45B5EF0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1.1.16 “天”是指第一天零时至第二天零时的时间。 </w:t>
      </w:r>
    </w:p>
    <w:p w14:paraId="3CA6E1C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1.1.17“月”是指按公历从一个月中任何一天开始的一个公历月时间。 </w:t>
      </w:r>
    </w:p>
    <w:p w14:paraId="3F1BD2D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1.1.18 “不可抗力”是指委托人和监理人在订立本合同时不可预见，在工程施工过程中不可避免发生并不能克服的自然灾害和社会性突发事件，如地震、海啸、瘟疫水灾、骚乱、暴动、战争和专用条件约定的其他情形。 </w:t>
      </w:r>
    </w:p>
    <w:p w14:paraId="74CF197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1.2 解释 </w:t>
      </w:r>
    </w:p>
    <w:p w14:paraId="77A9B48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1.2.1本合同使用中文书写、解释和说明。如专用条件约定使用两种及以上语言文字 </w:t>
      </w:r>
    </w:p>
    <w:p w14:paraId="0756D21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时，应以中文为准。 </w:t>
      </w:r>
    </w:p>
    <w:p w14:paraId="39112CC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1.2.2 组成本合同的下列文件彼此应能相互解释、互为说明。除专用条件另有约定外， 本合同文件的解释顺序如下： </w:t>
      </w:r>
    </w:p>
    <w:p w14:paraId="3344A88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（1）协议书； </w:t>
      </w:r>
    </w:p>
    <w:p w14:paraId="404D612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（2）中标通知书（适用于招标工程）或委托书（适用于非招标工程）； </w:t>
      </w:r>
    </w:p>
    <w:p w14:paraId="032B060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（3）专用条件及附录； </w:t>
      </w:r>
    </w:p>
    <w:p w14:paraId="6A63E25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（4）通用条件； </w:t>
      </w:r>
    </w:p>
    <w:p w14:paraId="0F7706B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（5）投标文件（适用于招标工程）或监理与相关服务建议书（适用于非招标工程）。 </w:t>
      </w:r>
    </w:p>
    <w:p w14:paraId="0D6306A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双方签订的补充协议与其他文件发生矛盾或歧义时，属于同一类内容的文件，应以最新签署的为准。 </w:t>
      </w:r>
    </w:p>
    <w:p w14:paraId="2BB292B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2. 监理人的义务 </w:t>
      </w:r>
    </w:p>
    <w:p w14:paraId="57D2060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2.1 监理的范围和工作内容 </w:t>
      </w:r>
    </w:p>
    <w:p w14:paraId="3AE0127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2.1.1 监理范围在专用条件中约定。 </w:t>
      </w:r>
    </w:p>
    <w:p w14:paraId="3DC846C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2.1.2 除专用条件另有约定外，监理工作内容包括： </w:t>
      </w:r>
    </w:p>
    <w:p w14:paraId="4D86731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（1）收到工程设计文件后编制监理规划，并在第一次工地会议7天前报委托人。根据有关规定和监理工作需要，编制监理实施细则； </w:t>
      </w:r>
    </w:p>
    <w:p w14:paraId="1B885B7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（2）熟悉工程设计文件，并参加由委托人主持的图纸会审和设计交底会议； </w:t>
      </w:r>
    </w:p>
    <w:p w14:paraId="7DE31ADC">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（3）参加由委托人主持的第一次工地会议；主持监理例会并根据工程需要主持或参加专题会议； </w:t>
      </w:r>
    </w:p>
    <w:p w14:paraId="3F9EDCA5">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（4）审查施工承包人提交的施工组织设计，重点审查其中的质量安全技术措施、专项施工方案与工程建设强制性标准的符合性； </w:t>
      </w:r>
    </w:p>
    <w:p w14:paraId="72958C5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（5）检查施工承包人工程质量、安全生产管理制度及组织机构和人员资格； </w:t>
      </w:r>
    </w:p>
    <w:p w14:paraId="109976F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（6）检查施工承包人专职安全生产管理人员的配备情况； </w:t>
      </w:r>
    </w:p>
    <w:p w14:paraId="59AFE08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（7）审查施工承包人提交的施工进度计划，核查承包人对施工进度计划的调整； </w:t>
      </w:r>
    </w:p>
    <w:p w14:paraId="2374622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（8）检查施工承包人的试验室； </w:t>
      </w:r>
    </w:p>
    <w:p w14:paraId="55A113C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（9）审核施工分包人资质条件； </w:t>
      </w:r>
    </w:p>
    <w:p w14:paraId="7E70F66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（10）查验施工承包人的施工测量放线成果； </w:t>
      </w:r>
    </w:p>
    <w:p w14:paraId="35D01FD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（11）审查工程开工条件，对条件具备的签发开工令； </w:t>
      </w:r>
    </w:p>
    <w:p w14:paraId="298E89F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（12）审查施工承包人报送的工程材料、构配件、设备质量证明文件的有效性和符合 </w:t>
      </w:r>
    </w:p>
    <w:p w14:paraId="334D823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性，并按规定对用于工程的材料采取平行检验或见证取样方式进行抽检； </w:t>
      </w:r>
    </w:p>
    <w:p w14:paraId="439A81D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（13）审核施工承包人提交的工程款支付申请，签发或出具工程款支付证书，并报委托人审核、批准； </w:t>
      </w:r>
    </w:p>
    <w:p w14:paraId="7DB75B5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（14）在巡视、旁站和检验过程中，发现工程质量、施工安全存在事故隐患的，要求施工承包人整改并报委托人； </w:t>
      </w:r>
    </w:p>
    <w:p w14:paraId="20C9886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（15）经委托人同意，签发工程暂停令和复工令； </w:t>
      </w:r>
    </w:p>
    <w:p w14:paraId="6B3C8CB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（16）审查施工承包人提交的采用新材料、新工艺、新技术、新设备的论证材料及相关验收标准； </w:t>
      </w:r>
    </w:p>
    <w:p w14:paraId="3FB890E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（17）验收隐蔽工程、分部分项工程； </w:t>
      </w:r>
    </w:p>
    <w:p w14:paraId="5622F3A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（18）审查施工承包人提交的工程变更申请，协调处理施工进度调整、费用索赔、合同争议等事项； </w:t>
      </w:r>
    </w:p>
    <w:p w14:paraId="141A3B9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（19）审查施工承包人提交的竣工验收申请，编写工程质量评估报告； </w:t>
      </w:r>
    </w:p>
    <w:p w14:paraId="1A53314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（20）参加工程竣工验收，签署竣工验收意见； </w:t>
      </w:r>
    </w:p>
    <w:p w14:paraId="686C4A3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（21）审查施工承包人提交的竣工结算申请并报委托人； </w:t>
      </w:r>
    </w:p>
    <w:p w14:paraId="4505A7C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（22）编制、整理工程监理归档文件并报委托人。 </w:t>
      </w:r>
    </w:p>
    <w:p w14:paraId="5E61742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2.1.3 相关服务的范围和内容在附录A 中约定。 </w:t>
      </w:r>
    </w:p>
    <w:p w14:paraId="56271CD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2.2 监理与相关服务依据 </w:t>
      </w:r>
    </w:p>
    <w:p w14:paraId="7998E69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2.2.1 监理依据包括： </w:t>
      </w:r>
    </w:p>
    <w:p w14:paraId="22CBC02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（1）适用的法律、行政法规及部门规章； </w:t>
      </w:r>
    </w:p>
    <w:p w14:paraId="6C7ADDB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（2）与工程有关的标准； </w:t>
      </w:r>
    </w:p>
    <w:p w14:paraId="21E636C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（3）工程设计及有关文件； </w:t>
      </w:r>
    </w:p>
    <w:p w14:paraId="17FDE9A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（4）本合同及委托人与第三方签订的与实施工程有关的其他合同。双方根据工程的行业和地域特点，在专用条件中具体约定监理依据。 </w:t>
      </w:r>
    </w:p>
    <w:p w14:paraId="344E920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2.2.2 相关服务依据在专用条件中约定。 </w:t>
      </w:r>
    </w:p>
    <w:p w14:paraId="6E58F94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 项目监理机构和人员 </w:t>
      </w:r>
    </w:p>
    <w:p w14:paraId="558531A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2.3.1 监理人应组建满足工作需要的项目监理机构，配备必要的检测设备。项目监理机构的主要人员应具有相应的资格条件。 </w:t>
      </w:r>
    </w:p>
    <w:p w14:paraId="5518BF5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2.3.2本合同履行过程中，总监理工程师及重要岗位监理人员应保持相对稳定, 以保 </w:t>
      </w:r>
    </w:p>
    <w:p w14:paraId="732B355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证监理工作正常进行。 </w:t>
      </w:r>
    </w:p>
    <w:p w14:paraId="1EC53ED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2.3.3 监理人可根据工程进展和工作需要调整项目监理机构人员。监理人更换总 监理 </w:t>
      </w:r>
    </w:p>
    <w:p w14:paraId="74C030E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工程师时，应提前 7天向委托人书面报告，经委托人同意后方可更换；监理人更换项目监理机构其他监理人员，应以相当资格与能力的人员替换，并通知委托人。 </w:t>
      </w:r>
    </w:p>
    <w:p w14:paraId="43E7751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2.3.4 监理人应及时更换有下列情形之一的监理人员： </w:t>
      </w:r>
    </w:p>
    <w:p w14:paraId="285FDBB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（1）严重过失行为的； </w:t>
      </w:r>
    </w:p>
    <w:p w14:paraId="5A94F7D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（2）有违法行为不能履行职责的； </w:t>
      </w:r>
    </w:p>
    <w:p w14:paraId="70EC86A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（3）涉嫌犯罪的； </w:t>
      </w:r>
    </w:p>
    <w:p w14:paraId="5C516CD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（4）不能胜任岗位职责的； </w:t>
      </w:r>
    </w:p>
    <w:p w14:paraId="214D64D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（5）严重违反职业道德的； </w:t>
      </w:r>
    </w:p>
    <w:p w14:paraId="472CB4B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（6）专用条件约定的其他情形。 </w:t>
      </w:r>
    </w:p>
    <w:p w14:paraId="672F98B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2.3.5 委托人可要求监理人更换不能胜任本职工作的项目监理机构人员。 </w:t>
      </w:r>
    </w:p>
    <w:p w14:paraId="4893440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2.4 履行职责 </w:t>
      </w:r>
    </w:p>
    <w:p w14:paraId="4D6B41E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监理人应遵循职业道德准则和行为规范，严格按照法律法规、工程建设有关标准及本合同履行职责。 </w:t>
      </w:r>
    </w:p>
    <w:p w14:paraId="524744D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2.4.1 在监理与相关服务范围内，委托人和承包人提出的意见和要求，监理人应及时 </w:t>
      </w:r>
    </w:p>
    <w:p w14:paraId="2B4200B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提出处置意见。当委托人与承包人之间发生合同争议时，监理人应协助委托人、承包 </w:t>
      </w:r>
    </w:p>
    <w:p w14:paraId="332A6B0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人协商解决。 </w:t>
      </w:r>
    </w:p>
    <w:p w14:paraId="476CE939">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2.4.2 当委托人与承包人之间的合同争议提交仲裁机构仲裁或人民法院审理时， 监理 </w:t>
      </w:r>
    </w:p>
    <w:p w14:paraId="65B7C980">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人应提供必要的证明资料。 </w:t>
      </w:r>
    </w:p>
    <w:p w14:paraId="20B1A723">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2.4.3 监理人应在专用条件约定的授权范围内，处理委托人与承包人所签订合同的变更事宜。如果变更超过授权范围，应以书面形式报委托人批准。在紧急情况下，为了保护财产和人身安全，监理人所发出的指令未能事先报委托人批准时，应在发出指令后的24小时内以书面形式报委托人。 </w:t>
      </w:r>
    </w:p>
    <w:p w14:paraId="25797B5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2.4.4 除专用条件另有约定外，监理人发现承包人的人员不能胜任本职工作的，有权要求承包人予以调换。 </w:t>
      </w:r>
    </w:p>
    <w:p w14:paraId="085215D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2.5 提交报告 </w:t>
      </w:r>
    </w:p>
    <w:p w14:paraId="06BC64F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监理人应按专用条件约定的种类、时间和份数向委托人提交监理与相关服务的报告。 </w:t>
      </w:r>
    </w:p>
    <w:p w14:paraId="7592D9D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2.6 文件资料 </w:t>
      </w:r>
    </w:p>
    <w:p w14:paraId="025A5202">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在本合同履行期内，监理人应在现场保留工作所用的图纸、报告及记录监理工作 </w:t>
      </w:r>
    </w:p>
    <w:p w14:paraId="0EA42FE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的相关文件。工程竣工后，应当按照档案管理规定将监理有关文件归档。 </w:t>
      </w:r>
    </w:p>
    <w:p w14:paraId="0B964E4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2.7 使用委托人的财产 </w:t>
      </w:r>
    </w:p>
    <w:p w14:paraId="738BBEE7">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监理人无偿使用附录B 中由委托人派遣的人员和提供的房屋、资料、设备。除专用条件另有约定外，委托人提供的房屋、设备属于委托人的财产，监理人应妥善使用和保管，在本合同终止时将这些房屋、设备的清单提交委托人，并按专用条件约定时 </w:t>
      </w:r>
    </w:p>
    <w:p w14:paraId="06CB002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间和方式移交。 </w:t>
      </w:r>
    </w:p>
    <w:p w14:paraId="19FF922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3．委托人的义务 </w:t>
      </w:r>
    </w:p>
    <w:p w14:paraId="519828A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3.1 告知 </w:t>
      </w:r>
    </w:p>
    <w:p w14:paraId="56AAE0AB">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委托人应在委托人与承包人签订的合同中明确监理人、总监理工程师和授予项目监理机构的权限。如有变更，应及时通知承包人。 </w:t>
      </w:r>
    </w:p>
    <w:p w14:paraId="586B16A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3.2 提供资料 </w:t>
      </w:r>
    </w:p>
    <w:p w14:paraId="692E2DC8">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委托人应按照附录B约定，无偿向监理人提供工程有关的资料。在本合同履行过程中，委托人应及时向监理人提供最新的与工程有关的资料。 </w:t>
      </w:r>
    </w:p>
    <w:p w14:paraId="1413C3F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3.3 提供工作条件 </w:t>
      </w:r>
    </w:p>
    <w:p w14:paraId="50A0C624">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委托人应为监理人完成监理与相关服务提供必要的条件。 </w:t>
      </w:r>
    </w:p>
    <w:p w14:paraId="7A37F13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3.3.1 委托人应按照附录B约定，派遣相应的人员，提供房屋、设备，供监理人无偿使用。 </w:t>
      </w:r>
    </w:p>
    <w:p w14:paraId="763A313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3.3.2 委托人应负责协调工程建设中所有外部关系，为监理人履行本合同提供必要的 </w:t>
      </w:r>
    </w:p>
    <w:p w14:paraId="0951BFB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外部条件。 </w:t>
      </w:r>
    </w:p>
    <w:p w14:paraId="4D90975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3.4 委托人代表 </w:t>
      </w:r>
    </w:p>
    <w:p w14:paraId="0A4CAB24">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委托人应授权一名熟悉工程情况的代表，负责与监理人联系。委托人应在双方签订本合同后 7天内，将委托人代表的姓名和职责书面告知监理人。当委托人更换委托人代表时，应提前7天通知监理人。 </w:t>
      </w:r>
    </w:p>
    <w:p w14:paraId="5FD8B52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3.5 委托人意见或要求 </w:t>
      </w:r>
    </w:p>
    <w:p w14:paraId="1BE70322">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在本合同约定的监理与相关服务工作范围内，委托人对承包人的任何意见或要求应通知监理人，由监理人向承包人发出相应指令。 </w:t>
      </w:r>
    </w:p>
    <w:p w14:paraId="356B010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3.6 答复 </w:t>
      </w:r>
    </w:p>
    <w:p w14:paraId="7E42E411">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委托人应在专用条件约定的时间内，对监理人以书面形式提交并要求作出决定的 </w:t>
      </w:r>
    </w:p>
    <w:p w14:paraId="4298877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事宜，给予书面答复。逾期未答复的，视为委托人认可。 </w:t>
      </w:r>
    </w:p>
    <w:p w14:paraId="53D2F4C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3.7 支付 </w:t>
      </w:r>
    </w:p>
    <w:p w14:paraId="0D486B8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委托人应按本合同约定，向监理人支付酬金。 </w:t>
      </w:r>
    </w:p>
    <w:p w14:paraId="6E74538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4. 违约责任 </w:t>
      </w:r>
    </w:p>
    <w:p w14:paraId="21D993A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4.1 监理人的违约责任 </w:t>
      </w:r>
    </w:p>
    <w:p w14:paraId="3A339DD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监理人未履行本合同义务的，应承担相应的责任。 </w:t>
      </w:r>
    </w:p>
    <w:p w14:paraId="6ADFEFC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4.1.1 因监理人违反本合同约定给委托人造成损失的，监理人应当赔偿委托人损失。 </w:t>
      </w:r>
    </w:p>
    <w:p w14:paraId="39F85AA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赔偿金额的确定方法在专用条件中约定。监理人承担部分赔偿责任的，其承担赔偿金 </w:t>
      </w:r>
    </w:p>
    <w:p w14:paraId="1015054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额由双方协商确定。 </w:t>
      </w:r>
    </w:p>
    <w:p w14:paraId="34D5E79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4.1.2 监理人向委托人的索赔不成立时，监理人应赔偿委托人由此发生的费用。 </w:t>
      </w:r>
    </w:p>
    <w:p w14:paraId="0453C0A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4.2 委托人的违约责任 </w:t>
      </w:r>
    </w:p>
    <w:p w14:paraId="250D22F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委托人未履行本合同义务的，应承担相应的责任。 </w:t>
      </w:r>
    </w:p>
    <w:p w14:paraId="2061E77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4.2.1 委托人违反本合同约定造成监理人损失的，委托人应予以赔偿。 </w:t>
      </w:r>
    </w:p>
    <w:p w14:paraId="1BA52A28">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4.2.2 委托人向监理人的索赔不成立时，应赔偿监理人由此引起的费用。 </w:t>
      </w:r>
    </w:p>
    <w:p w14:paraId="5BAA6F9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4.2.3 委托人未能按期支付酬金超过28天，应按专用条件约定支付逾期付款利息。 </w:t>
      </w:r>
    </w:p>
    <w:p w14:paraId="04B19FB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4.3 除外责任 </w:t>
      </w:r>
    </w:p>
    <w:p w14:paraId="2F7B62BB">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因非监理人的原因，且监理人无过错，发生工程质量事故、安全事故、工期延误等造成的损失，监理人不承担赔偿责任。因不可抗力导致本合同全部或部分不能履行时，双方各自承担其因此而造成的损失、损害。 </w:t>
      </w:r>
    </w:p>
    <w:p w14:paraId="1309FA0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5. 支付 </w:t>
      </w:r>
    </w:p>
    <w:p w14:paraId="085270A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5.1 支付货币 </w:t>
      </w:r>
    </w:p>
    <w:p w14:paraId="3F13993A">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除专用条件另有约定外，酬金均以人民币支付。涉及外币支付的，所采用的货币种类、比例和汇率在专用条件中约定。 </w:t>
      </w:r>
    </w:p>
    <w:p w14:paraId="1354AC0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5.2 支付申请 </w:t>
      </w:r>
    </w:p>
    <w:p w14:paraId="60FC55F1">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监理人应在本合同约定的每次应付款时间的7天前，向委托人提交支付申请书。 </w:t>
      </w:r>
    </w:p>
    <w:p w14:paraId="33633EC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支付申请书应当说明当期应付款总额，并列出当期应支付的款项及其金额。 </w:t>
      </w:r>
    </w:p>
    <w:p w14:paraId="45848D6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5.3 支付酬金 </w:t>
      </w:r>
    </w:p>
    <w:p w14:paraId="183CE659">
      <w:pPr>
        <w:keepNext w:val="0"/>
        <w:keepLines w:val="0"/>
        <w:pageBreakBefore w:val="0"/>
        <w:widowControl/>
        <w:suppressLineNumbers w:val="0"/>
        <w:kinsoku/>
        <w:wordWrap/>
        <w:overflowPunct/>
        <w:topLinePunct w:val="0"/>
        <w:autoSpaceDE/>
        <w:autoSpaceDN/>
        <w:bidi w:val="0"/>
        <w:adjustRightInd/>
        <w:snapToGrid w:val="0"/>
        <w:spacing w:line="360" w:lineRule="auto"/>
        <w:ind w:firstLine="240" w:firstLineChars="1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支付的酬金包括正常工作酬金、附加工作酬金、合理化建议奖励金额及费用。 </w:t>
      </w:r>
    </w:p>
    <w:p w14:paraId="579C2EC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5.4 有争议部分的付款 </w:t>
      </w:r>
    </w:p>
    <w:p w14:paraId="38202C0F">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委托人对监理人提交的支付申请书有异议时，应当在收到监理人提交的支付申请 </w:t>
      </w:r>
    </w:p>
    <w:p w14:paraId="26FDB6E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书后 7天内，以书面形式向监理人发出异议通知。无异议部分的款项应按期支付，有异议部分的款项按第7条约定办理。 </w:t>
      </w:r>
    </w:p>
    <w:p w14:paraId="12A5D7E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6. 合同生效、变更、暂停、解除与终止 </w:t>
      </w:r>
    </w:p>
    <w:p w14:paraId="2C8CD55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6.1生效 </w:t>
      </w:r>
    </w:p>
    <w:p w14:paraId="315AAA1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除法律另有规定或者专用条件另有约定外，委托人和监理人的法定代表人或其授权代理人在协议书上签字并盖单位章后本合同生效。 </w:t>
      </w:r>
    </w:p>
    <w:p w14:paraId="43E0DC9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6.2变更 </w:t>
      </w:r>
    </w:p>
    <w:p w14:paraId="37904C0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6.2.1 任何一方提出变更请求时，双方经协商一致后可进行变更。 </w:t>
      </w:r>
    </w:p>
    <w:p w14:paraId="464F911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6.2.2 除不可抗力外，因非监理人原因导致监理人履行合同期限延长、内容增加 时， </w:t>
      </w:r>
    </w:p>
    <w:p w14:paraId="0D9DC78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监理人应当将此情况与可能产生的影响及时通知委托人。增加的监理工作时间、 工作 </w:t>
      </w:r>
    </w:p>
    <w:p w14:paraId="2C60ED2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内容应视为附加工作。附加工作酬金的确定方法在专用条件中约定。 </w:t>
      </w:r>
    </w:p>
    <w:p w14:paraId="13E50F8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6.2.3 合同生效后，如果实际情况发生变化使得监理人不能完成全部或部分工作 时， </w:t>
      </w:r>
    </w:p>
    <w:p w14:paraId="2E1E36A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监理人应立即通知委托人。除不可抗力外，其善后工作以及恢复服务的准备工作应为 </w:t>
      </w:r>
    </w:p>
    <w:p w14:paraId="41E71D5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附加工作，附加工作酬金的确定方法在专用条件中约定。监理人用于恢复服务的 准备 </w:t>
      </w:r>
    </w:p>
    <w:p w14:paraId="74B287A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时间不应超过28天。 </w:t>
      </w:r>
    </w:p>
    <w:p w14:paraId="764537F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6.2.4 合同签订后，遇有与工程相关的法律法规、标准颁布或修订的，双方应遵照执 </w:t>
      </w:r>
    </w:p>
    <w:p w14:paraId="27B3338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行。由此引起监理与相关服务的范围、时间、酬金变化的，双方应通过协商进行相应 </w:t>
      </w:r>
    </w:p>
    <w:p w14:paraId="64A9B2F6">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调整。 </w:t>
      </w:r>
    </w:p>
    <w:p w14:paraId="2C4D4CA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6.2.5 因非监理人原因造成工程概算投资额或建筑安装工程费增加时，正常工作酬金 </w:t>
      </w:r>
    </w:p>
    <w:p w14:paraId="74F22C4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应作相应调整。调整方法在专用条件中约定。 </w:t>
      </w:r>
    </w:p>
    <w:p w14:paraId="55B5D9B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6.2.6 因工程规模、监理范围的变化导致监理人的正常工作量减少时，正常工作酬金 </w:t>
      </w:r>
    </w:p>
    <w:p w14:paraId="31480F1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应作相应调整。调整方法在专用条件中约定。 </w:t>
      </w:r>
    </w:p>
    <w:p w14:paraId="10933A6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 暂停与解除 </w:t>
      </w:r>
    </w:p>
    <w:p w14:paraId="2BEC4C6A">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除双方协商一致可以解除本合同外，当一方无正当理由未履行本合同约定的义务 </w:t>
      </w:r>
    </w:p>
    <w:p w14:paraId="6CD8135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47时，另一方可以根据本合同约定暂停履行本合同直至解除本合同。 </w:t>
      </w:r>
    </w:p>
    <w:p w14:paraId="3ADF8E0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6.3.1 在本合同有效期内，由于双方无法预见和控制的原因导致本合同全部或部分无 </w:t>
      </w:r>
    </w:p>
    <w:p w14:paraId="5473919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法继续履行或继续履行已无意义，经双方协商一致，可以解除本合同或监理人的部分 </w:t>
      </w:r>
    </w:p>
    <w:p w14:paraId="09F5FA5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义务。在解除之前，监理人应作出合理安排，使开支减至最小。因解除本合同或解除监理人的部分义务导致监理人遭受的损失，除依法可以免除责任的情况外，应由委托人予以补偿，补偿金额由双方协商确定。解除本合同的协议必须采取书面形式，协议未达成之前，本合同仍然有效。 </w:t>
      </w:r>
    </w:p>
    <w:p w14:paraId="3FB18BF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6.3.2 在本合同有效期内，因非监理人的原因导致工程施工全部或部分暂停，委托人 </w:t>
      </w:r>
    </w:p>
    <w:p w14:paraId="7F57A09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可通知监理人要求暂停全部或部分工作。监理人应立即安排停止工作，并将开支减至 </w:t>
      </w:r>
    </w:p>
    <w:p w14:paraId="5210FF8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color w:val="000000"/>
          <w:kern w:val="0"/>
          <w:sz w:val="24"/>
          <w:szCs w:val="24"/>
          <w:lang w:val="en-US" w:eastAsia="zh-CN" w:bidi="ar"/>
        </w:rPr>
        <w:t>最小。除不可抗力外，由此导致监理人遭受的损失应由委托人予以补偿。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 且应承担第</w:t>
      </w:r>
    </w:p>
    <w:p w14:paraId="3C52567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4.2款约定的责任。 </w:t>
      </w:r>
    </w:p>
    <w:p w14:paraId="704854F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6.3.3 当监理人无正当理由未履行本合同约定的义务时，委托人应通知监理人限期改 </w:t>
      </w:r>
    </w:p>
    <w:p w14:paraId="425128F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正。若委托人在监理人接到通知后的 7天内未收到监理人书面形式的合理解释，则可在7天内发出解除本合同的通知，自通知到达监理人时本合同解除。委托人应将监理与相关服务的酬金支付至限期改正通知到达监理人之日，但监理人应承担第 4.1 款约定的责任。 </w:t>
      </w:r>
    </w:p>
    <w:p w14:paraId="36CA22D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6.3.4 监理人在专用条件 5.3 中约定的支付之日起28天后仍未收到委托人按本合同约定应付的款项，可向委托人发出催付通知。委托人接到通知 14天后仍未支付或未 </w:t>
      </w:r>
    </w:p>
    <w:p w14:paraId="1075725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提出监理人可以接受的延期支付安排，监理人可向委托人发出暂停工作的通知并可自 </w:t>
      </w:r>
    </w:p>
    <w:p w14:paraId="411539CF">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行暂停全部或部分工作。暂停工作后 14天内监理人仍未获得委托人应付酬金或委托 </w:t>
      </w:r>
    </w:p>
    <w:p w14:paraId="755E951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人的合理答复，监理人可向委托人发出解除本合同的通知，自通知到达委托人时本合 </w:t>
      </w:r>
    </w:p>
    <w:p w14:paraId="68EBA55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同解除。委托人应承担第4.2.3款约定的责任。 </w:t>
      </w:r>
    </w:p>
    <w:p w14:paraId="3C0969C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6.3.5 因不可抗力致使本合同部分或全部不能履行时，一方应立即通知另一方，可暂停或解除本合同。 </w:t>
      </w:r>
    </w:p>
    <w:p w14:paraId="04F32251">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6.3.6 本合同解除后，本合同约定的有关结算、清理、争议解决方式的条件仍然有效。 </w:t>
      </w:r>
    </w:p>
    <w:p w14:paraId="297340B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6.4 终止 </w:t>
      </w:r>
    </w:p>
    <w:p w14:paraId="1CE7316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以下条件全部满足时，本合同即告终止： </w:t>
      </w:r>
    </w:p>
    <w:p w14:paraId="1CF5730E">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（1）监理人完成本合同约定的全部工作； </w:t>
      </w:r>
    </w:p>
    <w:p w14:paraId="5A49DDE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（2）委托人与监理人结清并支付全部酬金。 </w:t>
      </w:r>
    </w:p>
    <w:p w14:paraId="26DC7F09">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7. 争议解决 </w:t>
      </w:r>
    </w:p>
    <w:p w14:paraId="39633DB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7.1协商 </w:t>
      </w:r>
    </w:p>
    <w:p w14:paraId="796635E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双方应本着诚信原则协商解决彼此间的争议。 </w:t>
      </w:r>
    </w:p>
    <w:p w14:paraId="01B66BC7">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7.2调解 </w:t>
      </w:r>
    </w:p>
    <w:p w14:paraId="06F51AD7">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如果双方不能在 14天内或双方商定的其他时间内解决本合同争议，可以将其提 </w:t>
      </w:r>
    </w:p>
    <w:p w14:paraId="6A3E338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交给专用条件约定的或事后达成协议的调解人进行调解。 </w:t>
      </w:r>
    </w:p>
    <w:p w14:paraId="4FFB426B">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7.3仲裁或诉讼 </w:t>
      </w:r>
    </w:p>
    <w:p w14:paraId="3ED46A4E">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双方均有权不经调解直接向专用条件约定的仲裁机构申请仲裁或向有管辖权的人民法院提起诉讼。 </w:t>
      </w:r>
    </w:p>
    <w:p w14:paraId="7FA4AADC">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000000"/>
          <w:kern w:val="0"/>
          <w:sz w:val="24"/>
          <w:szCs w:val="24"/>
          <w:lang w:val="en-US" w:eastAsia="zh-CN" w:bidi="ar"/>
        </w:rPr>
        <w:t xml:space="preserve">8. 其他 </w:t>
      </w:r>
    </w:p>
    <w:p w14:paraId="6F3181B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8.1 外出考察费用 </w:t>
      </w:r>
    </w:p>
    <w:p w14:paraId="4DC4DD83">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经委托人同意，监理人员外出考察发生的费用由委托人审核后支付。 </w:t>
      </w:r>
    </w:p>
    <w:p w14:paraId="2F513DD4">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8.2 检测费用 </w:t>
      </w:r>
    </w:p>
    <w:p w14:paraId="22D2DDD4">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委托人要求监理人进行的材料和设备检测所发生的费用，由委托人支付，支付时 </w:t>
      </w:r>
    </w:p>
    <w:p w14:paraId="5EF624A0">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间在专用条件中约定。 </w:t>
      </w:r>
    </w:p>
    <w:p w14:paraId="4AC4E1F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8.3 咨询费用 </w:t>
      </w:r>
    </w:p>
    <w:p w14:paraId="1BCA0A07">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经委托人同意，根据工程需要由监理人组织的相关咨询论证会以及聘请相关专家 </w:t>
      </w:r>
    </w:p>
    <w:p w14:paraId="405A85D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等发生的费用由委托人支付，支付时间在专用条件中约定。 </w:t>
      </w:r>
    </w:p>
    <w:p w14:paraId="620D09EE">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8.4 奖励 </w:t>
      </w:r>
    </w:p>
    <w:p w14:paraId="50DAA535">
      <w:pPr>
        <w:keepNext w:val="0"/>
        <w:keepLines w:val="0"/>
        <w:pageBreakBefore w:val="0"/>
        <w:widowControl w:val="0"/>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监理人在服务过程中提出的合理化建议，使委托人获得经济效益的，双方在专用 条件中约定奖励金额的确定方法。奖励金额在合理化建议被采纳后，与最近一期的正 常工作酬金同期支付。 </w:t>
      </w:r>
    </w:p>
    <w:p w14:paraId="0B8D72EE">
      <w:pPr>
        <w:keepNext w:val="0"/>
        <w:keepLines w:val="0"/>
        <w:pageBreakBefore w:val="0"/>
        <w:widowControl w:val="0"/>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8.5 守法诚信 </w:t>
      </w:r>
    </w:p>
    <w:p w14:paraId="129CDA9B">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监理人及其工作人员不得从与实施工程有关的第三方处获得任何经济利益。 </w:t>
      </w:r>
    </w:p>
    <w:p w14:paraId="50B991E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8.6 保密 </w:t>
      </w:r>
    </w:p>
    <w:p w14:paraId="1D118F4E">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双方不得泄露对方申明的保密资料，亦不得泄露与实施工程有关的第三方所提供 </w:t>
      </w:r>
    </w:p>
    <w:p w14:paraId="2B5E992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color w:val="000000"/>
          <w:kern w:val="0"/>
          <w:sz w:val="24"/>
          <w:szCs w:val="24"/>
          <w:lang w:val="en-US" w:eastAsia="zh-CN" w:bidi="ar"/>
        </w:rPr>
        <w:t xml:space="preserve">的保密资料，保密事项在专用条件中约定。 </w:t>
      </w:r>
    </w:p>
    <w:p w14:paraId="6099208D">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8.7 通知 </w:t>
      </w:r>
    </w:p>
    <w:p w14:paraId="137BFB5E">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本合同涉及的通知均应当采用书面形式，并在送达对方时生效，收件人应书面签收。 </w:t>
      </w:r>
    </w:p>
    <w:p w14:paraId="0901C5E5">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8.8 著作权 </w:t>
      </w:r>
    </w:p>
    <w:p w14:paraId="53CFF31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监理人对其编制的文件拥有著作权。 </w:t>
      </w:r>
    </w:p>
    <w:p w14:paraId="408FE918">
      <w:pPr>
        <w:keepNext w:val="0"/>
        <w:keepLines w:val="0"/>
        <w:pageBreakBefore w:val="0"/>
        <w:widowControl/>
        <w:suppressLineNumbers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监理人可单独或与他人联合出版有关监理与相关服务的资料。除专用条件另有约 </w:t>
      </w:r>
    </w:p>
    <w:p w14:paraId="00670332">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 xml:space="preserve">定外，如果监理人在本合同履行期间及本合同终止后两年内出版涉及本工程的有关监 </w:t>
      </w:r>
    </w:p>
    <w:p w14:paraId="56D3635A">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kern w:val="0"/>
          <w:sz w:val="24"/>
          <w:szCs w:val="24"/>
          <w:lang w:val="en-US" w:eastAsia="zh-CN" w:bidi="ar"/>
        </w:rPr>
        <w:t>理与相关服务的资料，应当征得委托人的同意。</w:t>
      </w:r>
    </w:p>
    <w:p w14:paraId="21ECC4E4">
      <w:pPr>
        <w:snapToGrid/>
        <w:spacing w:line="240" w:lineRule="auto"/>
        <w:jc w:val="center"/>
        <w:rPr>
          <w:rFonts w:hint="eastAsia" w:asciiTheme="minorEastAsia" w:hAnsiTheme="minorEastAsia" w:eastAsiaTheme="minorEastAsia" w:cstheme="minorEastAsia"/>
          <w:b/>
          <w:bCs/>
          <w:kern w:val="2"/>
          <w:sz w:val="24"/>
          <w:szCs w:val="24"/>
        </w:rPr>
      </w:pPr>
    </w:p>
    <w:p w14:paraId="1B6CB36A">
      <w:pPr>
        <w:snapToGrid/>
        <w:spacing w:line="240" w:lineRule="auto"/>
        <w:jc w:val="center"/>
        <w:rPr>
          <w:rFonts w:hint="eastAsia" w:asciiTheme="minorEastAsia" w:hAnsiTheme="minorEastAsia" w:eastAsiaTheme="minorEastAsia" w:cstheme="minorEastAsia"/>
          <w:b/>
          <w:bCs/>
          <w:kern w:val="2"/>
          <w:sz w:val="24"/>
          <w:szCs w:val="24"/>
        </w:rPr>
      </w:pPr>
    </w:p>
    <w:p w14:paraId="028BE130">
      <w:pPr>
        <w:snapToGrid/>
        <w:spacing w:line="240" w:lineRule="auto"/>
        <w:jc w:val="center"/>
        <w:rPr>
          <w:rFonts w:hint="eastAsia" w:asciiTheme="minorEastAsia" w:hAnsiTheme="minorEastAsia" w:eastAsiaTheme="minorEastAsia" w:cstheme="minorEastAsia"/>
          <w:b/>
          <w:bCs/>
          <w:kern w:val="2"/>
          <w:sz w:val="24"/>
          <w:szCs w:val="24"/>
        </w:rPr>
      </w:pPr>
    </w:p>
    <w:p w14:paraId="6A68E015">
      <w:pPr>
        <w:snapToGrid/>
        <w:spacing w:line="240" w:lineRule="auto"/>
        <w:jc w:val="center"/>
        <w:rPr>
          <w:rFonts w:hint="eastAsia" w:asciiTheme="minorEastAsia" w:hAnsiTheme="minorEastAsia" w:eastAsiaTheme="minorEastAsia" w:cstheme="minorEastAsia"/>
          <w:b/>
          <w:bCs/>
          <w:kern w:val="2"/>
          <w:sz w:val="24"/>
          <w:szCs w:val="24"/>
        </w:rPr>
      </w:pPr>
    </w:p>
    <w:p w14:paraId="1A1C7594">
      <w:pPr>
        <w:snapToGrid/>
        <w:spacing w:line="240" w:lineRule="auto"/>
        <w:jc w:val="center"/>
        <w:rPr>
          <w:rFonts w:hint="eastAsia" w:asciiTheme="minorEastAsia" w:hAnsiTheme="minorEastAsia" w:eastAsiaTheme="minorEastAsia" w:cstheme="minorEastAsia"/>
          <w:b/>
          <w:bCs/>
          <w:kern w:val="2"/>
          <w:sz w:val="24"/>
          <w:szCs w:val="24"/>
        </w:rPr>
      </w:pPr>
    </w:p>
    <w:p w14:paraId="31E628A5">
      <w:pPr>
        <w:snapToGrid/>
        <w:spacing w:line="240" w:lineRule="auto"/>
        <w:jc w:val="center"/>
        <w:rPr>
          <w:rFonts w:hint="eastAsia" w:asciiTheme="minorEastAsia" w:hAnsiTheme="minorEastAsia" w:eastAsiaTheme="minorEastAsia" w:cstheme="minorEastAsia"/>
          <w:b/>
          <w:bCs/>
          <w:kern w:val="2"/>
          <w:sz w:val="24"/>
          <w:szCs w:val="24"/>
        </w:rPr>
      </w:pPr>
    </w:p>
    <w:p w14:paraId="28DF203E">
      <w:pPr>
        <w:snapToGrid/>
        <w:spacing w:line="240" w:lineRule="auto"/>
        <w:jc w:val="center"/>
        <w:rPr>
          <w:rFonts w:hint="eastAsia" w:asciiTheme="minorEastAsia" w:hAnsiTheme="minorEastAsia" w:eastAsiaTheme="minorEastAsia" w:cstheme="minorEastAsia"/>
          <w:b/>
          <w:bCs/>
          <w:kern w:val="2"/>
          <w:sz w:val="24"/>
          <w:szCs w:val="24"/>
        </w:rPr>
      </w:pPr>
    </w:p>
    <w:p w14:paraId="6679A877">
      <w:pPr>
        <w:snapToGrid/>
        <w:spacing w:line="240" w:lineRule="auto"/>
        <w:jc w:val="center"/>
        <w:rPr>
          <w:rFonts w:hint="eastAsia" w:asciiTheme="minorEastAsia" w:hAnsiTheme="minorEastAsia" w:eastAsiaTheme="minorEastAsia" w:cstheme="minorEastAsia"/>
          <w:b/>
          <w:bCs/>
          <w:kern w:val="2"/>
          <w:sz w:val="24"/>
          <w:szCs w:val="24"/>
        </w:rPr>
      </w:pPr>
    </w:p>
    <w:p w14:paraId="2D9EB3D1">
      <w:pPr>
        <w:snapToGrid/>
        <w:spacing w:line="240" w:lineRule="auto"/>
        <w:jc w:val="center"/>
        <w:rPr>
          <w:rFonts w:hint="eastAsia" w:asciiTheme="minorEastAsia" w:hAnsiTheme="minorEastAsia" w:eastAsiaTheme="minorEastAsia" w:cstheme="minorEastAsia"/>
          <w:b/>
          <w:bCs/>
          <w:kern w:val="2"/>
          <w:sz w:val="24"/>
          <w:szCs w:val="24"/>
        </w:rPr>
      </w:pPr>
    </w:p>
    <w:p w14:paraId="322FCAEB">
      <w:pPr>
        <w:snapToGrid/>
        <w:spacing w:line="240" w:lineRule="auto"/>
        <w:jc w:val="center"/>
        <w:rPr>
          <w:rFonts w:hint="eastAsia" w:asciiTheme="minorEastAsia" w:hAnsiTheme="minorEastAsia" w:eastAsiaTheme="minorEastAsia" w:cstheme="minorEastAsia"/>
          <w:b/>
          <w:bCs/>
          <w:kern w:val="2"/>
          <w:sz w:val="24"/>
          <w:szCs w:val="24"/>
        </w:rPr>
      </w:pPr>
    </w:p>
    <w:p w14:paraId="1F8476FF">
      <w:pPr>
        <w:snapToGrid/>
        <w:spacing w:line="240" w:lineRule="auto"/>
        <w:jc w:val="center"/>
        <w:rPr>
          <w:rFonts w:hint="eastAsia" w:asciiTheme="minorEastAsia" w:hAnsiTheme="minorEastAsia" w:eastAsiaTheme="minorEastAsia" w:cstheme="minorEastAsia"/>
          <w:b/>
          <w:bCs/>
          <w:kern w:val="2"/>
          <w:sz w:val="24"/>
          <w:szCs w:val="24"/>
        </w:rPr>
      </w:pPr>
    </w:p>
    <w:p w14:paraId="0536BFB9">
      <w:pPr>
        <w:snapToGrid/>
        <w:spacing w:line="240" w:lineRule="auto"/>
        <w:jc w:val="center"/>
        <w:rPr>
          <w:rFonts w:hint="eastAsia" w:asciiTheme="minorEastAsia" w:hAnsiTheme="minorEastAsia" w:eastAsiaTheme="minorEastAsia" w:cstheme="minorEastAsia"/>
          <w:b/>
          <w:bCs/>
          <w:kern w:val="2"/>
          <w:sz w:val="24"/>
          <w:szCs w:val="24"/>
        </w:rPr>
      </w:pPr>
    </w:p>
    <w:p w14:paraId="0252DF7B">
      <w:pPr>
        <w:snapToGrid/>
        <w:spacing w:line="240" w:lineRule="auto"/>
        <w:jc w:val="center"/>
        <w:rPr>
          <w:rFonts w:hint="eastAsia" w:asciiTheme="minorEastAsia" w:hAnsiTheme="minorEastAsia" w:eastAsiaTheme="minorEastAsia" w:cstheme="minorEastAsia"/>
          <w:b/>
          <w:bCs/>
          <w:kern w:val="2"/>
          <w:sz w:val="24"/>
          <w:szCs w:val="24"/>
        </w:rPr>
      </w:pPr>
      <w:r>
        <w:rPr>
          <w:rFonts w:hint="eastAsia" w:asciiTheme="minorEastAsia" w:hAnsiTheme="minorEastAsia" w:eastAsiaTheme="minorEastAsia" w:cstheme="minorEastAsia"/>
          <w:b/>
          <w:bCs/>
          <w:kern w:val="2"/>
          <w:sz w:val="24"/>
          <w:szCs w:val="24"/>
        </w:rPr>
        <w:br w:type="page"/>
      </w:r>
      <w:r>
        <w:rPr>
          <w:rFonts w:hint="eastAsia" w:asciiTheme="minorEastAsia" w:hAnsiTheme="minorEastAsia" w:eastAsiaTheme="minorEastAsia" w:cstheme="minorEastAsia"/>
          <w:b/>
          <w:bCs/>
          <w:kern w:val="2"/>
          <w:sz w:val="24"/>
          <w:szCs w:val="24"/>
        </w:rPr>
        <w:t>第三部分 专用条件</w:t>
      </w:r>
    </w:p>
    <w:p w14:paraId="77165F0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1. 定义与解释</w:t>
      </w:r>
    </w:p>
    <w:p w14:paraId="1D0DA0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1.2  解释</w:t>
      </w:r>
    </w:p>
    <w:p w14:paraId="170F04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1.2.1 本合同文件除使用中文外，还可用</w:t>
      </w:r>
      <w:r>
        <w:rPr>
          <w:rFonts w:hint="eastAsia" w:asciiTheme="minorEastAsia" w:hAnsiTheme="minorEastAsia" w:eastAsiaTheme="minorEastAsia" w:cstheme="minorEastAsia"/>
          <w:color w:val="auto"/>
          <w:kern w:val="2"/>
          <w:sz w:val="24"/>
          <w:szCs w:val="24"/>
          <w:highlight w:val="none"/>
          <w:u w:val="single"/>
          <w:lang w:val="en-US" w:eastAsia="zh-CN"/>
        </w:rPr>
        <w:t xml:space="preserve">    /    </w:t>
      </w:r>
      <w:r>
        <w:rPr>
          <w:rFonts w:hint="eastAsia" w:asciiTheme="minorEastAsia" w:hAnsiTheme="minorEastAsia" w:eastAsiaTheme="minorEastAsia" w:cstheme="minorEastAsia"/>
          <w:color w:val="auto"/>
          <w:kern w:val="2"/>
          <w:sz w:val="24"/>
          <w:szCs w:val="24"/>
          <w:highlight w:val="none"/>
          <w:u w:val="none"/>
        </w:rPr>
        <w:t>。</w:t>
      </w:r>
    </w:p>
    <w:p w14:paraId="34B639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1.2.2 约定本合同文件的解释顺序为：</w:t>
      </w:r>
      <w:r>
        <w:rPr>
          <w:rFonts w:hint="eastAsia" w:asciiTheme="minorEastAsia" w:hAnsiTheme="minorEastAsia" w:eastAsiaTheme="minorEastAsia" w:cstheme="minorEastAsia"/>
          <w:color w:val="auto"/>
          <w:kern w:val="2"/>
          <w:sz w:val="24"/>
          <w:szCs w:val="24"/>
          <w:highlight w:val="none"/>
          <w:u w:val="single"/>
        </w:rPr>
        <w:t>1)补充协议； 2）合同协议书；3）</w:t>
      </w:r>
      <w:r>
        <w:rPr>
          <w:rFonts w:hint="eastAsia" w:asciiTheme="minorEastAsia" w:hAnsiTheme="minorEastAsia" w:eastAsiaTheme="minorEastAsia" w:cstheme="minorEastAsia"/>
          <w:color w:val="auto"/>
          <w:kern w:val="2"/>
          <w:sz w:val="24"/>
          <w:szCs w:val="24"/>
          <w:highlight w:val="none"/>
          <w:u w:val="single"/>
          <w:lang w:val="en-US" w:eastAsia="zh-CN"/>
        </w:rPr>
        <w:t>成交</w:t>
      </w:r>
      <w:r>
        <w:rPr>
          <w:rFonts w:hint="eastAsia" w:asciiTheme="minorEastAsia" w:hAnsiTheme="minorEastAsia" w:eastAsiaTheme="minorEastAsia" w:cstheme="minorEastAsia"/>
          <w:color w:val="auto"/>
          <w:kern w:val="2"/>
          <w:sz w:val="24"/>
          <w:szCs w:val="24"/>
          <w:highlight w:val="none"/>
          <w:u w:val="single"/>
        </w:rPr>
        <w:t>通知书；4）专用条件及附录；5）通用条件；6）</w:t>
      </w:r>
      <w:r>
        <w:rPr>
          <w:rFonts w:hint="eastAsia" w:asciiTheme="minorEastAsia" w:hAnsiTheme="minorEastAsia" w:eastAsiaTheme="minorEastAsia" w:cstheme="minorEastAsia"/>
          <w:color w:val="auto"/>
          <w:kern w:val="2"/>
          <w:sz w:val="24"/>
          <w:szCs w:val="24"/>
          <w:highlight w:val="none"/>
          <w:u w:val="single"/>
          <w:lang w:val="en-US" w:eastAsia="zh-CN"/>
        </w:rPr>
        <w:t>询价</w:t>
      </w:r>
      <w:r>
        <w:rPr>
          <w:rFonts w:hint="eastAsia" w:asciiTheme="minorEastAsia" w:hAnsiTheme="minorEastAsia" w:eastAsiaTheme="minorEastAsia" w:cstheme="minorEastAsia"/>
          <w:color w:val="auto"/>
          <w:kern w:val="2"/>
          <w:sz w:val="24"/>
          <w:szCs w:val="24"/>
          <w:highlight w:val="none"/>
          <w:u w:val="single"/>
        </w:rPr>
        <w:t>文件；7）双方确认需进入合同的其他文件</w:t>
      </w:r>
      <w:r>
        <w:rPr>
          <w:rFonts w:hint="eastAsia" w:asciiTheme="minorEastAsia" w:hAnsiTheme="minorEastAsia" w:eastAsiaTheme="minorEastAsia" w:cstheme="minorEastAsia"/>
          <w:color w:val="auto"/>
          <w:kern w:val="2"/>
          <w:sz w:val="24"/>
          <w:szCs w:val="24"/>
          <w:highlight w:val="none"/>
        </w:rPr>
        <w:t>。</w:t>
      </w:r>
    </w:p>
    <w:p w14:paraId="595C4E3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2. 监理人义务</w:t>
      </w:r>
    </w:p>
    <w:p w14:paraId="0A38785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2.1 监理的范围和内容</w:t>
      </w:r>
    </w:p>
    <w:p w14:paraId="7BF30F2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2.1.1 监理范围包括：</w:t>
      </w:r>
      <w:r>
        <w:rPr>
          <w:rFonts w:hint="eastAsia" w:asciiTheme="minorEastAsia" w:hAnsiTheme="minorEastAsia" w:eastAsiaTheme="minorEastAsia" w:cstheme="minorEastAsia"/>
          <w:color w:val="auto"/>
          <w:kern w:val="2"/>
          <w:sz w:val="24"/>
          <w:szCs w:val="24"/>
          <w:highlight w:val="none"/>
          <w:u w:val="single"/>
        </w:rPr>
        <w:t>本次招标所发图纸(含设计变更)及</w:t>
      </w:r>
      <w:r>
        <w:rPr>
          <w:rFonts w:hint="eastAsia" w:asciiTheme="minorEastAsia" w:hAnsiTheme="minorEastAsia" w:eastAsiaTheme="minorEastAsia" w:cstheme="minorEastAsia"/>
          <w:color w:val="auto"/>
          <w:kern w:val="2"/>
          <w:sz w:val="24"/>
          <w:szCs w:val="24"/>
          <w:highlight w:val="none"/>
          <w:u w:val="single"/>
          <w:lang w:val="en-US" w:eastAsia="zh-CN"/>
        </w:rPr>
        <w:t>询价</w:t>
      </w:r>
      <w:r>
        <w:rPr>
          <w:rFonts w:hint="eastAsia" w:asciiTheme="minorEastAsia" w:hAnsiTheme="minorEastAsia" w:eastAsiaTheme="minorEastAsia" w:cstheme="minorEastAsia"/>
          <w:color w:val="auto"/>
          <w:kern w:val="2"/>
          <w:sz w:val="24"/>
          <w:szCs w:val="24"/>
          <w:highlight w:val="none"/>
          <w:u w:val="single"/>
        </w:rPr>
        <w:t>文件规定的全部内容的全过程监理，监理工作内容包括安全文明生产管理、质量、投资、进度的控制、合同和信息管理、资料整编、配合完成竣工备案以及协调参建各单位之间的关系，协助委托人完成建设目标</w:t>
      </w:r>
      <w:r>
        <w:rPr>
          <w:rFonts w:hint="eastAsia" w:asciiTheme="minorEastAsia" w:hAnsiTheme="minorEastAsia" w:eastAsiaTheme="minorEastAsia" w:cstheme="minorEastAsia"/>
          <w:color w:val="auto"/>
          <w:kern w:val="2"/>
          <w:sz w:val="24"/>
          <w:szCs w:val="24"/>
          <w:highlight w:val="none"/>
        </w:rPr>
        <w:t>。</w:t>
      </w:r>
    </w:p>
    <w:p w14:paraId="022F44A9">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2.1.2 监理工作内容还包括：</w:t>
      </w:r>
      <w:r>
        <w:rPr>
          <w:rFonts w:hint="eastAsia" w:asciiTheme="minorEastAsia" w:hAnsiTheme="minorEastAsia" w:eastAsiaTheme="minorEastAsia" w:cstheme="minorEastAsia"/>
          <w:color w:val="auto"/>
          <w:kern w:val="2"/>
          <w:sz w:val="24"/>
          <w:szCs w:val="24"/>
          <w:highlight w:val="none"/>
          <w:u w:val="single"/>
        </w:rPr>
        <w:t>完成本合同范围内从施工准备至国家规定的保修期结束的三控制、三管理、一协调及投标时编写的监理大纲中规定的各项管理业务</w:t>
      </w:r>
      <w:r>
        <w:rPr>
          <w:rFonts w:hint="eastAsia" w:asciiTheme="minorEastAsia" w:hAnsiTheme="minorEastAsia" w:eastAsiaTheme="minorEastAsia" w:cstheme="minorEastAsia"/>
          <w:color w:val="auto"/>
          <w:kern w:val="2"/>
          <w:sz w:val="24"/>
          <w:szCs w:val="24"/>
          <w:highlight w:val="none"/>
        </w:rPr>
        <w:t>。</w:t>
      </w:r>
    </w:p>
    <w:p w14:paraId="653EC0CC">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具体主要应完成但不限于如下工作:</w:t>
      </w:r>
    </w:p>
    <w:p w14:paraId="11793B9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（一）施工准备阶段:</w:t>
      </w:r>
    </w:p>
    <w:p w14:paraId="386BA3B8">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1、参加设计单位向施工单位进行设计技术交底会议。</w:t>
      </w:r>
    </w:p>
    <w:p w14:paraId="4FE0E9B2">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2、组织或参加对设计图纸的复查核对,优化和改善设计。对有关设计问题等提出合理化建议。</w:t>
      </w:r>
    </w:p>
    <w:p w14:paraId="270876B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3、检查开工前施工单位的复测资料，施工过程中复核工程定位、标高及垂直度控制。</w:t>
      </w:r>
    </w:p>
    <w:p w14:paraId="15F94FC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4、依据委托人与承包人签定的施工承发包合同审查各承包人上报的实施性施工组织设计，核对</w:t>
      </w:r>
      <w:r>
        <w:rPr>
          <w:rFonts w:hint="eastAsia" w:asciiTheme="minorEastAsia" w:hAnsiTheme="minorEastAsia" w:eastAsiaTheme="minorEastAsia" w:cstheme="minorEastAsia"/>
          <w:color w:val="auto"/>
          <w:kern w:val="2"/>
          <w:sz w:val="24"/>
          <w:szCs w:val="24"/>
          <w:highlight w:val="none"/>
          <w:u w:val="single"/>
          <w:lang w:val="en-US" w:eastAsia="zh-CN"/>
        </w:rPr>
        <w:t>询价响应</w:t>
      </w:r>
      <w:r>
        <w:rPr>
          <w:rFonts w:hint="eastAsia" w:asciiTheme="minorEastAsia" w:hAnsiTheme="minorEastAsia" w:eastAsiaTheme="minorEastAsia" w:cstheme="minorEastAsia"/>
          <w:color w:val="auto"/>
          <w:kern w:val="2"/>
          <w:sz w:val="24"/>
          <w:szCs w:val="24"/>
          <w:highlight w:val="none"/>
          <w:u w:val="single"/>
        </w:rPr>
        <w:t>文件及合同明确的劳力数量施工机械设备的数量和型号，检查工程物资、材料进场及布局情况，审查保证质量、安全、工期和控制造价等方面的措施的制定情况等，督促其完善实施</w:t>
      </w:r>
      <w:r>
        <w:rPr>
          <w:rFonts w:hint="eastAsia" w:asciiTheme="minorEastAsia" w:hAnsiTheme="minorEastAsia" w:eastAsiaTheme="minorEastAsia" w:cstheme="minorEastAsia"/>
          <w:color w:val="auto"/>
          <w:kern w:val="2"/>
          <w:sz w:val="24"/>
          <w:szCs w:val="24"/>
          <w:highlight w:val="none"/>
        </w:rPr>
        <w:t>。</w:t>
      </w:r>
    </w:p>
    <w:p w14:paraId="6974AD18">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5、对承包人质量保证体系是否健全，安全、质量技术措施是否落实进行监督、检查,并督促其完善</w:t>
      </w:r>
      <w:r>
        <w:rPr>
          <w:rFonts w:hint="eastAsia" w:asciiTheme="minorEastAsia" w:hAnsiTheme="minorEastAsia" w:eastAsiaTheme="minorEastAsia" w:cstheme="minorEastAsia"/>
          <w:color w:val="auto"/>
          <w:kern w:val="2"/>
          <w:sz w:val="24"/>
          <w:szCs w:val="24"/>
          <w:highlight w:val="none"/>
        </w:rPr>
        <w:t>。</w:t>
      </w:r>
    </w:p>
    <w:p w14:paraId="151ECD4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6、审查单位工程的开工报告，但开工报告必须经委托人批准</w:t>
      </w:r>
      <w:r>
        <w:rPr>
          <w:rFonts w:hint="eastAsia" w:asciiTheme="minorEastAsia" w:hAnsiTheme="minorEastAsia" w:eastAsiaTheme="minorEastAsia" w:cstheme="minorEastAsia"/>
          <w:color w:val="auto"/>
          <w:kern w:val="2"/>
          <w:sz w:val="24"/>
          <w:szCs w:val="24"/>
          <w:highlight w:val="none"/>
        </w:rPr>
        <w:t>。</w:t>
      </w:r>
    </w:p>
    <w:p w14:paraId="1B95EC7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7、审查汇总施工图数量，并按发包合同内工程数量进行列表比照，建立台帐，以便作为修订承发合同和变更设计等的依据</w:t>
      </w:r>
      <w:r>
        <w:rPr>
          <w:rFonts w:hint="eastAsia" w:asciiTheme="minorEastAsia" w:hAnsiTheme="minorEastAsia" w:eastAsiaTheme="minorEastAsia" w:cstheme="minorEastAsia"/>
          <w:color w:val="auto"/>
          <w:kern w:val="2"/>
          <w:sz w:val="24"/>
          <w:szCs w:val="24"/>
          <w:highlight w:val="none"/>
        </w:rPr>
        <w:t>。</w:t>
      </w:r>
    </w:p>
    <w:p w14:paraId="6C60D53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8、结合实际情况，制定监理工作规划和编写监理实施细则，并报委托人审核。</w:t>
      </w:r>
    </w:p>
    <w:p w14:paraId="6967A19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9、根据委托人的授权对结算和付款进行审查把关</w:t>
      </w:r>
      <w:r>
        <w:rPr>
          <w:rFonts w:hint="eastAsia" w:asciiTheme="minorEastAsia" w:hAnsiTheme="minorEastAsia" w:eastAsiaTheme="minorEastAsia" w:cstheme="minorEastAsia"/>
          <w:color w:val="auto"/>
          <w:kern w:val="2"/>
          <w:sz w:val="24"/>
          <w:szCs w:val="24"/>
          <w:highlight w:val="none"/>
        </w:rPr>
        <w:t>。</w:t>
      </w:r>
    </w:p>
    <w:p w14:paraId="78DC8AB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（二）施工阶段：</w:t>
      </w:r>
    </w:p>
    <w:p w14:paraId="4C4EE03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1、工程质量控制：</w:t>
      </w:r>
    </w:p>
    <w:p w14:paraId="5192E49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确保全部工程达到国家和建设部现行的工程质量验收标准。工程一次验收合格率达到100%，并且必须满足委托人与承包人签订的施工合同中规定的质量等级的要求。</w:t>
      </w:r>
    </w:p>
    <w:p w14:paraId="271C127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1.1督促承包人严格执行国家和建设部颁发的现行建筑工程建设标准、规范、工程质量检验评定标准、工程承发包合同及有关技术标准。</w:t>
      </w:r>
    </w:p>
    <w:p w14:paraId="25F1262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1.2对隐蔽工程进行检查和办理签证。各种工程检验评定表格相关内容必须检查，对重点难点工程要派人员驻点监理，关键工序进行旁站监理。对隐蔽工程中出现的各种问题，及时监督承包人认真处理，必要时邀请设计单位参加处理，重要及重大问题必须及时通报委托人。</w:t>
      </w:r>
    </w:p>
    <w:p w14:paraId="03FD2399">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1.3对施工测量放样等进行随机抽查。对发现的问题要作出监理记录，并通知承包人及时纠正。</w:t>
      </w:r>
    </w:p>
    <w:p w14:paraId="53DD4A1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1.4检查工程材料、成品、半成品、设备等出厂合格证，并监督检查承包人的各种试验。如有疑异，监理人应在委托人指定的试验室，对原材料、各类试件等取样抽检或复查，对不符合要求的材料和设备，有权禁止进入工地和投入使用，已进场的不合格材料应坚决清离施工现场。</w:t>
      </w:r>
    </w:p>
    <w:p w14:paraId="569C8EC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1.5监督承包人严格按施工规范、规程和设计图纸施工。对工程主要部位、主要环节、关键工序的施工及设备的安装、调试，按国家和建设部有关质量检测规定进行检查签证。监督承包人按规定进行各类试验，同时进行一定数量的平行抽检试验，并对承包人的试验结果进行抽样检查。抽检费用由委托方承担，或者由委托方指定实验室，并由委托方统一与实验室结算。</w:t>
      </w:r>
    </w:p>
    <w:p w14:paraId="76108BA2">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1.6按相关“质量验收标准”规定，对承包人自评的单位工程质量进行复查认定，按期书面报委托人核备。</w:t>
      </w:r>
    </w:p>
    <w:p w14:paraId="18A03B6D">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1.7检查安全防护措施以及文明施工，并督促各项措施的落实；组织每周的安全文明例行检查，参加委托方要求的对工地的抽查，监督检查安全文明竞赛的落实情况，并办理相关资料。</w:t>
      </w:r>
    </w:p>
    <w:p w14:paraId="19C4236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1.8对施工单位的检测仪器设备进行全面监督，审核度量衡的定期检验资料，保证其度量设备的准确性、可靠性。</w:t>
      </w:r>
    </w:p>
    <w:p w14:paraId="4A054C4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1.9施工中发现质量问题，应立即书面通知施工单位返工处理，并记入工程监理日志。对发生重大工程质量事故，参加事故分析会，督促施工单位及时处理，有权否定施工单位对质量事故的处理意见，责成其重新研究事故处理方案，并及时书面报告委托人。</w:t>
      </w:r>
    </w:p>
    <w:p w14:paraId="3D03E85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1.10对于合同范围内的工程建设项目，应实施经常性的质量检查，对单位工程的施工检查要保证不漏检，对重点工程和技术复杂的工程应增加检查频率。</w:t>
      </w:r>
    </w:p>
    <w:p w14:paraId="251A62A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1.1</w:t>
      </w:r>
      <w:r>
        <w:rPr>
          <w:rFonts w:hint="eastAsia" w:asciiTheme="minorEastAsia" w:hAnsiTheme="minorEastAsia" w:eastAsiaTheme="minorEastAsia" w:cstheme="minorEastAsia"/>
          <w:color w:val="auto"/>
          <w:kern w:val="2"/>
          <w:sz w:val="24"/>
          <w:szCs w:val="24"/>
          <w:highlight w:val="none"/>
          <w:u w:val="single"/>
          <w:lang w:val="en-US" w:eastAsia="zh-CN"/>
        </w:rPr>
        <w:t>1</w:t>
      </w:r>
      <w:r>
        <w:rPr>
          <w:rFonts w:hint="eastAsia" w:asciiTheme="minorEastAsia" w:hAnsiTheme="minorEastAsia" w:eastAsiaTheme="minorEastAsia" w:cstheme="minorEastAsia"/>
          <w:color w:val="auto"/>
          <w:kern w:val="2"/>
          <w:sz w:val="24"/>
          <w:szCs w:val="24"/>
          <w:highlight w:val="none"/>
          <w:u w:val="single"/>
        </w:rPr>
        <w:t>实行工程质量责任制和工程质量终身负责制。</w:t>
      </w:r>
    </w:p>
    <w:p w14:paraId="4746B01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1.1</w:t>
      </w:r>
      <w:r>
        <w:rPr>
          <w:rFonts w:hint="eastAsia" w:asciiTheme="minorEastAsia" w:hAnsiTheme="minorEastAsia" w:eastAsiaTheme="minorEastAsia" w:cstheme="minorEastAsia"/>
          <w:color w:val="auto"/>
          <w:kern w:val="2"/>
          <w:sz w:val="24"/>
          <w:szCs w:val="24"/>
          <w:highlight w:val="none"/>
          <w:u w:val="single"/>
          <w:lang w:val="en-US" w:eastAsia="zh-CN"/>
        </w:rPr>
        <w:t>2</w:t>
      </w:r>
      <w:r>
        <w:rPr>
          <w:rFonts w:hint="eastAsia" w:asciiTheme="minorEastAsia" w:hAnsiTheme="minorEastAsia" w:eastAsiaTheme="minorEastAsia" w:cstheme="minorEastAsia"/>
          <w:color w:val="auto"/>
          <w:kern w:val="2"/>
          <w:sz w:val="24"/>
          <w:szCs w:val="24"/>
          <w:highlight w:val="none"/>
          <w:u w:val="single"/>
        </w:rPr>
        <w:t>对规定保修期内的工程产品，负责工程质量状况检查，组织鉴定质量问题，督促责任单位整修。</w:t>
      </w:r>
    </w:p>
    <w:p w14:paraId="0340CFE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1.1</w:t>
      </w:r>
      <w:r>
        <w:rPr>
          <w:rFonts w:hint="eastAsia" w:asciiTheme="minorEastAsia" w:hAnsiTheme="minorEastAsia" w:eastAsiaTheme="minorEastAsia" w:cstheme="minorEastAsia"/>
          <w:color w:val="auto"/>
          <w:kern w:val="2"/>
          <w:sz w:val="24"/>
          <w:szCs w:val="24"/>
          <w:highlight w:val="none"/>
          <w:u w:val="single"/>
          <w:lang w:val="en-US" w:eastAsia="zh-CN"/>
        </w:rPr>
        <w:t>3</w:t>
      </w:r>
      <w:r>
        <w:rPr>
          <w:rFonts w:hint="eastAsia" w:asciiTheme="minorEastAsia" w:hAnsiTheme="minorEastAsia" w:eastAsiaTheme="minorEastAsia" w:cstheme="minorEastAsia"/>
          <w:color w:val="auto"/>
          <w:kern w:val="2"/>
          <w:sz w:val="24"/>
          <w:szCs w:val="24"/>
          <w:highlight w:val="none"/>
          <w:u w:val="single"/>
        </w:rPr>
        <w:t>禁止监理工程师委托代检工程质量。</w:t>
      </w:r>
    </w:p>
    <w:p w14:paraId="5A74FE62">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 控制工程进度:</w:t>
      </w:r>
    </w:p>
    <w:p w14:paraId="1320E44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2.1监督施工单位严格按照施工承发包合同规定的工期和委托人下达的年、季度施工计划组织施工，每季、每月、每周监理人向委托人报告每季、本月、本周施工计划的执行情况和存在的主要问题，并提出建设性、合理化建议。</w:t>
      </w:r>
    </w:p>
    <w:p w14:paraId="1F3399D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2.2掌握各工程项目的施工进展情况，准确了解工程进度，如果发生延误，及时分析原因，提出相应措施，并报告委托人。</w:t>
      </w:r>
    </w:p>
    <w:p w14:paraId="3E6D8F8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2.3建立工程进度台帐，核对工程形象进度，按月、周向委托人报告。</w:t>
      </w:r>
    </w:p>
    <w:p w14:paraId="3C31ED4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  控制工程投资:</w:t>
      </w:r>
    </w:p>
    <w:p w14:paraId="1E94099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3.1按建设部和委托人现行文件的规定办理验工计量签证，保证验工签证的各项工程质量合格，数量准确；审核施工单位申报的验工报表、各项变更、竣工结算，核对工程量,做到不超验，不漏验。</w:t>
      </w:r>
    </w:p>
    <w:p w14:paraId="783323D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3.2建立验工计量台帐，每周向委托人报送一次，每月末与施工单位核对清算一次，核对清算后资料报委托人一份。</w:t>
      </w:r>
    </w:p>
    <w:p w14:paraId="3F0F3F3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3.3对不符合质量标准的工程，未经返工处理做到达标前不予验工计量。</w:t>
      </w:r>
    </w:p>
    <w:p w14:paraId="5A153FF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3.4负责组织协调处理工程中出现的各种索赔与反索赔，收集相关资料。</w:t>
      </w:r>
    </w:p>
    <w:p w14:paraId="7EE0F92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3.5委派有造价审核资质的工程师驻现场，专人专项负责协助业主处理施工全过程中的工程造价事务，包括业主委托的造价资料的收集、工程量（含变更）审核、竣工结算的预审核等。</w:t>
      </w:r>
    </w:p>
    <w:p w14:paraId="1DB8B65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3.6协助委托人委派的项目跟踪审计单位的工作。</w:t>
      </w:r>
    </w:p>
    <w:p w14:paraId="58B5A54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 关于变更设计:</w:t>
      </w:r>
    </w:p>
    <w:p w14:paraId="6BD5205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4.1按建设部颁发的有关规定及委托人制定的有关变更设计的管理实施办法执行。</w:t>
      </w:r>
    </w:p>
    <w:p w14:paraId="365F4E9D">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4.2审核合同外工程数量及其价款变更。</w:t>
      </w:r>
    </w:p>
    <w:p w14:paraId="0E731CB6">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4.3按委托人要求参加或组织设计变更工作。</w:t>
      </w:r>
    </w:p>
    <w:p w14:paraId="0A05E25C">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4.4按规定程序严格审查、复核申报的设计变更，确保数量准确，并提出预审意见。</w:t>
      </w:r>
    </w:p>
    <w:p w14:paraId="5F984645">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4.5参与委托人组织的各项检查评比活动。</w:t>
      </w:r>
    </w:p>
    <w:p w14:paraId="79B829D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(三) 竣工验收阶段:</w:t>
      </w:r>
    </w:p>
    <w:p w14:paraId="3E2DD24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1 督促、检查施工单位及时整理竣工文件和验收资料等，受理单位工程竣工报告，并提出监理意见。</w:t>
      </w:r>
    </w:p>
    <w:p w14:paraId="62F6403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 根据施工单位的单位工程竣工报告，提出合同范围内的工程质量评估报告。</w:t>
      </w:r>
    </w:p>
    <w:p w14:paraId="7F232C4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 按委托人要求参加或组织工程初验有关工作，对合同范围内初验报告，提出监理意见。参加委托人组织的竣工交接验收工作。</w:t>
      </w:r>
    </w:p>
    <w:p w14:paraId="4909CF55">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 工程竣工验收后，编写合同范围内的监理工作总结，报送委托人。</w:t>
      </w:r>
    </w:p>
    <w:p w14:paraId="518AFB5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5 在国家规定的保修期内应履行应尽的职责（包括维修阶段的组织协调、质量控制等职责）。</w:t>
      </w:r>
    </w:p>
    <w:p w14:paraId="110B7F0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6 监理业务完成后，对工程建设监理档案资料应妥善保管或按规定提交有关部门。</w:t>
      </w:r>
    </w:p>
    <w:p w14:paraId="0464565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2.2 监理与相关服务依据</w:t>
      </w:r>
    </w:p>
    <w:p w14:paraId="45ADE59B">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2.2.1 监理依据包括：</w:t>
      </w:r>
    </w:p>
    <w:p w14:paraId="6088427F">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lang w:val="en-US" w:eastAsia="zh-CN"/>
        </w:rPr>
        <w:t>1</w:t>
      </w:r>
      <w:r>
        <w:rPr>
          <w:rFonts w:hint="eastAsia" w:asciiTheme="minorEastAsia" w:hAnsiTheme="minorEastAsia" w:eastAsiaTheme="minorEastAsia" w:cstheme="minorEastAsia"/>
          <w:color w:val="auto"/>
          <w:kern w:val="2"/>
          <w:sz w:val="24"/>
          <w:szCs w:val="24"/>
          <w:highlight w:val="none"/>
          <w:u w:val="single"/>
        </w:rPr>
        <w:t>国家和建设部颁布的现行有关基本建设的政策和法规。</w:t>
      </w:r>
    </w:p>
    <w:p w14:paraId="0853E786">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2国家和建设部颁布的现行有关工程建设监理的各项规定。</w:t>
      </w:r>
    </w:p>
    <w:p w14:paraId="019EC42A">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3国家和建设部正式颁布的现行各项有关建筑工程建设的技术标准、设计及施工规范、规程、试验检测及有关“验收标准”和竣工验收办法等。</w:t>
      </w:r>
    </w:p>
    <w:p w14:paraId="6A4567E5">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4国家、建设部批准的现行有关本工程的有关政策、法规、规范、标准、规则和办法等文件，委托人有关工程的文件、通知和会议纪要。</w:t>
      </w:r>
    </w:p>
    <w:p w14:paraId="7613AC9C">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5经批准的有关本工程的设计文件（含变更）和施工组织设计。</w:t>
      </w:r>
    </w:p>
    <w:p w14:paraId="43A42B1A">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6委托人与承包人依法签定的施工承发包合同。</w:t>
      </w:r>
    </w:p>
    <w:p w14:paraId="334B6772">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7委托、设计、承包和监理各方联席会议纪要。</w:t>
      </w:r>
    </w:p>
    <w:p w14:paraId="0DFC4EFB">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8委托人向承包人下达的年季度施工计划，及委托人制定的各种管理方法和规定。</w:t>
      </w:r>
    </w:p>
    <w:p w14:paraId="134E2D2F">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u w:val="single"/>
        </w:rPr>
        <w:t>9在合同执行过程中，国家、建设部如对以上有关政策、法规、规范、标准、规则和办法有所修正、更改和补充，则本条由委托人负责解释</w:t>
      </w:r>
      <w:r>
        <w:rPr>
          <w:rFonts w:hint="eastAsia" w:asciiTheme="minorEastAsia" w:hAnsiTheme="minorEastAsia" w:eastAsiaTheme="minorEastAsia" w:cstheme="minorEastAsia"/>
          <w:color w:val="auto"/>
          <w:kern w:val="2"/>
          <w:sz w:val="24"/>
          <w:szCs w:val="24"/>
          <w:highlight w:val="none"/>
        </w:rPr>
        <w:t>。</w:t>
      </w:r>
    </w:p>
    <w:p w14:paraId="256C0A48">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dstrike/>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2.2.2 相关服务依据包括：</w:t>
      </w:r>
      <w:r>
        <w:rPr>
          <w:rFonts w:hint="eastAsia" w:asciiTheme="minorEastAsia" w:hAnsiTheme="minorEastAsia" w:eastAsiaTheme="minorEastAsia" w:cstheme="minorEastAsia"/>
          <w:color w:val="auto"/>
          <w:kern w:val="2"/>
          <w:sz w:val="24"/>
          <w:szCs w:val="24"/>
          <w:highlight w:val="none"/>
          <w:u w:val="single"/>
        </w:rPr>
        <w:t>监理人监理范围内的施工图纸设计文件</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委托人与有关施工单位签订的施工承发包合同</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其他涉及本工程的且与监理有关的资料等</w:t>
      </w:r>
      <w:r>
        <w:rPr>
          <w:rFonts w:hint="eastAsia" w:asciiTheme="minorEastAsia" w:hAnsiTheme="minorEastAsia" w:eastAsiaTheme="minorEastAsia" w:cstheme="minorEastAsia"/>
          <w:color w:val="auto"/>
          <w:kern w:val="2"/>
          <w:sz w:val="24"/>
          <w:szCs w:val="24"/>
          <w:highlight w:val="none"/>
          <w:u w:val="none"/>
        </w:rPr>
        <w:t>。</w:t>
      </w:r>
    </w:p>
    <w:p w14:paraId="57BD0DF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2"/>
          <w:sz w:val="24"/>
          <w:szCs w:val="24"/>
          <w:highlight w:val="none"/>
        </w:rPr>
        <w:t>2.3</w:t>
      </w:r>
      <w:r>
        <w:rPr>
          <w:rFonts w:hint="eastAsia" w:asciiTheme="minorEastAsia" w:hAnsiTheme="minorEastAsia" w:eastAsiaTheme="minorEastAsia" w:cstheme="minorEastAsia"/>
          <w:color w:val="auto"/>
          <w:kern w:val="0"/>
          <w:sz w:val="24"/>
          <w:szCs w:val="24"/>
          <w:highlight w:val="none"/>
        </w:rPr>
        <w:t>项目监理机构和人员</w:t>
      </w:r>
    </w:p>
    <w:p w14:paraId="20552970">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2.3.1</w:t>
      </w:r>
      <w:r>
        <w:rPr>
          <w:rFonts w:hint="eastAsia" w:asciiTheme="minorEastAsia" w:hAnsiTheme="minorEastAsia" w:eastAsiaTheme="minorEastAsia" w:cstheme="minorEastAsia"/>
          <w:color w:val="auto"/>
          <w:kern w:val="2"/>
          <w:sz w:val="24"/>
          <w:szCs w:val="24"/>
          <w:highlight w:val="none"/>
        </w:rPr>
        <w:t>监理人员的配备</w:t>
      </w:r>
    </w:p>
    <w:p w14:paraId="658C2E3C">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1）</w:t>
      </w:r>
      <w:r>
        <w:rPr>
          <w:rFonts w:hint="eastAsia" w:asciiTheme="minorEastAsia" w:hAnsiTheme="minorEastAsia" w:eastAsiaTheme="minorEastAsia" w:cstheme="minorEastAsia"/>
          <w:color w:val="auto"/>
          <w:kern w:val="2"/>
          <w:sz w:val="24"/>
          <w:szCs w:val="24"/>
          <w:highlight w:val="none"/>
        </w:rPr>
        <w:t>总监工程师的资格:</w:t>
      </w:r>
    </w:p>
    <w:p w14:paraId="07B61CA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以</w:t>
      </w:r>
      <w:r>
        <w:rPr>
          <w:rFonts w:hint="eastAsia" w:asciiTheme="minorEastAsia" w:hAnsiTheme="minorEastAsia" w:eastAsiaTheme="minorEastAsia" w:cstheme="minorEastAsia"/>
          <w:color w:val="auto"/>
          <w:kern w:val="2"/>
          <w:sz w:val="24"/>
          <w:szCs w:val="24"/>
          <w:highlight w:val="none"/>
          <w:lang w:val="en-US" w:eastAsia="zh-CN"/>
        </w:rPr>
        <w:t>询价</w:t>
      </w:r>
      <w:r>
        <w:rPr>
          <w:rFonts w:hint="eastAsia" w:asciiTheme="minorEastAsia" w:hAnsiTheme="minorEastAsia" w:eastAsiaTheme="minorEastAsia" w:cstheme="minorEastAsia"/>
          <w:color w:val="auto"/>
          <w:kern w:val="2"/>
          <w:sz w:val="24"/>
          <w:szCs w:val="24"/>
          <w:highlight w:val="none"/>
        </w:rPr>
        <w:t>文件要求和</w:t>
      </w:r>
      <w:r>
        <w:rPr>
          <w:rFonts w:hint="eastAsia" w:asciiTheme="minorEastAsia" w:hAnsiTheme="minorEastAsia" w:eastAsiaTheme="minorEastAsia" w:cstheme="minorEastAsia"/>
          <w:color w:val="auto"/>
          <w:kern w:val="2"/>
          <w:sz w:val="24"/>
          <w:szCs w:val="24"/>
          <w:highlight w:val="none"/>
          <w:lang w:val="en-US" w:eastAsia="zh-CN"/>
        </w:rPr>
        <w:t>成交</w:t>
      </w:r>
      <w:r>
        <w:rPr>
          <w:rFonts w:hint="eastAsia" w:asciiTheme="minorEastAsia" w:hAnsiTheme="minorEastAsia" w:eastAsiaTheme="minorEastAsia" w:cstheme="minorEastAsia"/>
          <w:color w:val="auto"/>
          <w:kern w:val="2"/>
          <w:sz w:val="24"/>
          <w:szCs w:val="24"/>
          <w:highlight w:val="none"/>
        </w:rPr>
        <w:t>人</w:t>
      </w:r>
      <w:r>
        <w:rPr>
          <w:rFonts w:hint="eastAsia" w:asciiTheme="minorEastAsia" w:hAnsiTheme="minorEastAsia" w:eastAsiaTheme="minorEastAsia" w:cstheme="minorEastAsia"/>
          <w:color w:val="auto"/>
          <w:kern w:val="2"/>
          <w:sz w:val="24"/>
          <w:szCs w:val="24"/>
          <w:highlight w:val="none"/>
          <w:lang w:val="en-US" w:eastAsia="zh-CN"/>
        </w:rPr>
        <w:t>询价响应</w:t>
      </w:r>
      <w:r>
        <w:rPr>
          <w:rFonts w:hint="eastAsia" w:asciiTheme="minorEastAsia" w:hAnsiTheme="minorEastAsia" w:eastAsiaTheme="minorEastAsia" w:cstheme="minorEastAsia"/>
          <w:color w:val="auto"/>
          <w:kern w:val="2"/>
          <w:sz w:val="24"/>
          <w:szCs w:val="24"/>
          <w:highlight w:val="none"/>
        </w:rPr>
        <w:t>文件自报为准。</w:t>
      </w:r>
    </w:p>
    <w:p w14:paraId="5428454E">
      <w:pPr>
        <w:keepNext w:val="0"/>
        <w:keepLines w:val="0"/>
        <w:pageBreakBefore w:val="0"/>
        <w:numPr>
          <w:ilvl w:val="0"/>
          <w:numId w:val="0"/>
        </w:numPr>
        <w:tabs>
          <w:tab w:val="left" w:pos="1260"/>
        </w:tabs>
        <w:kinsoku/>
        <w:wordWrap/>
        <w:overflowPunct/>
        <w:topLinePunct w:val="0"/>
        <w:autoSpaceDE/>
        <w:autoSpaceDN/>
        <w:bidi w:val="0"/>
        <w:adjustRightInd/>
        <w:snapToGrid/>
        <w:spacing w:beforeAutospacing="0" w:afterAutospacing="0" w:line="360" w:lineRule="auto"/>
        <w:ind w:left="480" w:leftChars="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2）</w:t>
      </w:r>
      <w:r>
        <w:rPr>
          <w:rFonts w:hint="eastAsia" w:asciiTheme="minorEastAsia" w:hAnsiTheme="minorEastAsia" w:eastAsiaTheme="minorEastAsia" w:cstheme="minorEastAsia"/>
          <w:color w:val="auto"/>
          <w:kern w:val="2"/>
          <w:sz w:val="24"/>
          <w:szCs w:val="24"/>
          <w:highlight w:val="none"/>
        </w:rPr>
        <w:t>其他监理人员</w:t>
      </w:r>
    </w:p>
    <w:p w14:paraId="4955B847">
      <w:pPr>
        <w:keepNext w:val="0"/>
        <w:keepLines w:val="0"/>
        <w:pageBreakBefore w:val="0"/>
        <w:tabs>
          <w:tab w:val="left" w:pos="1260"/>
        </w:tabs>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以</w:t>
      </w:r>
      <w:r>
        <w:rPr>
          <w:rFonts w:hint="eastAsia" w:asciiTheme="minorEastAsia" w:hAnsiTheme="minorEastAsia" w:eastAsiaTheme="minorEastAsia" w:cstheme="minorEastAsia"/>
          <w:color w:val="auto"/>
          <w:kern w:val="2"/>
          <w:sz w:val="24"/>
          <w:szCs w:val="24"/>
          <w:highlight w:val="none"/>
          <w:lang w:val="en-US" w:eastAsia="zh-CN"/>
        </w:rPr>
        <w:t>询价</w:t>
      </w:r>
      <w:r>
        <w:rPr>
          <w:rFonts w:hint="eastAsia" w:asciiTheme="minorEastAsia" w:hAnsiTheme="minorEastAsia" w:eastAsiaTheme="minorEastAsia" w:cstheme="minorEastAsia"/>
          <w:color w:val="auto"/>
          <w:kern w:val="2"/>
          <w:sz w:val="24"/>
          <w:szCs w:val="24"/>
          <w:highlight w:val="none"/>
        </w:rPr>
        <w:t>文件要求和</w:t>
      </w:r>
      <w:r>
        <w:rPr>
          <w:rFonts w:hint="eastAsia" w:asciiTheme="minorEastAsia" w:hAnsiTheme="minorEastAsia" w:eastAsiaTheme="minorEastAsia" w:cstheme="minorEastAsia"/>
          <w:color w:val="auto"/>
          <w:kern w:val="2"/>
          <w:sz w:val="24"/>
          <w:szCs w:val="24"/>
          <w:highlight w:val="none"/>
          <w:lang w:val="en-US" w:eastAsia="zh-CN"/>
        </w:rPr>
        <w:t>成交</w:t>
      </w:r>
      <w:r>
        <w:rPr>
          <w:rFonts w:hint="eastAsia" w:asciiTheme="minorEastAsia" w:hAnsiTheme="minorEastAsia" w:eastAsiaTheme="minorEastAsia" w:cstheme="minorEastAsia"/>
          <w:color w:val="auto"/>
          <w:kern w:val="2"/>
          <w:sz w:val="24"/>
          <w:szCs w:val="24"/>
          <w:highlight w:val="none"/>
        </w:rPr>
        <w:t>人</w:t>
      </w:r>
      <w:r>
        <w:rPr>
          <w:rFonts w:hint="eastAsia" w:asciiTheme="minorEastAsia" w:hAnsiTheme="minorEastAsia" w:eastAsiaTheme="minorEastAsia" w:cstheme="minorEastAsia"/>
          <w:color w:val="auto"/>
          <w:kern w:val="2"/>
          <w:sz w:val="24"/>
          <w:szCs w:val="24"/>
          <w:highlight w:val="none"/>
          <w:lang w:val="en-US" w:eastAsia="zh-CN"/>
        </w:rPr>
        <w:t>询价响应</w:t>
      </w:r>
      <w:r>
        <w:rPr>
          <w:rFonts w:hint="eastAsia" w:asciiTheme="minorEastAsia" w:hAnsiTheme="minorEastAsia" w:eastAsiaTheme="minorEastAsia" w:cstheme="minorEastAsia"/>
          <w:color w:val="auto"/>
          <w:kern w:val="2"/>
          <w:sz w:val="24"/>
          <w:szCs w:val="24"/>
          <w:highlight w:val="none"/>
        </w:rPr>
        <w:t>文件自报为准。</w:t>
      </w:r>
    </w:p>
    <w:p w14:paraId="4DB58B3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bCs/>
          <w:color w:val="auto"/>
          <w:kern w:val="2"/>
          <w:sz w:val="24"/>
          <w:szCs w:val="24"/>
          <w:highlight w:val="none"/>
        </w:rPr>
      </w:pPr>
      <w:r>
        <w:rPr>
          <w:rFonts w:hint="eastAsia" w:asciiTheme="minorEastAsia" w:hAnsiTheme="minorEastAsia" w:eastAsiaTheme="minorEastAsia" w:cstheme="minorEastAsia"/>
          <w:bCs/>
          <w:color w:val="auto"/>
          <w:kern w:val="2"/>
          <w:sz w:val="24"/>
          <w:szCs w:val="24"/>
          <w:highlight w:val="none"/>
          <w:lang w:val="en-US" w:eastAsia="zh-CN"/>
        </w:rPr>
        <w:t>3）</w:t>
      </w:r>
      <w:r>
        <w:rPr>
          <w:rFonts w:hint="eastAsia" w:asciiTheme="minorEastAsia" w:hAnsiTheme="minorEastAsia" w:eastAsiaTheme="minorEastAsia" w:cstheme="minorEastAsia"/>
          <w:bCs/>
          <w:color w:val="auto"/>
          <w:kern w:val="2"/>
          <w:sz w:val="24"/>
          <w:szCs w:val="24"/>
          <w:highlight w:val="none"/>
        </w:rPr>
        <w:t>监理人应按照</w:t>
      </w:r>
      <w:r>
        <w:rPr>
          <w:rFonts w:hint="eastAsia" w:asciiTheme="minorEastAsia" w:hAnsiTheme="minorEastAsia" w:eastAsiaTheme="minorEastAsia" w:cstheme="minorEastAsia"/>
          <w:bCs/>
          <w:color w:val="auto"/>
          <w:kern w:val="2"/>
          <w:sz w:val="24"/>
          <w:szCs w:val="24"/>
          <w:highlight w:val="none"/>
          <w:lang w:val="en-US" w:eastAsia="zh-CN"/>
        </w:rPr>
        <w:t>询价响应文件</w:t>
      </w:r>
      <w:r>
        <w:rPr>
          <w:rFonts w:hint="eastAsia" w:asciiTheme="minorEastAsia" w:hAnsiTheme="minorEastAsia" w:eastAsiaTheme="minorEastAsia" w:cstheme="minorEastAsia"/>
          <w:bCs/>
          <w:color w:val="auto"/>
          <w:kern w:val="2"/>
          <w:sz w:val="24"/>
          <w:szCs w:val="24"/>
          <w:highlight w:val="none"/>
        </w:rPr>
        <w:t>中的承诺配备人员进场。监理人应在工程开工后的一周内或征得委托人同意后按工程实施进度，配齐</w:t>
      </w:r>
      <w:r>
        <w:rPr>
          <w:rFonts w:hint="eastAsia" w:asciiTheme="minorEastAsia" w:hAnsiTheme="minorEastAsia" w:eastAsiaTheme="minorEastAsia" w:cstheme="minorEastAsia"/>
          <w:bCs/>
          <w:color w:val="auto"/>
          <w:kern w:val="2"/>
          <w:sz w:val="24"/>
          <w:szCs w:val="24"/>
          <w:highlight w:val="none"/>
          <w:lang w:val="en-US" w:eastAsia="zh-CN"/>
        </w:rPr>
        <w:t>询价响应文件</w:t>
      </w:r>
      <w:r>
        <w:rPr>
          <w:rFonts w:hint="eastAsia" w:asciiTheme="minorEastAsia" w:hAnsiTheme="minorEastAsia" w:eastAsiaTheme="minorEastAsia" w:cstheme="minorEastAsia"/>
          <w:bCs/>
          <w:color w:val="auto"/>
          <w:kern w:val="2"/>
          <w:sz w:val="24"/>
          <w:szCs w:val="24"/>
          <w:highlight w:val="none"/>
        </w:rPr>
        <w:t>中承诺的专业人员及设备。</w:t>
      </w:r>
    </w:p>
    <w:p w14:paraId="4DCE1C9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bCs/>
          <w:color w:val="auto"/>
          <w:kern w:val="2"/>
          <w:sz w:val="24"/>
          <w:szCs w:val="24"/>
          <w:highlight w:val="none"/>
        </w:rPr>
      </w:pPr>
      <w:r>
        <w:rPr>
          <w:rFonts w:hint="eastAsia" w:asciiTheme="minorEastAsia" w:hAnsiTheme="minorEastAsia" w:eastAsiaTheme="minorEastAsia" w:cstheme="minorEastAsia"/>
          <w:bCs/>
          <w:color w:val="auto"/>
          <w:kern w:val="2"/>
          <w:sz w:val="24"/>
          <w:szCs w:val="24"/>
          <w:highlight w:val="none"/>
          <w:lang w:val="en-US" w:eastAsia="zh-CN"/>
        </w:rPr>
        <w:t>4）</w:t>
      </w:r>
      <w:r>
        <w:rPr>
          <w:rFonts w:hint="eastAsia" w:asciiTheme="minorEastAsia" w:hAnsiTheme="minorEastAsia" w:eastAsiaTheme="minorEastAsia" w:cstheme="minorEastAsia"/>
          <w:bCs/>
          <w:color w:val="auto"/>
          <w:kern w:val="2"/>
          <w:sz w:val="24"/>
          <w:szCs w:val="24"/>
          <w:highlight w:val="none"/>
        </w:rPr>
        <w:t>驻现场的监理人员应专业配套、年龄结构合理，并根据工程进展情况及时调整。</w:t>
      </w:r>
    </w:p>
    <w:p w14:paraId="1663DEC1">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2"/>
          <w:sz w:val="24"/>
          <w:szCs w:val="24"/>
          <w:highlight w:val="none"/>
        </w:rPr>
        <w:t xml:space="preserve">2.3.4 </w:t>
      </w:r>
      <w:r>
        <w:rPr>
          <w:rFonts w:hint="eastAsia" w:asciiTheme="minorEastAsia" w:hAnsiTheme="minorEastAsia" w:eastAsiaTheme="minorEastAsia" w:cstheme="minorEastAsia"/>
          <w:color w:val="auto"/>
          <w:kern w:val="0"/>
          <w:sz w:val="24"/>
          <w:szCs w:val="24"/>
          <w:highlight w:val="none"/>
        </w:rPr>
        <w:t>更换监理人员的其他情形：</w:t>
      </w:r>
    </w:p>
    <w:p w14:paraId="30ACB8C1">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监理人应按</w:t>
      </w:r>
      <w:r>
        <w:rPr>
          <w:rFonts w:hint="eastAsia" w:asciiTheme="minorEastAsia" w:hAnsiTheme="minorEastAsia" w:eastAsiaTheme="minorEastAsia" w:cstheme="minorEastAsia"/>
          <w:color w:val="auto"/>
          <w:kern w:val="2"/>
          <w:sz w:val="24"/>
          <w:szCs w:val="24"/>
          <w:highlight w:val="none"/>
          <w:u w:val="single"/>
          <w:lang w:val="en-US" w:eastAsia="zh-CN"/>
        </w:rPr>
        <w:t>询价响应文件</w:t>
      </w:r>
      <w:r>
        <w:rPr>
          <w:rFonts w:hint="eastAsia" w:asciiTheme="minorEastAsia" w:hAnsiTheme="minorEastAsia" w:eastAsiaTheme="minorEastAsia" w:cstheme="minorEastAsia"/>
          <w:color w:val="auto"/>
          <w:kern w:val="2"/>
          <w:sz w:val="24"/>
          <w:szCs w:val="24"/>
          <w:highlight w:val="none"/>
          <w:u w:val="single"/>
        </w:rPr>
        <w:t>的承诺委派总监理工程师及项目监理机构主要人员（总监、总监代表、部门负责人等)。未征得委托人同意，监理人不得随意更换项目总监及监理组的主要人员。而委托人如发现总监理工程师及有关监理人员未能正常履行职责，有权要求监理人予以无条件调换，监理人应予无条件执行。</w:t>
      </w:r>
    </w:p>
    <w:p w14:paraId="6561AE2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现场监理机构中，监理人员应实行挂牌上岗制，上下班实行考勤打卡制，监理组人员每月的出勤率不能低于实际工作日的95%。总监理工程师必须现场办公、管理，离开现场3天及以上，应提前一周将离开理由和其代理人报委托方项目部，经批准后方可离开。</w:t>
      </w:r>
    </w:p>
    <w:p w14:paraId="480AD6B1">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 xml:space="preserve">2.4 </w:t>
      </w:r>
      <w:r>
        <w:rPr>
          <w:rFonts w:hint="eastAsia" w:asciiTheme="minorEastAsia" w:hAnsiTheme="minorEastAsia" w:eastAsiaTheme="minorEastAsia" w:cstheme="minorEastAsia"/>
          <w:color w:val="auto"/>
          <w:kern w:val="0"/>
          <w:sz w:val="24"/>
          <w:szCs w:val="24"/>
          <w:highlight w:val="none"/>
        </w:rPr>
        <w:t>履行职责</w:t>
      </w:r>
    </w:p>
    <w:p w14:paraId="3567790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2.4.3 对监理人的授权范围</w:t>
      </w:r>
      <w:r>
        <w:rPr>
          <w:rFonts w:hint="eastAsia" w:asciiTheme="minorEastAsia" w:hAnsiTheme="minorEastAsia" w:eastAsiaTheme="minorEastAsia" w:cstheme="minorEastAsia"/>
          <w:color w:val="auto"/>
          <w:kern w:val="2"/>
          <w:sz w:val="24"/>
          <w:szCs w:val="24"/>
          <w:highlight w:val="none"/>
          <w:u w:val="single"/>
        </w:rPr>
        <w:t>：</w:t>
      </w:r>
      <w:r>
        <w:rPr>
          <w:rFonts w:hint="eastAsia" w:asciiTheme="minorEastAsia" w:hAnsiTheme="minorEastAsia" w:eastAsiaTheme="minorEastAsia" w:cstheme="minorEastAsia"/>
          <w:color w:val="auto"/>
          <w:kern w:val="2"/>
          <w:sz w:val="24"/>
          <w:szCs w:val="24"/>
          <w:highlight w:val="none"/>
          <w:u w:val="single"/>
          <w:lang w:eastAsia="zh-CN"/>
        </w:rPr>
        <w:t>“</w:t>
      </w:r>
      <w:r>
        <w:rPr>
          <w:rFonts w:hint="eastAsia" w:asciiTheme="minorEastAsia" w:hAnsiTheme="minorEastAsia" w:eastAsiaTheme="minorEastAsia" w:cstheme="minorEastAsia"/>
          <w:color w:val="auto"/>
          <w:kern w:val="2"/>
          <w:sz w:val="24"/>
          <w:szCs w:val="24"/>
          <w:highlight w:val="none"/>
          <w:u w:val="single"/>
        </w:rPr>
        <w:t>三控、三管、一协调</w:t>
      </w:r>
      <w:r>
        <w:rPr>
          <w:rFonts w:hint="eastAsia" w:asciiTheme="minorEastAsia" w:hAnsiTheme="minorEastAsia" w:eastAsiaTheme="minorEastAsia" w:cstheme="minorEastAsia"/>
          <w:color w:val="auto"/>
          <w:kern w:val="2"/>
          <w:sz w:val="24"/>
          <w:szCs w:val="24"/>
          <w:highlight w:val="none"/>
          <w:u w:val="single"/>
          <w:lang w:eastAsia="zh-CN"/>
        </w:rPr>
        <w:t>”</w:t>
      </w:r>
      <w:r>
        <w:rPr>
          <w:rFonts w:hint="eastAsia" w:asciiTheme="minorEastAsia" w:hAnsiTheme="minorEastAsia" w:eastAsiaTheme="minorEastAsia" w:cstheme="minorEastAsia"/>
          <w:color w:val="auto"/>
          <w:kern w:val="2"/>
          <w:sz w:val="24"/>
          <w:szCs w:val="24"/>
          <w:highlight w:val="none"/>
        </w:rPr>
        <w:t>。</w:t>
      </w:r>
    </w:p>
    <w:p w14:paraId="6CFD047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0"/>
          <w:sz w:val="24"/>
          <w:szCs w:val="24"/>
          <w:highlight w:val="none"/>
        </w:rPr>
        <w:t>2.4.4 监理人有权要求承包人调换其人员</w:t>
      </w:r>
      <w:r>
        <w:rPr>
          <w:rFonts w:hint="eastAsia" w:asciiTheme="minorEastAsia" w:hAnsiTheme="minorEastAsia" w:eastAsiaTheme="minorEastAsia" w:cstheme="minorEastAsia"/>
          <w:color w:val="auto"/>
          <w:kern w:val="2"/>
          <w:sz w:val="24"/>
          <w:szCs w:val="24"/>
          <w:highlight w:val="none"/>
        </w:rPr>
        <w:t>的限制条件：</w:t>
      </w:r>
      <w:r>
        <w:rPr>
          <w:rFonts w:hint="eastAsia" w:asciiTheme="minorEastAsia" w:hAnsiTheme="minorEastAsia" w:eastAsiaTheme="minorEastAsia" w:cstheme="minorEastAsia"/>
          <w:color w:val="auto"/>
          <w:kern w:val="2"/>
          <w:sz w:val="24"/>
          <w:szCs w:val="24"/>
          <w:highlight w:val="none"/>
          <w:u w:val="single"/>
        </w:rPr>
        <w:t xml:space="preserve">除专用条件另有约定外，监理人发现承包人的人员不能胜任本职工作的，有权要求承包人予以调换。  </w:t>
      </w:r>
    </w:p>
    <w:p w14:paraId="09BAE2F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2.5 </w:t>
      </w:r>
      <w:r>
        <w:rPr>
          <w:rFonts w:hint="eastAsia" w:asciiTheme="minorEastAsia" w:hAnsiTheme="minorEastAsia" w:eastAsiaTheme="minorEastAsia" w:cstheme="minorEastAsia"/>
          <w:color w:val="auto"/>
          <w:kern w:val="2"/>
          <w:sz w:val="24"/>
          <w:szCs w:val="24"/>
          <w:highlight w:val="none"/>
        </w:rPr>
        <w:t>提交</w:t>
      </w:r>
      <w:r>
        <w:rPr>
          <w:rFonts w:hint="eastAsia" w:asciiTheme="minorEastAsia" w:hAnsiTheme="minorEastAsia" w:eastAsiaTheme="minorEastAsia" w:cstheme="minorEastAsia"/>
          <w:color w:val="auto"/>
          <w:kern w:val="0"/>
          <w:sz w:val="24"/>
          <w:szCs w:val="24"/>
          <w:highlight w:val="none"/>
        </w:rPr>
        <w:t>报告</w:t>
      </w:r>
    </w:p>
    <w:p w14:paraId="1AB65F7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监理人应提交报告的种类(</w:t>
      </w:r>
      <w:r>
        <w:rPr>
          <w:rFonts w:hint="eastAsia" w:asciiTheme="minorEastAsia" w:hAnsiTheme="minorEastAsia" w:eastAsiaTheme="minorEastAsia" w:cstheme="minorEastAsia"/>
          <w:color w:val="auto"/>
          <w:kern w:val="0"/>
          <w:sz w:val="24"/>
          <w:szCs w:val="24"/>
          <w:highlight w:val="none"/>
        </w:rPr>
        <w:t>包括监理规划、监理月报及约定的专项报告)</w:t>
      </w:r>
      <w:r>
        <w:rPr>
          <w:rFonts w:hint="eastAsia" w:asciiTheme="minorEastAsia" w:hAnsiTheme="minorEastAsia" w:eastAsiaTheme="minorEastAsia" w:cstheme="minorEastAsia"/>
          <w:color w:val="auto"/>
          <w:kern w:val="2"/>
          <w:sz w:val="24"/>
          <w:szCs w:val="24"/>
          <w:highlight w:val="none"/>
        </w:rPr>
        <w:t>、时间和份数</w:t>
      </w:r>
      <w:r>
        <w:rPr>
          <w:rFonts w:hint="eastAsia" w:asciiTheme="minorEastAsia" w:hAnsiTheme="minorEastAsia" w:eastAsiaTheme="minorEastAsia" w:cstheme="minorEastAsia"/>
          <w:color w:val="auto"/>
          <w:kern w:val="0"/>
          <w:sz w:val="24"/>
          <w:szCs w:val="24"/>
          <w:highlight w:val="none"/>
        </w:rPr>
        <w:t>：</w:t>
      </w:r>
      <w:r>
        <w:rPr>
          <w:rFonts w:hint="eastAsia" w:asciiTheme="minorEastAsia" w:hAnsiTheme="minorEastAsia" w:eastAsiaTheme="minorEastAsia" w:cstheme="minorEastAsia"/>
          <w:color w:val="auto"/>
          <w:kern w:val="2"/>
          <w:sz w:val="24"/>
          <w:szCs w:val="24"/>
          <w:highlight w:val="none"/>
          <w:u w:val="single"/>
        </w:rPr>
        <w:t>1工程监理周报。监理人每周三下午5时前将上周工程形象进度、主要实物工程量、投资完成以及设计变更情况、隐蔽工程检查、单位工程验评、控制工程和重点工程简况、质量事故、停开工情况、施工中发生的其他主要问题、建议和下周施工进度计划以及完成该进度计划所涉及的有关问题报委托人。</w:t>
      </w:r>
    </w:p>
    <w:p w14:paraId="452C595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2 工程监理月报。监理人每月30日下午5时前除汇总、报送上述内容外，同时应将本月变更设计汇总表、验工计量分析报告及监理工作情况等报委托人。</w:t>
      </w:r>
    </w:p>
    <w:p w14:paraId="66CC65C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3 发生工程质量事故、工伤事故或其他危急情况，监理人应及时通报委托人。</w:t>
      </w:r>
    </w:p>
    <w:p w14:paraId="69950178">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4 总监理工程师应制定各岗位监理人员的考核细则，定期把考核情况通报给委托人。</w:t>
      </w:r>
    </w:p>
    <w:p w14:paraId="5F4A86D6">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5 委托人要求提交的监理业务范围内的其他报告。</w:t>
      </w:r>
    </w:p>
    <w:p w14:paraId="799A1C4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u w:val="single"/>
        </w:rPr>
        <w:t>6工程竣工后，监理人应以书面形式进行监理总结，包括但不限于工期、质量、造价、安全、文明施工和投标承诺的监理大纲的执行情况上报委托人。</w:t>
      </w:r>
    </w:p>
    <w:p w14:paraId="2E4FFCA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2.7 使用委托人的财产</w:t>
      </w:r>
    </w:p>
    <w:p w14:paraId="4F95B397">
      <w:pPr>
        <w:keepNext w:val="0"/>
        <w:keepLines w:val="0"/>
        <w:pageBreakBefore w:val="0"/>
        <w:kinsoku/>
        <w:wordWrap/>
        <w:overflowPunct/>
        <w:topLinePunct w:val="0"/>
        <w:autoSpaceDE/>
        <w:autoSpaceDN/>
        <w:bidi w:val="0"/>
        <w:adjustRightInd/>
        <w:snapToGrid/>
        <w:spacing w:beforeAutospacing="0" w:afterAutospacing="0" w:line="360" w:lineRule="auto"/>
        <w:ind w:firstLine="520" w:firstLineChars="217"/>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监理人应按</w:t>
      </w:r>
      <w:r>
        <w:rPr>
          <w:rFonts w:hint="eastAsia" w:asciiTheme="minorEastAsia" w:hAnsiTheme="minorEastAsia" w:eastAsiaTheme="minorEastAsia" w:cstheme="minorEastAsia"/>
          <w:color w:val="auto"/>
          <w:kern w:val="2"/>
          <w:sz w:val="24"/>
          <w:szCs w:val="24"/>
          <w:highlight w:val="none"/>
          <w:lang w:val="en-US" w:eastAsia="zh-CN"/>
        </w:rPr>
        <w:t>询价响应文件</w:t>
      </w:r>
      <w:r>
        <w:rPr>
          <w:rFonts w:hint="eastAsia" w:asciiTheme="minorEastAsia" w:hAnsiTheme="minorEastAsia" w:eastAsiaTheme="minorEastAsia" w:cstheme="minorEastAsia"/>
          <w:color w:val="auto"/>
          <w:kern w:val="2"/>
          <w:sz w:val="24"/>
          <w:szCs w:val="24"/>
          <w:highlight w:val="none"/>
        </w:rPr>
        <w:t>的承诺和委托人要求以及工程监理需要配备足够的仪器设备和通讯工具到场，满足委托人项目现场工程部对设备配备的要求（由委托人配备的除外）。</w:t>
      </w:r>
    </w:p>
    <w:p w14:paraId="79E62255">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p>
    <w:p w14:paraId="5F5BC69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附录B中由委托人无偿提供的房屋、设备的所有权属于：委托人。</w:t>
      </w:r>
    </w:p>
    <w:p w14:paraId="2E96B6BB">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除监理组人员工地办公房由委托人提供外，监理人其他办公用品和设施均由监理人自备。</w:t>
      </w:r>
    </w:p>
    <w:p w14:paraId="5674ECFB">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2"/>
          <w:sz w:val="24"/>
          <w:szCs w:val="24"/>
          <w:highlight w:val="none"/>
        </w:rPr>
        <w:t>监理人应在本合同终止后</w:t>
      </w:r>
      <w:r>
        <w:rPr>
          <w:rFonts w:hint="eastAsia" w:asciiTheme="minorEastAsia" w:hAnsiTheme="minorEastAsia" w:eastAsiaTheme="minorEastAsia" w:cstheme="minorEastAsia"/>
          <w:color w:val="auto"/>
          <w:kern w:val="2"/>
          <w:sz w:val="24"/>
          <w:szCs w:val="24"/>
          <w:highlight w:val="none"/>
          <w:u w:val="single"/>
          <w:lang w:val="en-US" w:eastAsia="zh-CN"/>
        </w:rPr>
        <w:t>30</w:t>
      </w:r>
      <w:r>
        <w:rPr>
          <w:rFonts w:hint="eastAsia" w:asciiTheme="minorEastAsia" w:hAnsiTheme="minorEastAsia" w:eastAsiaTheme="minorEastAsia" w:cstheme="minorEastAsia"/>
          <w:color w:val="auto"/>
          <w:kern w:val="2"/>
          <w:sz w:val="24"/>
          <w:szCs w:val="24"/>
          <w:highlight w:val="none"/>
        </w:rPr>
        <w:t>天内移交委托人无偿提供的房屋、设备，移交的时间和方式为：</w:t>
      </w:r>
      <w:r>
        <w:rPr>
          <w:rFonts w:hint="eastAsia" w:asciiTheme="minorEastAsia" w:hAnsiTheme="minorEastAsia" w:eastAsiaTheme="minorEastAsia" w:cstheme="minorEastAsia"/>
          <w:color w:val="auto"/>
          <w:kern w:val="2"/>
          <w:sz w:val="24"/>
          <w:szCs w:val="24"/>
          <w:highlight w:val="none"/>
          <w:u w:val="single"/>
          <w:lang w:eastAsia="zh-CN"/>
        </w:rPr>
        <w:t>现场移交给委托人</w:t>
      </w:r>
      <w:r>
        <w:rPr>
          <w:rFonts w:hint="eastAsia" w:asciiTheme="minorEastAsia" w:hAnsiTheme="minorEastAsia" w:eastAsiaTheme="minorEastAsia" w:cstheme="minorEastAsia"/>
          <w:color w:val="auto"/>
          <w:kern w:val="2"/>
          <w:sz w:val="24"/>
          <w:szCs w:val="24"/>
          <w:highlight w:val="none"/>
        </w:rPr>
        <w:t>。</w:t>
      </w:r>
    </w:p>
    <w:p w14:paraId="5D7D68C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0"/>
          <w:sz w:val="24"/>
          <w:szCs w:val="24"/>
          <w:highlight w:val="none"/>
        </w:rPr>
        <w:t xml:space="preserve">3. 委托人义务  </w:t>
      </w:r>
    </w:p>
    <w:p w14:paraId="141FF636">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0"/>
          <w:sz w:val="24"/>
          <w:szCs w:val="24"/>
          <w:highlight w:val="none"/>
        </w:rPr>
        <w:t>3.</w:t>
      </w:r>
      <w:r>
        <w:rPr>
          <w:rFonts w:hint="eastAsia" w:asciiTheme="minorEastAsia" w:hAnsiTheme="minorEastAsia" w:eastAsiaTheme="minorEastAsia" w:cstheme="minorEastAsia"/>
          <w:color w:val="auto"/>
          <w:kern w:val="0"/>
          <w:sz w:val="24"/>
          <w:szCs w:val="24"/>
          <w:highlight w:val="none"/>
          <w:lang w:val="en-US" w:eastAsia="zh-CN"/>
        </w:rPr>
        <w:t>1</w:t>
      </w:r>
      <w:r>
        <w:rPr>
          <w:rFonts w:hint="eastAsia" w:asciiTheme="minorEastAsia" w:hAnsiTheme="minorEastAsia" w:eastAsiaTheme="minorEastAsia" w:cstheme="minorEastAsia"/>
          <w:color w:val="auto"/>
          <w:kern w:val="0"/>
          <w:sz w:val="24"/>
          <w:szCs w:val="24"/>
          <w:highlight w:val="none"/>
        </w:rPr>
        <w:t xml:space="preserve"> 委托人代表</w:t>
      </w:r>
    </w:p>
    <w:p w14:paraId="75C8A5A5">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委托人代表为：</w:t>
      </w:r>
      <w:r>
        <w:rPr>
          <w:rFonts w:hint="eastAsia" w:asciiTheme="minorEastAsia" w:hAnsiTheme="minorEastAsia" w:eastAsiaTheme="minorEastAsia" w:cstheme="minorEastAsia"/>
          <w:color w:val="auto"/>
          <w:kern w:val="2"/>
          <w:sz w:val="24"/>
          <w:szCs w:val="24"/>
          <w:highlight w:val="none"/>
          <w:u w:val="single"/>
          <w:lang w:eastAsia="zh-CN"/>
        </w:rPr>
        <w:t>授权一名熟悉工程情况的代表，负责与监理人联系。在双方签订本合同后7天内，将委托人代表的姓名和职责书面告知监理人。当委托人更换委托人代表时，应提前7天通知监理人。</w:t>
      </w:r>
    </w:p>
    <w:p w14:paraId="1EA9ED0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 xml:space="preserve"> 答复</w:t>
      </w:r>
    </w:p>
    <w:p w14:paraId="6FED407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委托人同意在</w:t>
      </w:r>
      <w:r>
        <w:rPr>
          <w:rFonts w:hint="eastAsia" w:asciiTheme="minorEastAsia" w:hAnsiTheme="minorEastAsia" w:eastAsiaTheme="minorEastAsia" w:cstheme="minorEastAsia"/>
          <w:color w:val="auto"/>
          <w:kern w:val="2"/>
          <w:sz w:val="24"/>
          <w:szCs w:val="24"/>
          <w:highlight w:val="none"/>
          <w:u w:val="single"/>
          <w:lang w:val="en-US" w:eastAsia="zh-CN"/>
        </w:rPr>
        <w:t>14</w:t>
      </w:r>
      <w:r>
        <w:rPr>
          <w:rFonts w:hint="eastAsia" w:asciiTheme="minorEastAsia" w:hAnsiTheme="minorEastAsia" w:eastAsiaTheme="minorEastAsia" w:cstheme="minorEastAsia"/>
          <w:color w:val="auto"/>
          <w:kern w:val="2"/>
          <w:sz w:val="24"/>
          <w:szCs w:val="24"/>
          <w:highlight w:val="none"/>
        </w:rPr>
        <w:t>天内，对监理人书面提交并要求做出决定的事宜给予书面答复。</w:t>
      </w:r>
    </w:p>
    <w:p w14:paraId="55BEEEFF">
      <w:pPr>
        <w:keepNext w:val="0"/>
        <w:keepLines w:val="0"/>
        <w:pageBreakBefore w:val="0"/>
        <w:kinsoku/>
        <w:wordWrap/>
        <w:overflowPunct/>
        <w:topLinePunct w:val="0"/>
        <w:autoSpaceDE/>
        <w:autoSpaceDN/>
        <w:bidi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4. 违约责任</w:t>
      </w:r>
    </w:p>
    <w:p w14:paraId="3134E5FD">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color w:val="auto"/>
          <w:kern w:val="0"/>
          <w:sz w:val="24"/>
          <w:szCs w:val="24"/>
          <w:highlight w:val="none"/>
        </w:rPr>
        <w:t>4.1 监理人的违约责任</w:t>
      </w:r>
    </w:p>
    <w:p w14:paraId="160F5C5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4.1.1监理人赔偿金额按下列方法确定：</w:t>
      </w:r>
    </w:p>
    <w:p w14:paraId="2E65B02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2"/>
          <w:sz w:val="24"/>
          <w:szCs w:val="24"/>
          <w:highlight w:val="none"/>
        </w:rPr>
        <w:t>赔偿金＝直接经济损失×正常工作酬金÷工程概算</w:t>
      </w:r>
      <w:r>
        <w:rPr>
          <w:rFonts w:hint="eastAsia" w:asciiTheme="minorEastAsia" w:hAnsiTheme="minorEastAsia" w:eastAsiaTheme="minorEastAsia" w:cstheme="minorEastAsia"/>
          <w:color w:val="auto"/>
          <w:kern w:val="0"/>
          <w:sz w:val="24"/>
          <w:szCs w:val="24"/>
          <w:highlight w:val="none"/>
        </w:rPr>
        <w:t>投资额（或建筑安装工程费）</w:t>
      </w:r>
    </w:p>
    <w:p w14:paraId="533CBBBE">
      <w:pPr>
        <w:keepNext w:val="0"/>
        <w:keepLines w:val="0"/>
        <w:pageBreakBefore w:val="0"/>
        <w:widowControl/>
        <w:suppressLineNumbers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sz w:val="24"/>
          <w:szCs w:val="24"/>
          <w:u w:val="single"/>
          <w:lang w:val="en-US"/>
        </w:rPr>
      </w:pPr>
      <w:r>
        <w:rPr>
          <w:rFonts w:hint="eastAsia" w:asciiTheme="minorEastAsia" w:hAnsiTheme="minorEastAsia" w:eastAsiaTheme="minorEastAsia" w:cstheme="minorEastAsia"/>
          <w:color w:val="000000"/>
          <w:kern w:val="0"/>
          <w:sz w:val="24"/>
          <w:szCs w:val="24"/>
          <w:u w:val="single"/>
          <w:lang w:val="en-US" w:eastAsia="zh-CN" w:bidi="ar"/>
        </w:rPr>
        <w:t xml:space="preserve">“除此之外，还须赔偿相应违约金，相关标准按 9、补充条款及附加协议条款。” </w:t>
      </w:r>
    </w:p>
    <w:p w14:paraId="41A57ADE">
      <w:pPr>
        <w:keepNext w:val="0"/>
        <w:keepLines w:val="0"/>
        <w:pageBreakBefore w:val="0"/>
        <w:kinsoku/>
        <w:wordWrap/>
        <w:overflowPunct/>
        <w:topLinePunct w:val="0"/>
        <w:autoSpaceDE/>
        <w:autoSpaceDN/>
        <w:bidi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5. 支付</w:t>
      </w:r>
    </w:p>
    <w:p w14:paraId="6098035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5.1 支付货币</w:t>
      </w:r>
    </w:p>
    <w:p w14:paraId="58EE4B3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币种为：</w:t>
      </w:r>
      <w:r>
        <w:rPr>
          <w:rFonts w:hint="eastAsia" w:asciiTheme="minorEastAsia" w:hAnsiTheme="minorEastAsia" w:eastAsiaTheme="minorEastAsia" w:cstheme="minorEastAsia"/>
          <w:color w:val="auto"/>
          <w:kern w:val="2"/>
          <w:sz w:val="24"/>
          <w:szCs w:val="24"/>
          <w:highlight w:val="none"/>
          <w:u w:val="single"/>
          <w:lang w:eastAsia="zh-CN"/>
        </w:rPr>
        <w:t>人民币</w:t>
      </w:r>
      <w:r>
        <w:rPr>
          <w:rFonts w:hint="eastAsia" w:asciiTheme="minorEastAsia" w:hAnsiTheme="minorEastAsia" w:eastAsiaTheme="minorEastAsia" w:cstheme="minorEastAsia"/>
          <w:color w:val="auto"/>
          <w:kern w:val="2"/>
          <w:sz w:val="24"/>
          <w:szCs w:val="24"/>
          <w:highlight w:val="none"/>
        </w:rPr>
        <w:t>，比例为：</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rPr>
        <w:t>，汇率为：</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rPr>
        <w:t xml:space="preserve">。 </w:t>
      </w:r>
    </w:p>
    <w:p w14:paraId="0092D8EE">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5.3 支付酬金</w:t>
      </w:r>
    </w:p>
    <w:p w14:paraId="6B753065">
      <w:pPr>
        <w:keepNext w:val="0"/>
        <w:keepLines w:val="0"/>
        <w:pageBreakBefore w:val="0"/>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本工程为</w:t>
      </w:r>
      <w:r>
        <w:rPr>
          <w:rFonts w:hint="eastAsia" w:asciiTheme="minorEastAsia" w:hAnsiTheme="minorEastAsia" w:eastAsiaTheme="minorEastAsia" w:cstheme="minorEastAsia"/>
          <w:color w:val="auto"/>
          <w:kern w:val="2"/>
          <w:sz w:val="24"/>
          <w:szCs w:val="24"/>
          <w:highlight w:val="none"/>
          <w:lang w:val="en-US" w:eastAsia="zh-CN"/>
        </w:rPr>
        <w:t>固定费率合同</w:t>
      </w:r>
      <w:r>
        <w:rPr>
          <w:rFonts w:hint="eastAsia" w:asciiTheme="minorEastAsia" w:hAnsiTheme="minorEastAsia" w:eastAsiaTheme="minorEastAsia" w:cstheme="minorEastAsia"/>
          <w:color w:val="auto"/>
          <w:kern w:val="2"/>
          <w:sz w:val="24"/>
          <w:szCs w:val="24"/>
          <w:highlight w:val="none"/>
        </w:rPr>
        <w:t>，服务期延长不增加任何费用。</w:t>
      </w:r>
    </w:p>
    <w:p w14:paraId="04095E07">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5.4</w:t>
      </w:r>
      <w:r>
        <w:rPr>
          <w:rFonts w:hint="eastAsia" w:asciiTheme="minorEastAsia" w:hAnsiTheme="minorEastAsia" w:eastAsiaTheme="minorEastAsia" w:cstheme="minorEastAsia"/>
          <w:color w:val="auto"/>
          <w:kern w:val="2"/>
          <w:sz w:val="24"/>
          <w:szCs w:val="24"/>
          <w:highlight w:val="none"/>
        </w:rPr>
        <w:t>如果委托人对监理人提交的支付通知中报酬或部分报酬项目提出异议，应当在收到支付通知书5个工作日内向监理人发出表示异议的通知，但委托人不得拖延其他无异议报酬项目的支付。</w:t>
      </w:r>
    </w:p>
    <w:p w14:paraId="03763ADB">
      <w:pPr>
        <w:keepNext w:val="0"/>
        <w:keepLines w:val="0"/>
        <w:pageBreakBefore w:val="0"/>
        <w:widowControl/>
        <w:suppressLineNumbers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b/>
          <w:color w:val="auto"/>
          <w:kern w:val="2"/>
          <w:sz w:val="24"/>
          <w:szCs w:val="24"/>
          <w:highlight w:val="none"/>
        </w:rPr>
      </w:pPr>
      <w:r>
        <w:rPr>
          <w:rFonts w:hint="eastAsia" w:asciiTheme="minorEastAsia" w:hAnsiTheme="minorEastAsia" w:eastAsiaTheme="minorEastAsia" w:cstheme="minorEastAsia"/>
          <w:b/>
          <w:color w:val="auto"/>
          <w:kern w:val="2"/>
          <w:sz w:val="24"/>
          <w:szCs w:val="24"/>
          <w:highlight w:val="none"/>
        </w:rPr>
        <w:t>具体支付方式如下:</w:t>
      </w:r>
    </w:p>
    <w:p w14:paraId="46B92FCB">
      <w:pPr>
        <w:keepNext w:val="0"/>
        <w:keepLines w:val="0"/>
        <w:pageBreakBefore w:val="0"/>
        <w:widowControl/>
        <w:suppressLineNumbers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u w:val="single"/>
          <w:lang w:val="en-US" w:eastAsia="zh-CN" w:bidi="ar"/>
        </w:rPr>
      </w:pPr>
      <w:r>
        <w:rPr>
          <w:rFonts w:hint="eastAsia" w:asciiTheme="minorEastAsia" w:hAnsiTheme="minorEastAsia" w:eastAsiaTheme="minorEastAsia" w:cstheme="minorEastAsia"/>
          <w:b/>
          <w:color w:val="auto"/>
          <w:kern w:val="2"/>
          <w:sz w:val="24"/>
          <w:szCs w:val="24"/>
          <w:highlight w:val="none"/>
        </w:rPr>
        <w:t xml:space="preserve"> </w:t>
      </w:r>
      <w:r>
        <w:rPr>
          <w:rFonts w:hint="eastAsia" w:asciiTheme="minorEastAsia" w:hAnsiTheme="minorEastAsia" w:eastAsiaTheme="minorEastAsia" w:cstheme="minorEastAsia"/>
          <w:color w:val="000000"/>
          <w:kern w:val="0"/>
          <w:sz w:val="24"/>
          <w:szCs w:val="24"/>
          <w:u w:val="single"/>
          <w:lang w:val="en-US" w:eastAsia="zh-CN" w:bidi="ar"/>
        </w:rPr>
        <w:t xml:space="preserve">（1）本项目监理费按固定费率计取，依据当月完成工程量产值同步计付。当月工程进度计量成果经委托人审核确认后，支付至当期审定完成工程量产值对应监理费的80%；单月应付进度监理费金额不足10000元的，当月暂不予支付，累计并入次月一并结算支付； </w:t>
      </w:r>
    </w:p>
    <w:p w14:paraId="0ED5B57A">
      <w:pPr>
        <w:keepNext w:val="0"/>
        <w:keepLines w:val="0"/>
        <w:pageBreakBefore w:val="0"/>
        <w:widowControl/>
        <w:suppressLineNumbers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u w:val="single"/>
          <w:lang w:val="en-US" w:eastAsia="zh-CN" w:bidi="ar"/>
        </w:rPr>
      </w:pPr>
      <w:r>
        <w:rPr>
          <w:rFonts w:hint="eastAsia" w:asciiTheme="minorEastAsia" w:hAnsiTheme="minorEastAsia" w:eastAsiaTheme="minorEastAsia" w:cstheme="minorEastAsia"/>
          <w:color w:val="000000"/>
          <w:kern w:val="0"/>
          <w:sz w:val="24"/>
          <w:szCs w:val="24"/>
          <w:u w:val="single"/>
          <w:lang w:val="en-US" w:eastAsia="zh-CN" w:bidi="ar"/>
        </w:rPr>
        <w:t xml:space="preserve">（2）项目竣工验收合格，且监理单位全程配合完成竣工结算审核工作后，累计支付至相对应监理费的90%； </w:t>
      </w:r>
    </w:p>
    <w:p w14:paraId="6FA988F6">
      <w:pPr>
        <w:keepNext w:val="0"/>
        <w:keepLines w:val="0"/>
        <w:pageBreakBefore w:val="0"/>
        <w:widowControl/>
        <w:suppressLineNumbers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000000"/>
          <w:kern w:val="0"/>
          <w:sz w:val="24"/>
          <w:szCs w:val="24"/>
          <w:u w:val="single"/>
          <w:lang w:val="en-US" w:eastAsia="zh-CN" w:bidi="ar"/>
        </w:rPr>
      </w:pPr>
      <w:r>
        <w:rPr>
          <w:rFonts w:hint="eastAsia" w:asciiTheme="minorEastAsia" w:hAnsiTheme="minorEastAsia" w:eastAsiaTheme="minorEastAsia" w:cstheme="minorEastAsia"/>
          <w:color w:val="000000"/>
          <w:kern w:val="0"/>
          <w:sz w:val="24"/>
          <w:szCs w:val="24"/>
          <w:u w:val="single"/>
          <w:lang w:val="en-US" w:eastAsia="zh-CN" w:bidi="ar"/>
        </w:rPr>
        <w:t>（3）项目整体竣工审计全部完成后，支付至审计审定工程量产值对应监理费用的100%；</w:t>
      </w:r>
    </w:p>
    <w:p w14:paraId="0392D242">
      <w:pPr>
        <w:keepNext w:val="0"/>
        <w:keepLines w:val="0"/>
        <w:pageBreakBefore w:val="0"/>
        <w:widowControl/>
        <w:suppressLineNumbers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5.5</w:t>
      </w:r>
      <w:r>
        <w:rPr>
          <w:rFonts w:hint="eastAsia" w:asciiTheme="minorEastAsia" w:hAnsiTheme="minorEastAsia" w:eastAsiaTheme="minorEastAsia" w:cstheme="minorEastAsia"/>
          <w:color w:val="auto"/>
          <w:kern w:val="2"/>
          <w:sz w:val="24"/>
          <w:szCs w:val="24"/>
          <w:highlight w:val="none"/>
        </w:rPr>
        <w:t>监理人应利用自身技术优势，在施工图设计优化等方面免费服务；在施工过程中遇到的技术难题，监理人组织专家进行免费服务；在材料检测费用方面，协助合作单位按市场价格给予较大优惠。</w:t>
      </w:r>
    </w:p>
    <w:p w14:paraId="211E7B63">
      <w:pPr>
        <w:keepNext w:val="0"/>
        <w:keepLines w:val="0"/>
        <w:pageBreakBefore w:val="0"/>
        <w:kinsoku/>
        <w:wordWrap/>
        <w:overflowPunct/>
        <w:topLinePunct w:val="0"/>
        <w:autoSpaceDE/>
        <w:autoSpaceDN/>
        <w:bidi w:val="0"/>
        <w:snapToGrid w:val="0"/>
        <w:spacing w:line="360" w:lineRule="auto"/>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6</w:t>
      </w:r>
      <w:r>
        <w:rPr>
          <w:rFonts w:hint="eastAsia" w:asciiTheme="minorEastAsia" w:hAnsiTheme="minorEastAsia" w:eastAsiaTheme="minorEastAsia" w:cstheme="minorEastAsia"/>
          <w:b/>
          <w:bCs/>
          <w:color w:val="auto"/>
          <w:kern w:val="2"/>
          <w:sz w:val="24"/>
          <w:szCs w:val="24"/>
          <w:highlight w:val="none"/>
        </w:rPr>
        <w:t>. 合同生效</w:t>
      </w:r>
    </w:p>
    <w:p w14:paraId="62A7373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本合同生效条件</w:t>
      </w:r>
      <w:r>
        <w:rPr>
          <w:rFonts w:hint="eastAsia" w:asciiTheme="minorEastAsia" w:hAnsiTheme="minorEastAsia" w:eastAsiaTheme="minorEastAsia" w:cstheme="minorEastAsia"/>
          <w:color w:val="auto"/>
          <w:kern w:val="2"/>
          <w:sz w:val="24"/>
          <w:szCs w:val="24"/>
          <w:highlight w:val="none"/>
          <w:lang w:eastAsia="zh-CN"/>
        </w:rPr>
        <w:t>：</w:t>
      </w:r>
      <w:r>
        <w:rPr>
          <w:rFonts w:hint="eastAsia" w:asciiTheme="minorEastAsia" w:hAnsiTheme="minorEastAsia" w:eastAsiaTheme="minorEastAsia" w:cstheme="minorEastAsia"/>
          <w:color w:val="auto"/>
          <w:kern w:val="2"/>
          <w:sz w:val="24"/>
          <w:szCs w:val="24"/>
          <w:highlight w:val="none"/>
          <w:u w:val="single"/>
        </w:rPr>
        <w:t>双方签字盖章之日起</w:t>
      </w:r>
      <w:r>
        <w:rPr>
          <w:rFonts w:hint="eastAsia" w:asciiTheme="minorEastAsia" w:hAnsiTheme="minorEastAsia" w:eastAsiaTheme="minorEastAsia" w:cstheme="minorEastAsia"/>
          <w:color w:val="auto"/>
          <w:kern w:val="2"/>
          <w:sz w:val="24"/>
          <w:szCs w:val="24"/>
          <w:highlight w:val="none"/>
        </w:rPr>
        <w:t>。</w:t>
      </w:r>
    </w:p>
    <w:p w14:paraId="642857AB">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7. 争议解决</w:t>
      </w:r>
    </w:p>
    <w:p w14:paraId="629CFB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7.2 调解</w:t>
      </w:r>
    </w:p>
    <w:p w14:paraId="1C4399F2">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本合同争议进行调解时，可提交</w:t>
      </w:r>
      <w:r>
        <w:rPr>
          <w:rFonts w:hint="eastAsia" w:asciiTheme="minorEastAsia" w:hAnsiTheme="minorEastAsia" w:eastAsiaTheme="minorEastAsia" w:cstheme="minorEastAsia"/>
          <w:color w:val="auto"/>
          <w:kern w:val="2"/>
          <w:sz w:val="24"/>
          <w:szCs w:val="24"/>
          <w:highlight w:val="none"/>
          <w:u w:val="single"/>
        </w:rPr>
        <w:t>工程所在地有管辖权人民法院</w:t>
      </w:r>
      <w:r>
        <w:rPr>
          <w:rFonts w:hint="eastAsia" w:asciiTheme="minorEastAsia" w:hAnsiTheme="minorEastAsia" w:eastAsiaTheme="minorEastAsia" w:cstheme="minorEastAsia"/>
          <w:color w:val="auto"/>
          <w:kern w:val="2"/>
          <w:sz w:val="24"/>
          <w:szCs w:val="24"/>
          <w:highlight w:val="none"/>
        </w:rPr>
        <w:t>进行调解。</w:t>
      </w:r>
    </w:p>
    <w:p w14:paraId="509FC4AC">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7.3 仲裁或诉讼</w:t>
      </w:r>
    </w:p>
    <w:p w14:paraId="6184844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合同争议的最终解决方式为下列第</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2</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rPr>
        <w:t>种方式：</w:t>
      </w:r>
    </w:p>
    <w:p w14:paraId="7E679D4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（1）提请</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rPr>
        <w:t>仲裁委员会进行仲裁。</w:t>
      </w:r>
    </w:p>
    <w:p w14:paraId="2781C3F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（2）向</w:t>
      </w:r>
      <w:r>
        <w:rPr>
          <w:rFonts w:hint="eastAsia" w:asciiTheme="minorEastAsia" w:hAnsiTheme="minorEastAsia" w:eastAsiaTheme="minorEastAsia" w:cstheme="minorEastAsia"/>
          <w:color w:val="auto"/>
          <w:kern w:val="2"/>
          <w:sz w:val="24"/>
          <w:szCs w:val="24"/>
          <w:highlight w:val="none"/>
          <w:u w:val="single"/>
        </w:rPr>
        <w:t>工程所在地有管辖权</w:t>
      </w:r>
      <w:r>
        <w:rPr>
          <w:rFonts w:hint="eastAsia" w:asciiTheme="minorEastAsia" w:hAnsiTheme="minorEastAsia" w:eastAsiaTheme="minorEastAsia" w:cstheme="minorEastAsia"/>
          <w:color w:val="auto"/>
          <w:kern w:val="2"/>
          <w:sz w:val="24"/>
          <w:szCs w:val="24"/>
          <w:highlight w:val="none"/>
        </w:rPr>
        <w:t>人民法院提起诉讼。</w:t>
      </w:r>
    </w:p>
    <w:p w14:paraId="7EC5292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rPr>
        <w:t>8. 其他</w:t>
      </w:r>
    </w:p>
    <w:p w14:paraId="3A8FEFD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8.</w:t>
      </w:r>
      <w:r>
        <w:rPr>
          <w:rFonts w:hint="eastAsia" w:asciiTheme="minorEastAsia" w:hAnsiTheme="minorEastAsia" w:eastAsiaTheme="minorEastAsia" w:cstheme="minorEastAsia"/>
          <w:color w:val="auto"/>
          <w:kern w:val="2"/>
          <w:sz w:val="24"/>
          <w:szCs w:val="24"/>
          <w:highlight w:val="none"/>
          <w:lang w:val="en-US" w:eastAsia="zh-CN"/>
        </w:rPr>
        <w:t>1</w:t>
      </w:r>
      <w:r>
        <w:rPr>
          <w:rFonts w:hint="eastAsia" w:asciiTheme="minorEastAsia" w:hAnsiTheme="minorEastAsia" w:eastAsiaTheme="minorEastAsia" w:cstheme="minorEastAsia"/>
          <w:color w:val="auto"/>
          <w:kern w:val="2"/>
          <w:sz w:val="24"/>
          <w:szCs w:val="24"/>
          <w:highlight w:val="none"/>
        </w:rPr>
        <w:t xml:space="preserve"> 保密</w:t>
      </w:r>
    </w:p>
    <w:p w14:paraId="3DC2BC0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委托人申明的保密事项和期限：</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rPr>
        <w:t>。</w:t>
      </w:r>
    </w:p>
    <w:p w14:paraId="73D15E9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监理人申明的保密事项和期限：</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rPr>
        <w:t>。</w:t>
      </w:r>
    </w:p>
    <w:p w14:paraId="1E301D4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u w:val="single"/>
        </w:rPr>
      </w:pPr>
      <w:r>
        <w:rPr>
          <w:rFonts w:hint="eastAsia" w:asciiTheme="minorEastAsia" w:hAnsiTheme="minorEastAsia" w:eastAsiaTheme="minorEastAsia" w:cstheme="minorEastAsia"/>
          <w:color w:val="auto"/>
          <w:kern w:val="2"/>
          <w:sz w:val="24"/>
          <w:szCs w:val="24"/>
          <w:highlight w:val="none"/>
        </w:rPr>
        <w:t>第三方申明的保密事项和期限：</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w:t>
      </w: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rPr>
        <w:t>。</w:t>
      </w:r>
    </w:p>
    <w:p w14:paraId="2C783F20">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8.</w:t>
      </w:r>
      <w:r>
        <w:rPr>
          <w:rFonts w:hint="eastAsia" w:asciiTheme="minorEastAsia" w:hAnsiTheme="minorEastAsia" w:eastAsiaTheme="minorEastAsia" w:cstheme="minorEastAsia"/>
          <w:color w:val="auto"/>
          <w:kern w:val="2"/>
          <w:sz w:val="24"/>
          <w:szCs w:val="24"/>
          <w:highlight w:val="none"/>
          <w:lang w:val="en-US" w:eastAsia="zh-CN"/>
        </w:rPr>
        <w:t>2</w:t>
      </w:r>
      <w:r>
        <w:rPr>
          <w:rFonts w:hint="eastAsia" w:asciiTheme="minorEastAsia" w:hAnsiTheme="minorEastAsia" w:eastAsiaTheme="minorEastAsia" w:cstheme="minorEastAsia"/>
          <w:color w:val="auto"/>
          <w:kern w:val="2"/>
          <w:sz w:val="24"/>
          <w:szCs w:val="24"/>
          <w:highlight w:val="none"/>
        </w:rPr>
        <w:t>著作权</w:t>
      </w:r>
    </w:p>
    <w:p w14:paraId="6E0F79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监理人在本合同履行期间及本合同终止后两年内出版涉及本工程的有关监理与相关服务的资料的限制条件：</w:t>
      </w:r>
    </w:p>
    <w:p w14:paraId="30B2635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u w:val="single"/>
        </w:rPr>
        <w:t xml:space="preserve"> </w:t>
      </w:r>
      <w:r>
        <w:rPr>
          <w:rFonts w:hint="eastAsia" w:asciiTheme="minorEastAsia" w:hAnsiTheme="minorEastAsia" w:eastAsiaTheme="minorEastAsia" w:cstheme="minorEastAsia"/>
          <w:color w:val="auto"/>
          <w:kern w:val="2"/>
          <w:sz w:val="24"/>
          <w:szCs w:val="24"/>
          <w:highlight w:val="none"/>
          <w:u w:val="single"/>
          <w:lang w:val="en-US" w:eastAsia="zh-CN"/>
        </w:rPr>
        <w:t xml:space="preserve"> 涉及本工程的有关监理与相关服务的资料内容的，监理人应当先征得委托人书面同意，不经委托人书面同意不得出版相关内容  </w:t>
      </w:r>
      <w:r>
        <w:rPr>
          <w:rFonts w:hint="eastAsia" w:asciiTheme="minorEastAsia" w:hAnsiTheme="minorEastAsia" w:eastAsiaTheme="minorEastAsia" w:cstheme="minorEastAsia"/>
          <w:color w:val="auto"/>
          <w:kern w:val="2"/>
          <w:sz w:val="24"/>
          <w:szCs w:val="24"/>
          <w:highlight w:val="none"/>
        </w:rPr>
        <w:t>。</w:t>
      </w:r>
    </w:p>
    <w:p w14:paraId="74CD6FB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9. 补充条款</w:t>
      </w:r>
    </w:p>
    <w:p w14:paraId="2BB8897A">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奖惩约定</w:t>
      </w:r>
    </w:p>
    <w:p w14:paraId="054AE4A9">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 xml:space="preserve">1监理人在责任期内，应当履行约定的义务，如因监理人过失而造成了委托方的经济损失，应当向委托方赔偿； </w:t>
      </w:r>
    </w:p>
    <w:p w14:paraId="0508E036">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 监理人审核施工单位已完工程数量（月报），月报准确率达到95%以上，工作量签证准确率达到100%；如不能满足要求，每发现一次，罚款2000元。</w:t>
      </w:r>
    </w:p>
    <w:p w14:paraId="03E277D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 根据施工图纸、国家以及省市相关施工规范和本工程施工承包合同中的《施工技术操作规范》的要求严格监理施工质量，督促施工单位确保工程质量合格率为100%；并同时监督施工单位进行施工质量100%细部检查工作，检查表须完整、真实填写，在该分部工程结束10天内将表单提交给委托方备查。</w:t>
      </w:r>
    </w:p>
    <w:p w14:paraId="57362D7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4施工期间由于施工单位违反安全操作规范，而监理人又没有及时指出整改或被政府有关处罚，如通报批评、警告和罚款等，委托方将给予监理人1000元/次的罚款。</w:t>
      </w:r>
    </w:p>
    <w:p w14:paraId="1F5403A9">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5监理人应保证监理人员的相关资料（包括证书、简历）的真实性，委托人在以后的工作中进行检查，如发现虚假资料，每发现一次罚款1000元，同时该人员不得再担任本工程的监理工作。</w:t>
      </w:r>
    </w:p>
    <w:p w14:paraId="343CFEBA">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6监理人应保证所提供的监理人员计划在工作中予以落实，如需更换人员应以书面的形式取得委托人同意；如发现监理人员与承诺不符或不具备完成本职工作的素质，一经核实，罚款监理费用的20%（从监理费中扣除）。</w:t>
      </w:r>
    </w:p>
    <w:p w14:paraId="3FDFC5D8">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7未经委托方同意监理人擅自更换项目总监或专业监理工程师的，罚款</w:t>
      </w:r>
      <w:r>
        <w:rPr>
          <w:rFonts w:hint="eastAsia" w:asciiTheme="minorEastAsia" w:hAnsiTheme="minorEastAsia" w:eastAsiaTheme="minorEastAsia" w:cstheme="minorEastAsia"/>
          <w:color w:val="auto"/>
          <w:kern w:val="2"/>
          <w:sz w:val="24"/>
          <w:szCs w:val="24"/>
          <w:highlight w:val="none"/>
          <w:lang w:val="en-US" w:eastAsia="zh-CN"/>
        </w:rPr>
        <w:t>10</w:t>
      </w:r>
      <w:r>
        <w:rPr>
          <w:rFonts w:hint="eastAsia" w:asciiTheme="minorEastAsia" w:hAnsiTheme="minorEastAsia" w:eastAsiaTheme="minorEastAsia" w:cstheme="minorEastAsia"/>
          <w:color w:val="auto"/>
          <w:kern w:val="2"/>
          <w:sz w:val="24"/>
          <w:szCs w:val="24"/>
          <w:highlight w:val="none"/>
        </w:rPr>
        <w:t>万元/人，并保留解除监理合同的权利。</w:t>
      </w:r>
    </w:p>
    <w:p w14:paraId="5AC5A822">
      <w:pPr>
        <w:keepNext w:val="0"/>
        <w:keepLines w:val="0"/>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附加协议条款：</w:t>
      </w:r>
    </w:p>
    <w:p w14:paraId="09624851">
      <w:pPr>
        <w:keepNext w:val="0"/>
        <w:keepLines w:val="0"/>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 xml:space="preserve">    1、凡有关工程签证、工程进度款的确认及支付、竣工结算等与投资控制有关的资料，监理人必须事先与委托人沟通一致，征得委托人的书面同意后，才能由监理人发出。否则，对于因此造成的损失，委托人将要求监理人按损失大小进行赔偿，直至解除合同。</w:t>
      </w:r>
    </w:p>
    <w:p w14:paraId="1082D9B0">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2、监理人严格监理工作纪律，签约廉政协议，如监理人员徇私舞弊，除处理当事人外，委托人有权责令监理人退场，不支付监理费，已经支付的监理人应当返还，并由监理人承担相关责任和赔偿经济损失。</w:t>
      </w:r>
    </w:p>
    <w:p w14:paraId="6C96DD24">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w:t>
      </w:r>
      <w:bookmarkStart w:id="50" w:name="_Toc456365445"/>
      <w:r>
        <w:rPr>
          <w:rFonts w:hint="eastAsia" w:asciiTheme="minorEastAsia" w:hAnsiTheme="minorEastAsia" w:eastAsiaTheme="minorEastAsia" w:cstheme="minorEastAsia"/>
          <w:color w:val="auto"/>
          <w:kern w:val="2"/>
          <w:sz w:val="24"/>
          <w:szCs w:val="24"/>
          <w:highlight w:val="none"/>
        </w:rPr>
        <w:t>监理机构人员配备表</w:t>
      </w:r>
      <w:bookmarkEnd w:id="50"/>
      <w:r>
        <w:rPr>
          <w:rFonts w:hint="eastAsia" w:asciiTheme="minorEastAsia" w:hAnsiTheme="minorEastAsia" w:eastAsiaTheme="minorEastAsia" w:cstheme="minorEastAsia"/>
          <w:color w:val="auto"/>
          <w:kern w:val="2"/>
          <w:sz w:val="24"/>
          <w:szCs w:val="24"/>
          <w:highlight w:val="none"/>
        </w:rPr>
        <w:t>及各阶段派驻人员表中的人员不得更换，确须更换须经委托人书面认可。如监理人擅自更换人员，除须支付委托人违约金10万元/人外，还应继续按约定履行合同。在接到委托人书面通知后7日内，该阶段所有配备人员必须全部到场，否则每延误一天收取违约金1000元/人，在监理费中扣除。</w:t>
      </w:r>
    </w:p>
    <w:p w14:paraId="4575E753">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总监理工程师及专业监理人员每周一至周五必须在现场，一天不少于8小时（土建、支护、结构工程连续施工时，专业监理人员必须在场，节假日须有专业工程师值班），确保满足现场施工管理需要，如有调整，人员排班以委托人批准的计划表为准。如未与委托人请假无故不在现场，总监理工程师按3000元/次，专业人员按1000元/次进行罚款，费用在监理费用中扣回，累计3次，委托人有权终止合同并由监理人承担给委托人造成的一切损失。</w:t>
      </w:r>
    </w:p>
    <w:p w14:paraId="76B3F0B3">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5、监理人应严格按时审核、计量好所有工程量，对各阶段、各分部分项工作均需留下图、影、文字等记录资料。根据完成工程量和合格质量评定单，由监理人总监理工程师会同委托人现场负责人签署工程进度付款通知书。监理人应对承包人申报工程进度款严格把关，如出现多付工程进度款并造成委托人损失的，监理人应赔偿委托人等同的金额。</w:t>
      </w:r>
    </w:p>
    <w:p w14:paraId="278D3D6A">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6、承包人提出的各项变更签证、核定单、付款单等，需经监理人核定，如经监理人核定过的结算单，委托人送审后核减额超过5%，则由委托人按超出部分的5%扣除监理费。</w:t>
      </w:r>
    </w:p>
    <w:p w14:paraId="7E35A809">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7、工程施工过程中各项工程变更、签证，在提交监理人后，监理人应于5个工作日内审核完毕。如遇特殊情况需要延长审核日期，须与委托人协商处理。</w:t>
      </w:r>
    </w:p>
    <w:p w14:paraId="72581AE3">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8、监理人应督促施工方并协助委托人落实工程资料的收集整理，归档装订，并达到城建档案归档要求和质监站的备案要求。建立施工过程的监理档案，在工程竣工验收一个月内，报送一套完整监理资料给委托人，监理资料一式肆份（原件）。必须在工程竣工后一个月内完善竣工资料报委托人。否则，按照5万元/月核减监理费（非监理人原因除外）。</w:t>
      </w:r>
    </w:p>
    <w:p w14:paraId="0DC75513">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9、监理人负责审查核验委托人、承包人提供的材料和设备清单及所列的规格、 数量、型号及质量是否符合设计要求，对不符合设计和国家规范标准要求的材料和设备，在征得委托人同意后，有权责令退场。</w:t>
      </w:r>
    </w:p>
    <w:p w14:paraId="4F9B1E2A">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10、监理人应负责核检用于工程建设的进场材料、构配件、半成品及使用情况，并按规定进行监理见证取样试验。按规范要求对工序材料进行监督取样和留取相应的试块、试件、样品等。有权责令不合格材料和不合格半成品构件限期退场。一旦不合格材料、构配件用于工程造成质量问题或事故，监理人须承担相关责任和经济赔偿，特殊情况在征得委托人书面同意后可先使用后检测。</w:t>
      </w:r>
    </w:p>
    <w:p w14:paraId="33073573">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11、本工程中使用各特殊工艺、重要的部位及新材料、新产品、新工艺、新技术应用应取得委托人的批准，由监理人按质量标准、工艺操作要求监督实施，并按质量标准和检验要求进行质量验收和检验，把好样板审核关，明确工艺流程和质量标准，经审查合格后方可大面积展开。</w:t>
      </w:r>
    </w:p>
    <w:p w14:paraId="322D6093">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12、监理人应对工程加强事前监理，在分部分项工程施工前，应要求承包人上报施工方案及所采取的措施，经监理人审核报委托人同意后方可实施。</w:t>
      </w:r>
    </w:p>
    <w:p w14:paraId="4BBB6B8C">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13、监理人应督促、检查承包人严格按照国家技术标准，省、市、地方规程以及设计图纸和文件要求进行施工。因监理失职所造成的经济损失或返工，由监理人承担因此造成的相应责任和经济损失。</w:t>
      </w:r>
    </w:p>
    <w:p w14:paraId="551769C4">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14、监理人牵头组织检查现场的安全防护和卫生设施及文明施工，指导现场安全保卫工作，严格加强对承包人的安全生产管理和现场的安全监督，确保安全生产。</w:t>
      </w:r>
    </w:p>
    <w:p w14:paraId="0FC89E0B">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15、承包人报验的隐蔽工程，须经监理人验收同意后方可隐蔽施工，并留有影像资料。若因监理人失职造成隐蔽施工不符合图纸、变更及规范要求，由监理人承担违约责任。</w:t>
      </w:r>
    </w:p>
    <w:p w14:paraId="0A7CD178">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16、监理人应对施工过程进行全过程监理，及时发现施工过程中所出现的问题，认真落实监理工作，对整个施工阶段的全过程进行监理，严把质量关，旁站跟踪检查，做到事前有布置，事中有检查，事后有总结。</w:t>
      </w:r>
    </w:p>
    <w:p w14:paraId="74DB5A79">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17、监理人员应根据现场进度情况，即时进行检查验收，以确保承包人能及时转入到下一步工序的施工。</w:t>
      </w:r>
    </w:p>
    <w:p w14:paraId="75148B50">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18、所有需要监理签字认可的工程资料，除驻工地监理工程师签字外，总监理工程师必须审核签字。按相关规定无须总监理工程师签字的资料除外。</w:t>
      </w:r>
    </w:p>
    <w:p w14:paraId="2557C93B">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19、监理人员存在下列情形之一的，委托人有权要求监理人随时更换监理人员，监理人应在一周内无条件更换，及时满足委托人的服务需求。否则，即被视为违约，委托人有权终止合同，监理人应对因此造成的损失进行赔偿。</w:t>
      </w:r>
    </w:p>
    <w:p w14:paraId="4FE0A1B3">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outlineLvl w:val="0"/>
        <w:rPr>
          <w:rFonts w:hint="eastAsia" w:asciiTheme="minorEastAsia" w:hAnsiTheme="minorEastAsia" w:eastAsiaTheme="minorEastAsia" w:cstheme="minorEastAsia"/>
          <w:color w:val="auto"/>
          <w:kern w:val="2"/>
          <w:sz w:val="24"/>
          <w:szCs w:val="24"/>
          <w:highlight w:val="none"/>
        </w:rPr>
      </w:pPr>
      <w:bookmarkStart w:id="51" w:name="_Toc7554"/>
      <w:bookmarkStart w:id="52" w:name="_Toc26293"/>
      <w:bookmarkStart w:id="53" w:name="_Toc12412"/>
      <w:r>
        <w:rPr>
          <w:rFonts w:hint="eastAsia" w:asciiTheme="minorEastAsia" w:hAnsiTheme="minorEastAsia" w:eastAsiaTheme="minorEastAsia" w:cstheme="minorEastAsia"/>
          <w:color w:val="auto"/>
          <w:kern w:val="2"/>
          <w:sz w:val="24"/>
          <w:szCs w:val="24"/>
          <w:highlight w:val="none"/>
        </w:rPr>
        <w:t>19.1现场监理人员不服从委托人工作人员管理的；</w:t>
      </w:r>
      <w:bookmarkEnd w:id="51"/>
      <w:bookmarkEnd w:id="52"/>
      <w:bookmarkEnd w:id="53"/>
    </w:p>
    <w:p w14:paraId="5BE4013B">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19.2监理人在合同履行期间不能及时、保质、保量的完成监理工程范围及合同、谈判文件内的所有监理业务的；</w:t>
      </w:r>
    </w:p>
    <w:p w14:paraId="417947B8">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outlineLvl w:val="0"/>
        <w:rPr>
          <w:rFonts w:hint="eastAsia" w:asciiTheme="minorEastAsia" w:hAnsiTheme="minorEastAsia" w:eastAsiaTheme="minorEastAsia" w:cstheme="minorEastAsia"/>
          <w:color w:val="auto"/>
          <w:kern w:val="2"/>
          <w:sz w:val="24"/>
          <w:szCs w:val="24"/>
          <w:highlight w:val="none"/>
        </w:rPr>
      </w:pPr>
      <w:bookmarkStart w:id="54" w:name="_Toc7529"/>
      <w:bookmarkStart w:id="55" w:name="_Toc14233"/>
      <w:bookmarkStart w:id="56" w:name="_Toc24412"/>
      <w:r>
        <w:rPr>
          <w:rFonts w:hint="eastAsia" w:asciiTheme="minorEastAsia" w:hAnsiTheme="minorEastAsia" w:eastAsiaTheme="minorEastAsia" w:cstheme="minorEastAsia"/>
          <w:color w:val="auto"/>
          <w:kern w:val="2"/>
          <w:sz w:val="24"/>
          <w:szCs w:val="24"/>
          <w:highlight w:val="none"/>
        </w:rPr>
        <w:t>19.3不能完成委托人交办的属于监理人工作范围内的任务；</w:t>
      </w:r>
      <w:bookmarkEnd w:id="54"/>
      <w:bookmarkEnd w:id="55"/>
      <w:bookmarkEnd w:id="56"/>
    </w:p>
    <w:p w14:paraId="5A82F12E">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19.4不能维护委托人的合法权益和满足委托人的服务需求；</w:t>
      </w:r>
    </w:p>
    <w:p w14:paraId="365CD7FF">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19.5双方确认的监理人员工作过失达三次者；</w:t>
      </w:r>
    </w:p>
    <w:p w14:paraId="6A0590B4">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19.6委托人认为不合适的监理人员。</w:t>
      </w:r>
    </w:p>
    <w:p w14:paraId="6124940D">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20、监理人与委托人、承包人的一切工作联系必须采用书面方式。对于特殊及紧急情况下处理的事情须在事后及时补办书面手续。</w:t>
      </w:r>
    </w:p>
    <w:p w14:paraId="14FFA71C">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21、监理人在监管中如现场人员不能满足委托人的要求，而监理人又派不出合适人员时，委托人可代监理人另行安排其它监理公司的有关专业人员进场协助监理工作，费用将从监理人的监理费中扣除。</w:t>
      </w:r>
    </w:p>
    <w:p w14:paraId="48CBD256">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22、本协议各项违约责任可同时计取违约金，每次违约金在会议纪要中明确， 由委托人在监理费中扣除。</w:t>
      </w:r>
    </w:p>
    <w:p w14:paraId="3A88F11F">
      <w:pPr>
        <w:keepNext w:val="0"/>
        <w:keepLines w:val="0"/>
        <w:pageBreakBefore w:val="0"/>
        <w:kinsoku/>
        <w:wordWrap/>
        <w:overflowPunct/>
        <w:topLinePunct w:val="0"/>
        <w:autoSpaceDE/>
        <w:autoSpaceDN/>
        <w:bidi w:val="0"/>
        <w:adjustRightInd/>
        <w:snapToGrid/>
        <w:spacing w:beforeAutospacing="0" w:afterAutospacing="0" w:line="360" w:lineRule="auto"/>
        <w:ind w:firstLine="57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23、监理工作中的主要监理人员应自行配备通信联络工具且要保证24小时联络畅通，上下班交通由监理人自行解决。</w:t>
      </w:r>
    </w:p>
    <w:p w14:paraId="6614F87D">
      <w:pPr>
        <w:keepNext w:val="0"/>
        <w:keepLines w:val="0"/>
        <w:pageBreakBefore w:val="0"/>
        <w:kinsoku/>
        <w:wordWrap/>
        <w:overflowPunct/>
        <w:topLinePunct w:val="0"/>
        <w:autoSpaceDE/>
        <w:autoSpaceDN/>
        <w:bidi w:val="0"/>
        <w:adjustRightInd/>
        <w:snapToGrid/>
        <w:spacing w:beforeAutospacing="0" w:afterAutospacing="0" w:line="360" w:lineRule="auto"/>
        <w:ind w:firstLine="600" w:firstLineChars="25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24、监理人必须在收到图纸、勘察资料等技术文件后14日内向委托人提供针对本工程特点、重点、难点的《监理规划》。分基坑支护、基坑土方开挖、基础、主体、装饰、总体配套、细部检查等多阶段制订详细的、有针对性的现场监理实施细则，和工程需要的专题监理实施细则，经委托人审核批准后执行，委托人以此具体考核监理人的监理工作。如委托人要求监理人对《监理规划》等进行调整，监理人必须在一周内完成调整，并报委托人审批每个分部工程开工前须提交一份该分部工程的质量通病或可能产生的质量问题、 采取的预防措施和施工过程中有针对性的办法。</w:t>
      </w:r>
    </w:p>
    <w:p w14:paraId="2A3E9F19">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25、在施工招标阶段或工程开工前，总监理工程师应组织各专业监理人员对工程施工谈判文件、设计交底会前的设计文件进行详细的审查。重点审查各专业施工图纸及施工谈判文件出现遗漏、缺项、错误，并就存在的问题分类列出，向委托人提出书面意见和建议。保证施工过程中能按图施工，最大限度地减少施工过程中的设计变更。审查过程中未发现图纸或谈判文件存在明显错误，每次每项扣减2000元。</w:t>
      </w:r>
    </w:p>
    <w:p w14:paraId="7A8C2A54">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26、施工过程中监理人应对施工图纸的错误及时提出意见，并根据现场的实际施工情况，每月向委托人上报施工图纸的存在问题修改的情况。未尽监理职责，对施工图纸出现重大错误未发现或未提出意见的，每处扣减1000元监理费。</w:t>
      </w:r>
    </w:p>
    <w:p w14:paraId="1ACAE194">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27、监理人根据施工图纸、国家相关施工规范的要求严格监理施工质量，督促施工单位确保工程合格率为 100%。</w:t>
      </w:r>
    </w:p>
    <w:p w14:paraId="25FB31B9">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28、现场监理工程师应使用自备仪器（全站仪、测距仪、铅垂仪、水平仪等）独立测量，复核承包人报送的控制桩的校核成果、控制桩的保护措施以及平面控制网、高程控制网核临时水准点的测量成果，保证测量精度。如果测量精度存在错误，监理人在复核过程中未能发现的，每次扣减3000元监理费。检测仪器及设备等未按工程需要的数量、规格、时间进场的，每件每日扣减1000元监理费。</w:t>
      </w:r>
    </w:p>
    <w:p w14:paraId="5BE5A636">
      <w:pPr>
        <w:keepNext w:val="0"/>
        <w:keepLines w:val="0"/>
        <w:pageBreakBefore w:val="0"/>
        <w:kinsoku/>
        <w:wordWrap/>
        <w:overflowPunct/>
        <w:topLinePunct w:val="0"/>
        <w:autoSpaceDE/>
        <w:autoSpaceDN/>
        <w:bidi w:val="0"/>
        <w:adjustRightInd/>
        <w:snapToGrid/>
        <w:spacing w:beforeAutospacing="0" w:afterAutospacing="0" w:line="360" w:lineRule="auto"/>
        <w:ind w:left="1"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29、监理人在开工后，应及时制定承包人管理及工程质量管理的细则提交委托人。并定期（每月）进行一次考核，将考核情况上报给委托人。</w:t>
      </w:r>
    </w:p>
    <w:p w14:paraId="7458D192">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30、监理人应监督和定期（每天一次）检查施工总包单位现场施工的安全、文明措施并作好记录，有隐患及时要求相关单位整改，同时向委托人汇报。在施工过程中严格执行省安全文明施工管理条例。每周向委托人做一次书面汇报。</w:t>
      </w:r>
    </w:p>
    <w:p w14:paraId="62031A9E">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31、监理人应监督施工单位按照施工组织设计中的安全技术措施和安全专项施工方案组织施工，及时制止违规施工作业。</w:t>
      </w:r>
    </w:p>
    <w:p w14:paraId="344FE109">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32、监理人应派专人对施工现场安全生产情况进行巡视检查，对发现的各类安全隐患，应书面通知承包人，并督促其立即整改；情况严重的，监理人应及时下达工程暂停令，要求承包人停工整改，并同时报告委托人。</w:t>
      </w:r>
      <w:r>
        <w:rPr>
          <w:rFonts w:hint="eastAsia" w:asciiTheme="minorEastAsia" w:hAnsiTheme="minorEastAsia" w:eastAsiaTheme="minorEastAsia" w:cstheme="minorEastAsia"/>
          <w:color w:val="auto"/>
          <w:kern w:val="0"/>
          <w:sz w:val="24"/>
          <w:szCs w:val="24"/>
          <w:highlight w:val="none"/>
        </w:rPr>
        <w:t>安全事故</w:t>
      </w:r>
      <w:r>
        <w:rPr>
          <w:rFonts w:hint="eastAsia" w:asciiTheme="minorEastAsia" w:hAnsiTheme="minorEastAsia" w:eastAsiaTheme="minorEastAsia" w:cstheme="minorEastAsia"/>
          <w:color w:val="auto"/>
          <w:kern w:val="2"/>
          <w:sz w:val="24"/>
          <w:szCs w:val="24"/>
          <w:highlight w:val="none"/>
        </w:rPr>
        <w:t>隐患消除后，监理人应检查整改结果，签署复查或复工意见。承包人拒不整改或不停工整改的，监理人应当及时向委托人和工程所在地建设行政主管部门</w:t>
      </w:r>
      <w:r>
        <w:rPr>
          <w:rFonts w:hint="eastAsia" w:asciiTheme="minorEastAsia" w:hAnsiTheme="minorEastAsia" w:eastAsiaTheme="minorEastAsia" w:cstheme="minorEastAsia"/>
          <w:color w:val="auto"/>
          <w:kern w:val="0"/>
          <w:sz w:val="24"/>
          <w:szCs w:val="24"/>
          <w:highlight w:val="none"/>
        </w:rPr>
        <w:t>或工程项目的行业主管部门</w:t>
      </w:r>
      <w:r>
        <w:rPr>
          <w:rFonts w:hint="eastAsia" w:asciiTheme="minorEastAsia" w:hAnsiTheme="minorEastAsia" w:eastAsiaTheme="minorEastAsia" w:cstheme="minorEastAsia"/>
          <w:color w:val="auto"/>
          <w:kern w:val="2"/>
          <w:sz w:val="24"/>
          <w:szCs w:val="24"/>
          <w:highlight w:val="none"/>
        </w:rPr>
        <w:t>报告，检查、整改、复查、报告等情况应当记载在监理日记、监理月报中。监理人没有及时下达书面指令要求承包人进行整改或停止施工的，没有采取有效措施的，造成损失的，应承担相应责任（法律、经济等）。</w:t>
      </w:r>
    </w:p>
    <w:p w14:paraId="6CF13C4C">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i/>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33、监理人负责隐蔽工程验收、中间验收和竣工初验，并监督整改。保留隐蔽工程验收、中间验收的影像资料提供给委托人。若因监理人原因造成未进行隐蔽工程验收的，一经查实处罚2000元/次。</w:t>
      </w:r>
    </w:p>
    <w:p w14:paraId="0F93A47E">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34、监理人协助相关单位进行单位工程竣工验收工作，协助相关单位进行全部工程竣工验收工作，审核竣工图，竣工工程的实体和资料的移交工作。</w:t>
      </w:r>
    </w:p>
    <w:p w14:paraId="0BC69CDB">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35、监理人审查各承包单位编制的竣工资料、竣工图，保证其正确无误，并及时提交委托人。</w:t>
      </w:r>
    </w:p>
    <w:p w14:paraId="04DEF77B">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36、监理人协助委托人组织施工总包单位、设计单位研究处理工程质量、安全事故，监督整改方案的实施，并监督检查整改工作实施。</w:t>
      </w:r>
    </w:p>
    <w:p w14:paraId="0950B709">
      <w:pPr>
        <w:keepNext w:val="0"/>
        <w:keepLines w:val="0"/>
        <w:pageBreakBefore w:val="0"/>
        <w:tabs>
          <w:tab w:val="left" w:pos="360"/>
          <w:tab w:val="left" w:pos="2581"/>
        </w:tabs>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37、监理人定期（每月）负责审查工程的资料归档及竣工验收工作，确保资料和工程同步，委托人不定期对其每月的工作进行检查，发现一次不符合要求处罚一次（处罚金额1000元），工程竣工验收时，如因资料原因造成的损失，监理人应承担全部责任。工程监理资料收集不齐、管理混乱的，扣减5000元监理费；缺损应由监理人存档的原始记录，每件文件扣减1000元监理费。</w:t>
      </w:r>
    </w:p>
    <w:p w14:paraId="0D5E53E1">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38、监理人应审核承包人提出工程总进度计划，对总进度计划是否满足规定的竣工日期的要求提出意见。</w:t>
      </w:r>
    </w:p>
    <w:p w14:paraId="2744982D">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39、监理人在总进度计划的前提下，审核施工单位月、周进度计划的可行性，并且起到预警作用。如发现执行过程中不能完成工程计划时，应检查分析原因，督促承包人及时调整计划和采取补救措施，以保证工程进度的实现，向委托人提供书面分析报告。如监理人未采取有效措施，委托人有权对其处罚（1000元/次）。</w:t>
      </w:r>
    </w:p>
    <w:p w14:paraId="09089AFD">
      <w:pPr>
        <w:keepNext w:val="0"/>
        <w:keepLines w:val="0"/>
        <w:pageBreakBefore w:val="0"/>
        <w:kinsoku/>
        <w:wordWrap/>
        <w:overflowPunct/>
        <w:topLinePunct w:val="0"/>
        <w:autoSpaceDE/>
        <w:autoSpaceDN/>
        <w:bidi w:val="0"/>
        <w:adjustRightInd/>
        <w:snapToGrid/>
        <w:spacing w:beforeAutospacing="0" w:afterAutospacing="0" w:line="360" w:lineRule="auto"/>
        <w:ind w:firstLine="485"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spacing w:val="2"/>
          <w:kern w:val="2"/>
          <w:position w:val="2"/>
          <w:sz w:val="24"/>
          <w:szCs w:val="24"/>
          <w:highlight w:val="none"/>
        </w:rPr>
        <w:t>40、事前由各相关方共同确认的工程施工的关键线路工期因承包人原因比计划滞后5日以上（包括5日），监理人未及时预见、未及时提出整改措施，未及时监督承包人整改，未及时向总监理工程师、委托人报告，对整个工程的按期完工不能起到监管作用，处罚监理人2000元/次。</w:t>
      </w:r>
    </w:p>
    <w:p w14:paraId="2BCA6D7F">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41、监理人复核施工总包单位工程月报及已完工程量，审核承包人已完工程数量（月报、工程签证），准确率应达到 95%以上，并提出书面意见，如不能满足要求，每发现一次，处罚2000元/次。</w:t>
      </w:r>
    </w:p>
    <w:p w14:paraId="30A6FFB6">
      <w:pPr>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42、监理人协助各方进行现场技术核定，审核工程签证的工程量和价格。对可能产生额外工程量地方及时报告委托人，对超出承包合同之外的设计修改审查，涉及费用的及时提建议给委托人并征得委托人签证认可方为有效。现场签证资料需要委托人、监理、承包人，共同现场签字方为有效。</w:t>
      </w:r>
    </w:p>
    <w:p w14:paraId="608AC799">
      <w:pPr>
        <w:keepNext w:val="0"/>
        <w:keepLines w:val="0"/>
        <w:pageBreakBefore w:val="0"/>
        <w:tabs>
          <w:tab w:val="left" w:pos="360"/>
        </w:tabs>
        <w:kinsoku/>
        <w:wordWrap/>
        <w:overflowPunct/>
        <w:topLinePunct w:val="0"/>
        <w:autoSpaceDE/>
        <w:autoSpaceDN/>
        <w:bidi w:val="0"/>
        <w:adjustRightInd/>
        <w:snapToGrid/>
        <w:spacing w:beforeAutospacing="0" w:afterAutospacing="0" w:line="360" w:lineRule="auto"/>
        <w:ind w:firstLine="488" w:firstLineChars="200"/>
        <w:jc w:val="left"/>
        <w:textAlignment w:val="auto"/>
        <w:rPr>
          <w:rFonts w:hint="eastAsia" w:asciiTheme="minorEastAsia" w:hAnsiTheme="minorEastAsia" w:eastAsiaTheme="minorEastAsia" w:cstheme="minorEastAsia"/>
          <w:color w:val="auto"/>
          <w:spacing w:val="2"/>
          <w:kern w:val="2"/>
          <w:position w:val="2"/>
          <w:sz w:val="24"/>
          <w:szCs w:val="24"/>
          <w:highlight w:val="none"/>
        </w:rPr>
      </w:pPr>
      <w:r>
        <w:rPr>
          <w:rFonts w:hint="eastAsia" w:asciiTheme="minorEastAsia" w:hAnsiTheme="minorEastAsia" w:eastAsiaTheme="minorEastAsia" w:cstheme="minorEastAsia"/>
          <w:color w:val="auto"/>
          <w:spacing w:val="2"/>
          <w:kern w:val="2"/>
          <w:position w:val="2"/>
          <w:sz w:val="24"/>
          <w:szCs w:val="24"/>
          <w:highlight w:val="none"/>
        </w:rPr>
        <w:t>43、对于承包人提交的现场签证资料，监理人未有准确、真实的现场原始记录或不进行现场复核就给予签认，经委托人检查发现签认的文件有误的，除必须立即改正外，处罚监理人1000元/次。对签证错误有可能给委托人造成直接经济损失5000元以上的按严重违约处理。</w:t>
      </w:r>
    </w:p>
    <w:p w14:paraId="4CEE5E65">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44、监理人会签有关各种设计变更，应侧重审查对工程质量、进度、成本控制是否有不利影响，如发现有不利影响时，应明确提出监理意见，及时向委托人反映。</w:t>
      </w:r>
    </w:p>
    <w:p w14:paraId="5BB5FF65">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val="en-US" w:eastAsia="zh-CN"/>
        </w:rPr>
        <w:t>5</w:t>
      </w:r>
      <w:r>
        <w:rPr>
          <w:rFonts w:hint="eastAsia" w:asciiTheme="minorEastAsia" w:hAnsiTheme="minorEastAsia" w:eastAsiaTheme="minorEastAsia" w:cstheme="minorEastAsia"/>
          <w:color w:val="auto"/>
          <w:kern w:val="2"/>
          <w:sz w:val="24"/>
          <w:szCs w:val="24"/>
          <w:highlight w:val="none"/>
        </w:rPr>
        <w:t>、监理</w:t>
      </w:r>
      <w:r>
        <w:rPr>
          <w:rFonts w:hint="eastAsia" w:asciiTheme="minorEastAsia" w:hAnsiTheme="minorEastAsia" w:eastAsiaTheme="minorEastAsia" w:cstheme="minorEastAsia"/>
          <w:color w:val="auto"/>
          <w:kern w:val="2"/>
          <w:sz w:val="24"/>
          <w:szCs w:val="24"/>
          <w:highlight w:val="none"/>
          <w:lang w:val="en-US" w:eastAsia="zh-CN"/>
        </w:rPr>
        <w:t>询价</w:t>
      </w:r>
      <w:r>
        <w:rPr>
          <w:rFonts w:hint="eastAsia" w:asciiTheme="minorEastAsia" w:hAnsiTheme="minorEastAsia" w:eastAsiaTheme="minorEastAsia" w:cstheme="minorEastAsia"/>
          <w:color w:val="auto"/>
          <w:kern w:val="2"/>
          <w:sz w:val="24"/>
          <w:szCs w:val="24"/>
          <w:highlight w:val="none"/>
        </w:rPr>
        <w:t>文件与</w:t>
      </w:r>
      <w:r>
        <w:rPr>
          <w:rFonts w:hint="eastAsia" w:asciiTheme="minorEastAsia" w:hAnsiTheme="minorEastAsia" w:eastAsiaTheme="minorEastAsia" w:cstheme="minorEastAsia"/>
          <w:color w:val="auto"/>
          <w:kern w:val="2"/>
          <w:sz w:val="24"/>
          <w:szCs w:val="24"/>
          <w:highlight w:val="none"/>
          <w:lang w:val="en-US" w:eastAsia="zh-CN"/>
        </w:rPr>
        <w:t>询价响应</w:t>
      </w:r>
      <w:r>
        <w:rPr>
          <w:rFonts w:hint="eastAsia" w:asciiTheme="minorEastAsia" w:hAnsiTheme="minorEastAsia" w:eastAsiaTheme="minorEastAsia" w:cstheme="minorEastAsia"/>
          <w:color w:val="auto"/>
          <w:kern w:val="2"/>
          <w:sz w:val="24"/>
          <w:szCs w:val="24"/>
          <w:highlight w:val="none"/>
        </w:rPr>
        <w:t>文件均为本合同组成部分，与本合同具有同等法律效力，内容不一致的，以本合同为准。</w:t>
      </w:r>
    </w:p>
    <w:p w14:paraId="5D01BFEB">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outlineLvl w:val="0"/>
        <w:rPr>
          <w:rFonts w:hint="eastAsia" w:asciiTheme="minorEastAsia" w:hAnsiTheme="minorEastAsia" w:eastAsiaTheme="minorEastAsia" w:cstheme="minorEastAsia"/>
          <w:color w:val="auto"/>
          <w:kern w:val="2"/>
          <w:sz w:val="24"/>
          <w:szCs w:val="24"/>
          <w:highlight w:val="none"/>
        </w:rPr>
      </w:pPr>
      <w:bookmarkStart w:id="57" w:name="_Toc6241"/>
      <w:bookmarkStart w:id="58" w:name="_Toc14792"/>
      <w:bookmarkStart w:id="59" w:name="_Toc30456"/>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val="en-US" w:eastAsia="zh-CN"/>
        </w:rPr>
        <w:t>6</w:t>
      </w:r>
      <w:r>
        <w:rPr>
          <w:rFonts w:hint="eastAsia" w:asciiTheme="minorEastAsia" w:hAnsiTheme="minorEastAsia" w:eastAsiaTheme="minorEastAsia" w:cstheme="minorEastAsia"/>
          <w:color w:val="auto"/>
          <w:kern w:val="2"/>
          <w:sz w:val="24"/>
          <w:szCs w:val="24"/>
          <w:highlight w:val="none"/>
        </w:rPr>
        <w:t>、监理机构人员情况约定</w:t>
      </w:r>
      <w:bookmarkEnd w:id="57"/>
      <w:bookmarkEnd w:id="58"/>
      <w:bookmarkEnd w:id="59"/>
    </w:p>
    <w:p w14:paraId="59BC8C3C">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val="en-US" w:eastAsia="zh-CN"/>
        </w:rPr>
        <w:t>6</w:t>
      </w:r>
      <w:r>
        <w:rPr>
          <w:rFonts w:hint="eastAsia" w:asciiTheme="minorEastAsia" w:hAnsiTheme="minorEastAsia" w:eastAsiaTheme="minorEastAsia" w:cstheme="minorEastAsia"/>
          <w:color w:val="auto"/>
          <w:kern w:val="2"/>
          <w:sz w:val="24"/>
          <w:szCs w:val="24"/>
          <w:highlight w:val="none"/>
        </w:rPr>
        <w:t>.1监理人须在签订合同时，向委托人提供“项目工程工程监理派驻现场主要人员情况表”。</w:t>
      </w:r>
    </w:p>
    <w:p w14:paraId="5AA4E859">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val="en-US" w:eastAsia="zh-CN"/>
        </w:rPr>
        <w:t>6</w:t>
      </w:r>
      <w:r>
        <w:rPr>
          <w:rFonts w:hint="eastAsia" w:asciiTheme="minorEastAsia" w:hAnsiTheme="minorEastAsia" w:eastAsiaTheme="minorEastAsia" w:cstheme="minorEastAsia"/>
          <w:color w:val="auto"/>
          <w:kern w:val="2"/>
          <w:sz w:val="24"/>
          <w:szCs w:val="24"/>
          <w:highlight w:val="none"/>
        </w:rPr>
        <w:t>.2监理人在每一施工阶段开始前1个月，应向委托人提报该阶段人员配备情况表，经委托人书面确认后作为该阶段的派驻人员。</w:t>
      </w:r>
    </w:p>
    <w:p w14:paraId="458BFE3A">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每阶段派驻人员表中的人员，原则上应是相应专业的人员为骨干组成。</w:t>
      </w:r>
    </w:p>
    <w:p w14:paraId="286D0933">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color w:val="auto"/>
          <w:kern w:val="0"/>
          <w:sz w:val="24"/>
          <w:szCs w:val="24"/>
          <w:highlight w:val="none"/>
          <w:lang w:val="en-US" w:eastAsia="zh-CN"/>
        </w:rPr>
        <w:t>6</w:t>
      </w:r>
      <w:r>
        <w:rPr>
          <w:rFonts w:hint="eastAsia" w:asciiTheme="minorEastAsia" w:hAnsiTheme="minorEastAsia" w:eastAsiaTheme="minorEastAsia" w:cstheme="minorEastAsia"/>
          <w:color w:val="auto"/>
          <w:kern w:val="0"/>
          <w:sz w:val="24"/>
          <w:szCs w:val="24"/>
          <w:highlight w:val="none"/>
        </w:rPr>
        <w:t>.3监理单位的总监理工程师和安全监理人员需经安全生产教育培训，考试合格后方可上岗，其安全教育培训合格证在进场时提供。</w:t>
      </w:r>
    </w:p>
    <w:p w14:paraId="71B3BDAA">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rPr>
        <w:t>4</w:t>
      </w:r>
      <w:r>
        <w:rPr>
          <w:rFonts w:hint="eastAsia" w:asciiTheme="minorEastAsia" w:hAnsiTheme="minorEastAsia" w:eastAsiaTheme="minorEastAsia" w:cstheme="minorEastAsia"/>
          <w:color w:val="auto"/>
          <w:kern w:val="2"/>
          <w:sz w:val="24"/>
          <w:szCs w:val="24"/>
          <w:highlight w:val="none"/>
          <w:lang w:val="en-US" w:eastAsia="zh-CN"/>
        </w:rPr>
        <w:t>7</w:t>
      </w:r>
      <w:r>
        <w:rPr>
          <w:rFonts w:hint="eastAsia" w:asciiTheme="minorEastAsia" w:hAnsiTheme="minorEastAsia" w:eastAsiaTheme="minorEastAsia" w:cstheme="minorEastAsia"/>
          <w:color w:val="auto"/>
          <w:kern w:val="2"/>
          <w:sz w:val="24"/>
          <w:szCs w:val="24"/>
          <w:highlight w:val="none"/>
        </w:rPr>
        <w:t>、本合同履行过程中，如乙方违约，乙方应按甲方要求采取改正措施，并承担相应责任，甲方有索赔相关费用的权利；如乙方严重违约致使合同目的无法实现的，甲方有权解除、终止合同，乙方应赔偿甲方相应损失。</w:t>
      </w:r>
    </w:p>
    <w:p w14:paraId="3318AEE0">
      <w:pPr>
        <w:keepNext w:val="0"/>
        <w:keepLines w:val="0"/>
        <w:pageBreakBefore w:val="0"/>
        <w:kinsoku/>
        <w:wordWrap/>
        <w:overflowPunct/>
        <w:topLinePunct w:val="0"/>
        <w:autoSpaceDE/>
        <w:autoSpaceDN/>
        <w:bidi w:val="0"/>
        <w:adjustRightInd/>
        <w:snapToGrid/>
        <w:spacing w:beforeAutospacing="0" w:afterAutospacing="0" w:line="360" w:lineRule="auto"/>
        <w:ind w:firstLine="477" w:firstLineChars="199"/>
        <w:jc w:val="left"/>
        <w:textAlignment w:val="auto"/>
        <w:rPr>
          <w:rFonts w:hint="eastAsia" w:asciiTheme="minorEastAsia" w:hAnsiTheme="minorEastAsia" w:eastAsiaTheme="minorEastAsia" w:cstheme="minorEastAsia"/>
          <w:color w:val="auto"/>
          <w:kern w:val="2"/>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rPr>
        <w:t>48</w:t>
      </w:r>
      <w:r>
        <w:rPr>
          <w:rFonts w:hint="eastAsia" w:asciiTheme="minorEastAsia" w:hAnsiTheme="minorEastAsia" w:eastAsiaTheme="minorEastAsia" w:cstheme="minorEastAsia"/>
          <w:color w:val="auto"/>
          <w:kern w:val="2"/>
          <w:sz w:val="24"/>
          <w:szCs w:val="24"/>
          <w:highlight w:val="none"/>
        </w:rPr>
        <w:t>、双方在本合同履行过程中，可以签定补充或修正文件，补充或修正文件与本合同具有同等法律效力，内容不一致的，以时间在后的文件为准。</w:t>
      </w:r>
    </w:p>
    <w:p w14:paraId="09C04D11">
      <w:pPr>
        <w:keepNext w:val="0"/>
        <w:keepLines w:val="0"/>
        <w:pageBreakBefore w:val="0"/>
        <w:kinsoku/>
        <w:wordWrap/>
        <w:overflowPunct/>
        <w:topLinePunct w:val="0"/>
        <w:autoSpaceDE/>
        <w:autoSpaceDN/>
        <w:bidi w:val="0"/>
        <w:adjustRightInd/>
        <w:snapToGrid/>
        <w:spacing w:beforeAutospacing="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2"/>
          <w:sz w:val="24"/>
          <w:szCs w:val="24"/>
          <w:highlight w:val="none"/>
        </w:rPr>
        <w:t>附加安全协议条款：</w:t>
      </w:r>
    </w:p>
    <w:p w14:paraId="55664543">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outlineLvl w:val="0"/>
        <w:rPr>
          <w:rFonts w:hint="eastAsia" w:asciiTheme="minorEastAsia" w:hAnsiTheme="minorEastAsia" w:eastAsiaTheme="minorEastAsia" w:cstheme="minorEastAsia"/>
          <w:color w:val="auto"/>
          <w:kern w:val="0"/>
          <w:sz w:val="24"/>
          <w:szCs w:val="24"/>
          <w:highlight w:val="none"/>
        </w:rPr>
      </w:pPr>
      <w:bookmarkStart w:id="60" w:name="_Toc4373"/>
      <w:bookmarkStart w:id="61" w:name="_Toc12939"/>
      <w:bookmarkStart w:id="62" w:name="_Toc18552"/>
      <w:r>
        <w:rPr>
          <w:rFonts w:hint="eastAsia" w:asciiTheme="minorEastAsia" w:hAnsiTheme="minorEastAsia" w:eastAsiaTheme="minorEastAsia" w:cstheme="minorEastAsia"/>
          <w:color w:val="auto"/>
          <w:kern w:val="0"/>
          <w:sz w:val="24"/>
          <w:szCs w:val="24"/>
          <w:highlight w:val="none"/>
        </w:rPr>
        <w:t>（一）施工准备阶段安全监理的主要工作内容</w:t>
      </w:r>
      <w:bookmarkEnd w:id="60"/>
      <w:bookmarkEnd w:id="61"/>
      <w:bookmarkEnd w:id="62"/>
      <w:r>
        <w:rPr>
          <w:rFonts w:hint="eastAsia" w:asciiTheme="minorEastAsia" w:hAnsiTheme="minorEastAsia" w:eastAsiaTheme="minorEastAsia" w:cstheme="minorEastAsia"/>
          <w:color w:val="auto"/>
          <w:kern w:val="0"/>
          <w:sz w:val="24"/>
          <w:szCs w:val="24"/>
          <w:highlight w:val="none"/>
        </w:rPr>
        <w:t xml:space="preserve"> </w:t>
      </w:r>
    </w:p>
    <w:p w14:paraId="6668D94E">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1、监理单位应根据《条例》的规定，按照工程建设强制性标准、《建设工程监理规范》（GB50319）和相关行业监理规范的要求，编制包括安全监理内容的项目监理规划，明确安全监理的范围、内容、工作程序和制度措施，以及人员配备计划和职责等。 </w:t>
      </w:r>
    </w:p>
    <w:p w14:paraId="6D11432D">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2、对中型及以上项目和《条例》第二十六条规定的危险性较大的分部分项工程，监理单位应当编制监理实施细则。实施细则应当明确安全监理的方法、措施和控制要点，以及对施工单位安全技术措施的检查方案。 </w:t>
      </w:r>
    </w:p>
    <w:p w14:paraId="3F67422C">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3、审查施工单位编制的施工组织设计中的安全技术措施和危险性较大的分部分项工程安全专项施工方案是否符合工程建设强制性标准要求。审查的主要内容应当包括： </w:t>
      </w:r>
    </w:p>
    <w:p w14:paraId="0A3C1F5E">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（1）施工单位编制的地下管线保护措施方案是否符合强制性标准要求； </w:t>
      </w:r>
    </w:p>
    <w:p w14:paraId="7FDDED45">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（2）基坑支护与降水、土方开挖与边坡防护、模板、起重吊装、脚手架、拆除、爆破等分部分项工程的专项施工方案是否符合强制性标准要求； </w:t>
      </w:r>
    </w:p>
    <w:p w14:paraId="159AC2AE">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（3）施工现场临时用电施工组织设计或者安全用电技术措施和电气防火措施是否符合强制性标准要求； </w:t>
      </w:r>
    </w:p>
    <w:p w14:paraId="61ACD0C6">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（4）冬季、雨季等季节性施工方案的制定是否符合强制性标准要求； </w:t>
      </w:r>
    </w:p>
    <w:p w14:paraId="42370143">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（5）施工总平面布置图是否符合安全生产的要求，办公、宿舍、食堂、道路等临时设施设置以及排水、防火措施是否符合强制性标准要求。 </w:t>
      </w:r>
    </w:p>
    <w:p w14:paraId="44D99B7A">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4、检查施工单位在工程项目上的安全生产规章制度和安全监管机构的建立、健全及专职安全生产管理人员配备情况，督促施工单位检查各分包单位的安全生产规章制度的建立情况。 </w:t>
      </w:r>
    </w:p>
    <w:p w14:paraId="564D6001">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5、审查施工单位资质和安全生产许可证是否合法有效。 </w:t>
      </w:r>
    </w:p>
    <w:p w14:paraId="73C6C10F">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6、审查项目经理和专职安全生产管理人员是否具备合法资格，是否与投标文件相一致。 </w:t>
      </w:r>
    </w:p>
    <w:p w14:paraId="16D1AF12">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7、审核特种作业人员的特种作业操作资格证书是否合法有效。 </w:t>
      </w:r>
    </w:p>
    <w:p w14:paraId="453F5F2B">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8、审核施工单位应急救援预案和安全防护措施费用使用计划。 </w:t>
      </w:r>
    </w:p>
    <w:p w14:paraId="7BD2124C">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outlineLvl w:val="0"/>
        <w:rPr>
          <w:rFonts w:hint="eastAsia" w:asciiTheme="minorEastAsia" w:hAnsiTheme="minorEastAsia" w:eastAsiaTheme="minorEastAsia" w:cstheme="minorEastAsia"/>
          <w:color w:val="auto"/>
          <w:kern w:val="0"/>
          <w:sz w:val="24"/>
          <w:szCs w:val="24"/>
          <w:highlight w:val="none"/>
        </w:rPr>
      </w:pPr>
      <w:bookmarkStart w:id="63" w:name="_Toc29667"/>
      <w:bookmarkStart w:id="64" w:name="_Toc31753"/>
      <w:bookmarkStart w:id="65" w:name="_Toc7495"/>
      <w:r>
        <w:rPr>
          <w:rFonts w:hint="eastAsia" w:asciiTheme="minorEastAsia" w:hAnsiTheme="minorEastAsia" w:eastAsiaTheme="minorEastAsia" w:cstheme="minorEastAsia"/>
          <w:color w:val="auto"/>
          <w:kern w:val="0"/>
          <w:sz w:val="24"/>
          <w:szCs w:val="24"/>
          <w:highlight w:val="none"/>
        </w:rPr>
        <w:t>（二）施工阶段安全监理的主要工作内容</w:t>
      </w:r>
      <w:bookmarkEnd w:id="63"/>
      <w:bookmarkEnd w:id="64"/>
      <w:bookmarkEnd w:id="65"/>
      <w:r>
        <w:rPr>
          <w:rFonts w:hint="eastAsia" w:asciiTheme="minorEastAsia" w:hAnsiTheme="minorEastAsia" w:eastAsiaTheme="minorEastAsia" w:cstheme="minorEastAsia"/>
          <w:color w:val="auto"/>
          <w:kern w:val="0"/>
          <w:sz w:val="24"/>
          <w:szCs w:val="24"/>
          <w:highlight w:val="none"/>
        </w:rPr>
        <w:t xml:space="preserve"> </w:t>
      </w:r>
    </w:p>
    <w:p w14:paraId="7398CD13">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1、监督施工单位按照施工组织设计中的安全技术措施和专项施工方案组织施工，及时制止违规施工作业。 </w:t>
      </w:r>
    </w:p>
    <w:p w14:paraId="20793192">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2、定期巡视检查施工过程中的危险性较大工程作业情况。 </w:t>
      </w:r>
    </w:p>
    <w:p w14:paraId="1725E80F">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3、核查施工现场施工起重机械、整体提升脚手架、模板等自升式架设设施和安全设施的验收手续。 </w:t>
      </w:r>
    </w:p>
    <w:p w14:paraId="43114CB4">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4、检查施工现场各种安全标志和安全防护措施是否符合强制性标准要求，并检查安全生产费用的使用情况。 </w:t>
      </w:r>
    </w:p>
    <w:p w14:paraId="00B00C17">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5、督促施工单位进行安全自查工作，并对施工单位自查情况进行抽查，参加建设单位组织的安全生产专项检查。 </w:t>
      </w:r>
    </w:p>
    <w:p w14:paraId="4FAF1191">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二、建设工程安全监理的工作程序 </w:t>
      </w:r>
    </w:p>
    <w:p w14:paraId="50C592AE">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（一）监理单位按照《建设工程监理规范》和相关行业监理规范要求，编制含有安全监理内容的监理规划和监理实施细则。 </w:t>
      </w:r>
    </w:p>
    <w:p w14:paraId="1413A9E6">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（二）在施工准备阶段，监理单位审查核验施工单位提交的有关技术文件及资料，并由项目总监在有关技术文件报审表上签署意见；审查未通过的，安全技术措施及专项施工方案不得实施。 </w:t>
      </w:r>
    </w:p>
    <w:p w14:paraId="7429F39F">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三）在施工阶段，监理单位应对施工现场安全生产情况进行巡视检查，对发现的各类安全事故隐患，应书面通知施工单位，并督促其立即整改；情况严重的，监理单位应及时下达工程暂停令，要求施工单位停工整改，并同时报告建设单位。安全事故隐患消除后，监理单位应检查整改结果，签署复查或复工意见。施工单位拒不整改或不停工整改的，监理单位应当及时向工程所在地建设主管部门或工程项目的行业主管部门报告，以电话形式报告的，应当有通话记录，并及时补充书面报告。检查、整改、复查、报告等情况应记载在监理日志、监理月报中。 </w:t>
      </w:r>
    </w:p>
    <w:p w14:paraId="257A91A6">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监理单位应核查施工单位提交的施工起重机械、整体提升脚手架、模板等自升式架设设施和安全设施等验收记录，并由安全监理人员签收备案。 </w:t>
      </w:r>
    </w:p>
    <w:p w14:paraId="39F9B6A8">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（四）工程竣工后，监理单位应将有关安全生产的技术文件、验收记录、监理规划、监理实施细则、监理月报、监理会议纪要及相关书面通知等按规定立卷归档。 </w:t>
      </w:r>
    </w:p>
    <w:p w14:paraId="7B4D1273">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三、建设工程安全生产的监理责任 </w:t>
      </w:r>
    </w:p>
    <w:p w14:paraId="6F878CA7">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（一）监理单位应对施工组织设计中的安全技术措施或专项施工方案进行审查，未进行审查的，监理单位应承担《条例》第五十七条规定的法律责任。 </w:t>
      </w:r>
    </w:p>
    <w:p w14:paraId="1634D540">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施工组织设计中的安全技术措施或专项施工方案未经监理单位审查签字认可，施工单位擅自施工的，监理单位应及时下达工程暂停令，并将情况及时书面报告建设单位。监理单位未及时下达工程暂停令并报告的，应承担《条例》第五十七条规定的法律责任。 </w:t>
      </w:r>
    </w:p>
    <w:p w14:paraId="61978674">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二）监理单位在监理巡视检查过程中，发现存在安全事故隐患的，应按照有关规定及时下达书面指令要求施工单位进行整改或停止施工。监理单位发现安全事故隐患没有及时下达书面指令要求施工单位进行整改或停止施工的，应承担《条例》第五十七条规定的法律责任。 </w:t>
      </w:r>
    </w:p>
    <w:p w14:paraId="182C0A35">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三）施工单位拒绝按照监理单位的要求进行整改或者停止施工的，监理单位应及时将情况向当地建设主管部门或工程项目的行业主管部门报告。监理单位没有及时报告，应承担《条例》第五十七条规定的法律责任。 </w:t>
      </w:r>
    </w:p>
    <w:p w14:paraId="306520B8">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　　（四）监理单位未依照法律、法规和工程建设强制性标准实施监理的，应当承担《条例》第五十七条规定的法律责任。 </w:t>
      </w:r>
    </w:p>
    <w:p w14:paraId="42E12428">
      <w:pPr>
        <w:keepNext w:val="0"/>
        <w:keepLines w:val="0"/>
        <w:pageBreakBefore w:val="0"/>
        <w:widowControl/>
        <w:kinsoku/>
        <w:wordWrap/>
        <w:overflowPunct/>
        <w:topLinePunct w:val="0"/>
        <w:autoSpaceDE/>
        <w:autoSpaceDN/>
        <w:bidi w:val="0"/>
        <w:adjustRightInd/>
        <w:snapToGrid/>
        <w:spacing w:before="100" w:beforeAutospacing="0" w:after="100" w:afterAutospacing="0"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监理单位履行了上述规定的职责，施工单位未执行监理指令继续施工或发生安全事故的，应依法追究监理单位以外的其他相关单位和人员的法律责任。 </w:t>
      </w:r>
    </w:p>
    <w:p w14:paraId="745A2835">
      <w:pPr>
        <w:pStyle w:val="21"/>
        <w:keepNext w:val="0"/>
        <w:keepLines w:val="0"/>
        <w:pageBreakBefore w:val="0"/>
        <w:kinsoku/>
        <w:wordWrap/>
        <w:overflowPunct/>
        <w:topLinePunct w:val="0"/>
        <w:autoSpaceDE/>
        <w:autoSpaceDN/>
        <w:bidi w:val="0"/>
        <w:spacing w:line="360" w:lineRule="auto"/>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color w:val="auto"/>
          <w:kern w:val="0"/>
          <w:sz w:val="24"/>
          <w:szCs w:val="24"/>
          <w:highlight w:val="none"/>
          <w:lang w:val="en-US" w:eastAsia="zh-CN" w:bidi="ar-SA"/>
        </w:rPr>
        <w:t>住房城乡建设部关于印发《建设单位项目负责人质量安全责任八项规定（试行）》</w:t>
      </w:r>
    </w:p>
    <w:p w14:paraId="5A89925E">
      <w:pPr>
        <w:pStyle w:val="21"/>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建筑工程勘察单位项目负责人质量安全责任七项规定。</w:t>
      </w:r>
    </w:p>
    <w:p w14:paraId="1134AF70">
      <w:pPr>
        <w:pStyle w:val="21"/>
        <w:keepNext w:val="0"/>
        <w:keepLines w:val="0"/>
        <w:pageBreakBefore w:val="0"/>
        <w:kinsoku/>
        <w:wordWrap/>
        <w:overflowPunct/>
        <w:topLinePunct w:val="0"/>
        <w:autoSpaceDE/>
        <w:autoSpaceDN/>
        <w:bidi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建筑工程项目总监理工程师质量安全责任六项规定。</w:t>
      </w:r>
    </w:p>
    <w:p w14:paraId="3C21279F">
      <w:pPr>
        <w:pStyle w:val="21"/>
        <w:keepNext w:val="0"/>
        <w:keepLines w:val="0"/>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sectPr>
          <w:headerReference r:id="rId16" w:type="default"/>
          <w:footerReference r:id="rId17" w:type="default"/>
          <w:pgSz w:w="11906" w:h="16838"/>
          <w:pgMar w:top="1418" w:right="1418" w:bottom="1418" w:left="156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4315145">
      <w:pPr>
        <w:pStyle w:val="21"/>
        <w:ind w:firstLine="482" w:firstLineChars="200"/>
        <w:jc w:val="center"/>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项目总监委托书</w:t>
      </w:r>
    </w:p>
    <w:p w14:paraId="21EFEED0">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7C07C31C">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致：泾阳县住房和城乡建设局</w:t>
      </w:r>
    </w:p>
    <w:p w14:paraId="74B91A83">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     </w:t>
      </w:r>
    </w:p>
    <w:p w14:paraId="34EC5C78">
      <w:pPr>
        <w:pStyle w:val="21"/>
        <w:ind w:firstLine="480" w:firstLineChars="200"/>
        <w:jc w:val="left"/>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根据《泾阳县县城吉元大街基础设施改造项目监理服务》的要求，现委托我公司 </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lang w:val="en-US" w:eastAsia="zh-CN" w:bidi="ar-SA"/>
        </w:rPr>
        <w:t xml:space="preserve"> 同志为我公司中标项目工程的总监理工程师，并负责处理该工程项目监理部一切监理事务。</w:t>
      </w:r>
    </w:p>
    <w:p w14:paraId="2991C737">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368C4093">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496526D3">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59669D6A">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6FE4C8BA">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48E72B46">
      <w:pPr>
        <w:pStyle w:val="21"/>
        <w:ind w:firstLine="480" w:firstLineChars="200"/>
        <w:rPr>
          <w:rFonts w:hint="eastAsia" w:asciiTheme="minorEastAsia" w:hAnsiTheme="minorEastAsia" w:eastAsiaTheme="minorEastAsia" w:cstheme="minorEastAsia"/>
          <w:color w:val="auto"/>
          <w:kern w:val="0"/>
          <w:sz w:val="24"/>
          <w:szCs w:val="24"/>
          <w:highlight w:val="none"/>
          <w:lang w:val="en-US" w:eastAsia="zh-CN" w:bidi="ar-SA"/>
        </w:rPr>
      </w:pPr>
    </w:p>
    <w:p w14:paraId="77E1B66E">
      <w:pPr>
        <w:pStyle w:val="21"/>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                     委托单位:</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lang w:val="en-US" w:eastAsia="zh-CN" w:bidi="ar-SA"/>
        </w:rPr>
        <w:t>（单位盖章）</w:t>
      </w:r>
    </w:p>
    <w:p w14:paraId="2938C3A0">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7701F3D">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                            委托单位法人代表: </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lang w:val="en-US" w:eastAsia="zh-CN" w:bidi="ar-SA"/>
        </w:rPr>
        <w:t xml:space="preserve"> (签字或盖章)</w:t>
      </w:r>
    </w:p>
    <w:p w14:paraId="03D845BD">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57D6432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                                        被委托人:  </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lang w:val="en-US" w:eastAsia="zh-CN" w:bidi="ar-SA"/>
        </w:rPr>
        <w:t xml:space="preserve"> (签字) </w:t>
      </w:r>
    </w:p>
    <w:p w14:paraId="5F352BC2">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EEDFC28">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sectPr>
          <w:pgSz w:w="11906" w:h="16838"/>
          <w:pgMar w:top="1418" w:right="1418" w:bottom="1418" w:left="156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Theme="minorEastAsia" w:hAnsiTheme="minorEastAsia" w:eastAsiaTheme="minorEastAsia" w:cstheme="minorEastAsia"/>
          <w:color w:val="auto"/>
          <w:kern w:val="0"/>
          <w:sz w:val="24"/>
          <w:szCs w:val="24"/>
          <w:highlight w:val="none"/>
          <w:lang w:val="en-US" w:eastAsia="zh-CN" w:bidi="ar-SA"/>
        </w:rPr>
        <w:t xml:space="preserve">                                          日  期: </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u w:val="none"/>
          <w:lang w:val="en-US" w:eastAsia="zh-CN" w:bidi="ar-SA"/>
        </w:rPr>
        <w:t>年</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u w:val="none"/>
          <w:lang w:val="en-US" w:eastAsia="zh-CN" w:bidi="ar-SA"/>
        </w:rPr>
        <w:t>月</w:t>
      </w:r>
      <w:r>
        <w:rPr>
          <w:rFonts w:hint="eastAsia" w:asciiTheme="minorEastAsia" w:hAnsiTheme="minorEastAsia" w:eastAsiaTheme="minorEastAsia" w:cstheme="minorEastAsia"/>
          <w:color w:val="auto"/>
          <w:kern w:val="0"/>
          <w:sz w:val="24"/>
          <w:szCs w:val="24"/>
          <w:highlight w:val="none"/>
          <w:u w:val="single"/>
          <w:lang w:val="en-US" w:eastAsia="zh-CN" w:bidi="ar-SA"/>
        </w:rPr>
        <w:t xml:space="preserve">    </w:t>
      </w:r>
      <w:r>
        <w:rPr>
          <w:rFonts w:hint="eastAsia" w:asciiTheme="minorEastAsia" w:hAnsiTheme="minorEastAsia" w:eastAsiaTheme="minorEastAsia" w:cstheme="minorEastAsia"/>
          <w:color w:val="auto"/>
          <w:kern w:val="0"/>
          <w:sz w:val="24"/>
          <w:szCs w:val="24"/>
          <w:highlight w:val="none"/>
          <w:u w:val="none"/>
          <w:lang w:val="en-US" w:eastAsia="zh-CN" w:bidi="ar-SA"/>
        </w:rPr>
        <w:t>日</w:t>
      </w:r>
      <w:r>
        <w:rPr>
          <w:rFonts w:hint="eastAsia" w:asciiTheme="minorEastAsia" w:hAnsiTheme="minorEastAsia" w:eastAsiaTheme="minorEastAsia" w:cstheme="minorEastAsia"/>
          <w:color w:val="auto"/>
          <w:kern w:val="0"/>
          <w:sz w:val="24"/>
          <w:szCs w:val="24"/>
          <w:highlight w:val="none"/>
          <w:lang w:val="en-US" w:eastAsia="zh-CN" w:bidi="ar-SA"/>
        </w:rPr>
        <w:t xml:space="preserve">            </w:t>
      </w:r>
    </w:p>
    <w:p w14:paraId="006AF6B2">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建设工程廉政合同</w:t>
      </w:r>
    </w:p>
    <w:p w14:paraId="75C675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p>
    <w:p w14:paraId="4B728B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根据有关工程建设、廉政建设的条规，为做好工程建设中的党风廉政建设，保证工程建设高效优质，保证建设资金的安全和有效使用以及投资效益，业主泾阳县住房和城乡建设局(以下称甲方)与监理单位(以下称乙方)特订立如下合同。</w:t>
      </w:r>
    </w:p>
    <w:p w14:paraId="6B72C9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第一条 甲乙双方的权利和义务</w:t>
      </w:r>
    </w:p>
    <w:p w14:paraId="4BFE5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(一)严格遵守党和国家有关法律法规及交通部的有关廉政规定。</w:t>
      </w:r>
    </w:p>
    <w:p w14:paraId="18603D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(二)严格执行</w:t>
      </w:r>
      <w:r>
        <w:rPr>
          <w:rFonts w:hint="eastAsia" w:asciiTheme="minorEastAsia" w:hAnsiTheme="minorEastAsia" w:eastAsiaTheme="minorEastAsia" w:cstheme="minorEastAsia"/>
          <w:sz w:val="24"/>
          <w:szCs w:val="24"/>
          <w:u w:val="single"/>
          <w:lang w:eastAsia="zh-CN"/>
        </w:rPr>
        <w:t>泾阳县县城吉元大街基础设施改造项目监理服务</w:t>
      </w:r>
      <w:r>
        <w:rPr>
          <w:rFonts w:hint="eastAsia" w:asciiTheme="minorEastAsia" w:hAnsiTheme="minorEastAsia" w:eastAsiaTheme="minorEastAsia" w:cstheme="minorEastAsia"/>
          <w:sz w:val="24"/>
          <w:szCs w:val="24"/>
        </w:rPr>
        <w:t>合同文件，自觉按合同办事。</w:t>
      </w:r>
    </w:p>
    <w:p w14:paraId="4AF4D1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(三)双方的业务活动坚持公开、公正、诚信、透明的原则(除法律认定的商业秘密和合同文件另有规定之外)，不得损害国家和集体利益，违反工程建设管理规章制度。</w:t>
      </w:r>
    </w:p>
    <w:p w14:paraId="134FC7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(四)建立健全廉政制度，开展廉政教育，设立廉政告示牌，公布举报电话，监督并认真查处违法违纪行为。</w:t>
      </w:r>
    </w:p>
    <w:p w14:paraId="6F1A7F6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(五)发现对方在业务活动中有违反廉政规定的行为，有及时提醒对方纠正的权利和义务。</w:t>
      </w:r>
    </w:p>
    <w:p w14:paraId="1D45B5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(六)发现对方严重违反本合同义务条款的行为，有向其上级有关部门举报、建议</w:t>
      </w:r>
      <w:r>
        <w:rPr>
          <w:rFonts w:hint="eastAsia" w:asciiTheme="minorEastAsia" w:hAnsiTheme="minorEastAsia" w:eastAsiaTheme="minorEastAsia" w:cstheme="minorEastAsia"/>
          <w:sz w:val="24"/>
          <w:szCs w:val="24"/>
          <w:lang w:eastAsia="zh-CN"/>
        </w:rPr>
        <w:t>给予处理</w:t>
      </w:r>
      <w:r>
        <w:rPr>
          <w:rFonts w:hint="eastAsia" w:asciiTheme="minorEastAsia" w:hAnsiTheme="minorEastAsia" w:eastAsiaTheme="minorEastAsia" w:cstheme="minorEastAsia"/>
          <w:sz w:val="24"/>
          <w:szCs w:val="24"/>
        </w:rPr>
        <w:t>并要求告知处理结果的权利。</w:t>
      </w:r>
    </w:p>
    <w:p w14:paraId="1243EB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第二条</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甲方的义务</w:t>
      </w:r>
    </w:p>
    <w:p w14:paraId="21115E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(一)甲方及其工作人员不得索要或接受乙方的礼金、有价证券和贵重物品，不得在乙方报销任何应由甲方或个人支付的费用。</w:t>
      </w:r>
    </w:p>
    <w:p w14:paraId="37056B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(二)甲方工作人员不得参加乙方安排的高消费宴请和娱乐活动;不得接受乙方提供的通讯工具、交通工具和高档办公用品。</w:t>
      </w:r>
    </w:p>
    <w:p w14:paraId="173D7A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(三)甲方及其工作人员不得要求或者接受乙方为其住房装修、婚丧嫁娶活动、配偶子女的工作安排以及出国出境、旅游等提供方便。</w:t>
      </w:r>
    </w:p>
    <w:p w14:paraId="2E69A9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(四)甲方工作人员的配偶、子女及亲属不得从事与甲方工程有关的监理分包项目。</w:t>
      </w:r>
    </w:p>
    <w:p w14:paraId="6287AB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第三条</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乙方义务</w:t>
      </w:r>
    </w:p>
    <w:p w14:paraId="3F15D5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(一)乙方不得以任何理由向甲方及其工作人员馈赠礼金、有价证券、贵重礼品。</w:t>
      </w:r>
    </w:p>
    <w:p w14:paraId="1A4FDC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(二)乙方不得以任何名义为甲方及其工作人员报销应由甲方单位或个人支付的任何费用。</w:t>
      </w:r>
    </w:p>
    <w:p w14:paraId="66B8CE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(三)乙方不得以任何理由安排甲方工作人员参加高消费宴请及娱乐活动。</w:t>
      </w:r>
    </w:p>
    <w:p w14:paraId="51C8D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(四)乙方不得为甲方单位和个人购置或提供通讯工具、交通工具和高档办公用品等。</w:t>
      </w:r>
    </w:p>
    <w:p w14:paraId="5648F8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(五)乙方及其工作人员不得索取或接受施工单位的礼金、有价证券和贵重物品，不得在施工单位报销任何应由乙方或个人支付的费用。</w:t>
      </w:r>
    </w:p>
    <w:p w14:paraId="113EB0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(六)乙方及其工作人员不得要求和接受施工单位为其住房装修、婚丧嫁娶活动、配偶子女的工作安排以及出国出境、旅游等提供方便，</w:t>
      </w:r>
    </w:p>
    <w:p w14:paraId="62172B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(七)乙方及其工作人员不得参与施工单位安排的高消费宴请和娱乐活动;不得接受施工单位提供的通讯工具、交通工具和高档办公用品。</w:t>
      </w:r>
    </w:p>
    <w:p w14:paraId="731CF4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第四条 违约责任</w:t>
      </w:r>
    </w:p>
    <w:p w14:paraId="324A9B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(一)甲方及其工作人员违反本合同第一、二条，按管理权限，依据有关规定给予党纪、政纪或组织处理;涉嫌犯罪的，移交司法机关追究刑事责任;给乙方单位造成经济损失的，应予以赔偿。</w:t>
      </w:r>
    </w:p>
    <w:p w14:paraId="7E2070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及其工作人员违反本合同第一、三条，按管理权限，依据有关规定，给予党纪、政纪或组织处理;给甲方单位造成经济损失的，应予以赔偿;情节严重的，甲方建议工程建设主管部门给予乙方一至三年内不得进入其主管的交通工程建设市场的处罚。</w:t>
      </w:r>
    </w:p>
    <w:p w14:paraId="153E14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第五条</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双方约定</w:t>
      </w:r>
    </w:p>
    <w:p w14:paraId="4DA01B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385BF9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第六条本合同有效</w:t>
      </w:r>
    </w:p>
    <w:p w14:paraId="6813B6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本合同有效期为双方签署之日起至该工程项目竣工验收后止。</w:t>
      </w:r>
    </w:p>
    <w:p w14:paraId="51A10B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p>
    <w:p w14:paraId="0604A2A4">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w:t>
      </w:r>
      <w:r>
        <w:rPr>
          <w:rFonts w:hint="eastAsia" w:asciiTheme="minorEastAsia" w:hAnsiTheme="minorEastAsia" w:eastAsiaTheme="minorEastAsia" w:cstheme="minorEastAsia"/>
          <w:sz w:val="24"/>
          <w:szCs w:val="24"/>
        </w:rPr>
        <w:tab/>
      </w:r>
    </w:p>
    <w:p w14:paraId="19AA12A3">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法定代表人或</w:t>
      </w:r>
      <w:r>
        <w:rPr>
          <w:rFonts w:hint="eastAsia" w:asciiTheme="minorEastAsia" w:hAnsiTheme="minorEastAsia" w:eastAsiaTheme="minorEastAsia" w:cstheme="minorEastAsia"/>
          <w:sz w:val="24"/>
          <w:szCs w:val="24"/>
        </w:rPr>
        <w:tab/>
      </w:r>
    </w:p>
    <w:p w14:paraId="1A18F4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w:t>
      </w:r>
      <w:r>
        <w:rPr>
          <w:rFonts w:hint="eastAsia" w:asciiTheme="minorEastAsia" w:hAnsiTheme="minorEastAsia" w:eastAsiaTheme="minorEastAsia" w:cstheme="minorEastAsia"/>
          <w:sz w:val="24"/>
          <w:szCs w:val="24"/>
          <w:lang w:val="en-US" w:eastAsia="zh-CN"/>
        </w:rPr>
        <w:t>委托</w:t>
      </w:r>
      <w:r>
        <w:rPr>
          <w:rFonts w:hint="eastAsia" w:asciiTheme="minorEastAsia" w:hAnsiTheme="minorEastAsia" w:eastAsiaTheme="minorEastAsia" w:cstheme="minorEastAsia"/>
          <w:sz w:val="24"/>
          <w:szCs w:val="24"/>
        </w:rPr>
        <w:t>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授权</w:t>
      </w:r>
      <w:r>
        <w:rPr>
          <w:rFonts w:hint="eastAsia" w:asciiTheme="minorEastAsia" w:hAnsiTheme="minorEastAsia" w:eastAsiaTheme="minorEastAsia" w:cstheme="minorEastAsia"/>
          <w:sz w:val="24"/>
          <w:szCs w:val="24"/>
          <w:lang w:val="en-US" w:eastAsia="zh-CN"/>
        </w:rPr>
        <w:t>委托</w:t>
      </w:r>
      <w:r>
        <w:rPr>
          <w:rFonts w:hint="eastAsia" w:asciiTheme="minorEastAsia" w:hAnsiTheme="minorEastAsia" w:eastAsiaTheme="minorEastAsia" w:cstheme="minorEastAsia"/>
          <w:sz w:val="24"/>
          <w:szCs w:val="24"/>
        </w:rPr>
        <w:t>人:</w:t>
      </w:r>
      <w:r>
        <w:rPr>
          <w:rFonts w:hint="eastAsia" w:asciiTheme="minorEastAsia" w:hAnsiTheme="minorEastAsia" w:eastAsiaTheme="minorEastAsia" w:cstheme="minorEastAsia"/>
          <w:sz w:val="24"/>
          <w:szCs w:val="24"/>
        </w:rPr>
        <w:tab/>
      </w:r>
    </w:p>
    <w:p w14:paraId="64C477B7">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rPr>
        <w:tab/>
      </w:r>
    </w:p>
    <w:p w14:paraId="6DD2B827">
      <w:pPr>
        <w:keepNext w:val="0"/>
        <w:keepLines w:val="0"/>
        <w:pageBreakBefore w:val="0"/>
        <w:widowControl w:val="0"/>
        <w:kinsoku/>
        <w:wordWrap/>
        <w:overflowPunct/>
        <w:topLinePunct w:val="0"/>
        <w:autoSpaceDE/>
        <w:autoSpaceDN/>
        <w:bidi w:val="0"/>
        <w:adjustRightInd/>
        <w:snapToGrid/>
        <w:spacing w:line="360" w:lineRule="auto"/>
        <w:ind w:firstLine="5040" w:firstLineChars="21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日</w:t>
      </w:r>
    </w:p>
    <w:p w14:paraId="69CCE975">
      <w:pPr>
        <w:pStyle w:val="21"/>
        <w:keepNext w:val="0"/>
        <w:keepLines w:val="0"/>
        <w:pageBreakBefore w:val="0"/>
        <w:widowControl w:val="0"/>
        <w:wordWrap/>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sectPr>
          <w:pgSz w:w="11906" w:h="16838"/>
          <w:pgMar w:top="1418" w:right="1418" w:bottom="1418" w:left="156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51302162">
      <w:pPr>
        <w:keepNext w:val="0"/>
        <w:keepLines w:val="0"/>
        <w:pageBreakBefore w:val="0"/>
        <w:widowControl w:val="0"/>
        <w:wordWrap/>
        <w:topLinePunct w:val="0"/>
        <w:bidi w:val="0"/>
        <w:adjustRightIn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安全监理责任合同</w:t>
      </w:r>
    </w:p>
    <w:p w14:paraId="189EAEC1">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根据国务院《建设工程安全生产管理条例》,为在本项目工程监理服务合同的实施过程中切实搞好本工程的安全生产管理工作，业主泾阳县住房和城乡建设局(以下简称“甲方”)与监理单位</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(以下简称“乙方”)签订如下安全监理责任合同:</w:t>
      </w:r>
    </w:p>
    <w:p w14:paraId="527D365C">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一、甲方职责</w:t>
      </w:r>
    </w:p>
    <w:p w14:paraId="3487F3D2">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1.严格遵守国家有关安全生产的法律法规，支持乙方按条例要求对规定的施工安全实施监理。</w:t>
      </w:r>
    </w:p>
    <w:p w14:paraId="712C1843">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2.按照“安全第一、预防为主”和坚持“管生产必须管安全”的原则进行安全生产管理，做到生产与安全工作同时计划、布置、检查、总结和评比。</w:t>
      </w:r>
    </w:p>
    <w:p w14:paraId="3BBC2EF8">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3.重要的安全设施必须坚持与主体工程“三同时”的原则，即:同时设计、审批，同时施工，同时验收，投入使用。</w:t>
      </w:r>
    </w:p>
    <w:p w14:paraId="661E274C">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4.定期召开安全生产调度会，及时传达中央及地方有关安全生产的精神。</w:t>
      </w:r>
    </w:p>
    <w:p w14:paraId="4146234C">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5,组织对施工现场的安全生产检查，监督施工单位及时处理发现的各项安全隐患。</w:t>
      </w:r>
    </w:p>
    <w:p w14:paraId="6B0B9CBA">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二、乙方职责</w:t>
      </w:r>
    </w:p>
    <w:p w14:paraId="20BA9053">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1.督促施工单位严格遵守国家有关安全生产的法律法规规定，认真执行工程承包合同中的有关安全要求。</w:t>
      </w:r>
    </w:p>
    <w:p w14:paraId="5F968833">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坚持“安全第一、预防为主”和“管生产必须管安全”的原则，督促施工单位加强安全生产宣传教育，增强全员安全生产意识，建立健全各项安全生产的管理机构和安全生产管理制度，配备专职及兼职安全检查人员，有组织有领导地开展安全生产活动。</w:t>
      </w:r>
    </w:p>
    <w:p w14:paraId="1D8DCA27">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3.建立健全安全监理制度，加强安全知识教育培训，明确各岗位监理人员的安全监理职责，增强安全意识。</w:t>
      </w:r>
    </w:p>
    <w:p w14:paraId="2E36317A">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4.在审查施工组织设计的同时，要同步审查施工组织设计中的安全技术措施，审查专项施工方案是否符合工程建设强制性标准。</w:t>
      </w:r>
    </w:p>
    <w:p w14:paraId="0DCFDE3B">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实施监理过程中，发现存在安全事故隐患的，应立即要求施工单位整改;情况严重的，应立即要求施工单位停止施工，并及时报告建设单位。施工单位拒不整改或不停止施工的，乙方应及时向有关主管部门报告。</w:t>
      </w:r>
    </w:p>
    <w:p w14:paraId="3BB3F048">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6.乙方及其监理工程师应当按照法律、法规和工程建设强制性标准实施监理，并对建设工程安全生产承担监理责任。</w:t>
      </w:r>
    </w:p>
    <w:p w14:paraId="51C84365">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乙方应督促施工单位按照本工程特点，组织制定本工程实施中的生产安全事故应急救援预案;如果发生安全事故，应按照《国务院关于特大安全事故行政责任追究的规定》以及其它有关规定的原则，及时上报有关部门，并坚持“三不放过”的原则，严肃处理相关责任人。</w:t>
      </w:r>
    </w:p>
    <w:p w14:paraId="0296B6BA">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三、违约责任</w:t>
      </w:r>
    </w:p>
    <w:p w14:paraId="1870EB33">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如因甲方或乙方违约造成安全事故，将依法追究责任。</w:t>
      </w:r>
    </w:p>
    <w:p w14:paraId="40E6E844">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四、其他</w:t>
      </w:r>
    </w:p>
    <w:p w14:paraId="47747679">
      <w:pPr>
        <w:keepNext w:val="0"/>
        <w:keepLines w:val="0"/>
        <w:pageBreakBefore w:val="0"/>
        <w:widowControl w:val="0"/>
        <w:kinsoku/>
        <w:wordWrap/>
        <w:overflowPunct/>
        <w:topLinePunct w:val="0"/>
        <w:autoSpaceDE/>
        <w:autoSpaceDN/>
        <w:bidi w:val="0"/>
        <w:adjustRightInd/>
        <w:snapToGrid/>
        <w:spacing w:before="219" w:beforeLines="70" w:after="219" w:afterLines="70"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由各方法定代表人或其授权的代理人签署并加盖公章后生效，全部工程竣工验收后终止。</w:t>
      </w:r>
    </w:p>
    <w:p w14:paraId="04D8BC8C">
      <w:pPr>
        <w:keepNext w:val="0"/>
        <w:keepLines w:val="0"/>
        <w:pageBreakBefore w:val="0"/>
        <w:widowControl w:val="0"/>
        <w:kinsoku/>
        <w:wordWrap/>
        <w:overflowPunct/>
        <w:topLinePunct w:val="0"/>
        <w:autoSpaceDE/>
        <w:autoSpaceDN/>
        <w:bidi w:val="0"/>
        <w:adjustRightInd/>
        <w:snapToGrid/>
        <w:spacing w:line="432"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乙方:</w:t>
      </w:r>
      <w:r>
        <w:rPr>
          <w:rFonts w:hint="eastAsia" w:asciiTheme="minorEastAsia" w:hAnsiTheme="minorEastAsia" w:eastAsiaTheme="minorEastAsia" w:cstheme="minorEastAsia"/>
          <w:sz w:val="24"/>
          <w:szCs w:val="24"/>
        </w:rPr>
        <w:tab/>
      </w:r>
    </w:p>
    <w:p w14:paraId="7BD8B0EE">
      <w:pPr>
        <w:keepNext w:val="0"/>
        <w:keepLines w:val="0"/>
        <w:pageBreakBefore w:val="0"/>
        <w:widowControl w:val="0"/>
        <w:kinsoku/>
        <w:wordWrap/>
        <w:overflowPunct/>
        <w:topLinePunct w:val="0"/>
        <w:autoSpaceDE/>
        <w:autoSpaceDN/>
        <w:bidi w:val="0"/>
        <w:adjustRightInd/>
        <w:snapToGrid/>
        <w:spacing w:line="432"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法定代表人或</w:t>
      </w:r>
      <w:r>
        <w:rPr>
          <w:rFonts w:hint="eastAsia" w:asciiTheme="minorEastAsia" w:hAnsiTheme="minorEastAsia" w:eastAsiaTheme="minorEastAsia" w:cstheme="minorEastAsia"/>
          <w:sz w:val="24"/>
          <w:szCs w:val="24"/>
        </w:rPr>
        <w:tab/>
      </w:r>
    </w:p>
    <w:p w14:paraId="667AB068">
      <w:pPr>
        <w:keepNext w:val="0"/>
        <w:keepLines w:val="0"/>
        <w:pageBreakBefore w:val="0"/>
        <w:widowControl w:val="0"/>
        <w:kinsoku/>
        <w:wordWrap/>
        <w:overflowPunct/>
        <w:topLinePunct w:val="0"/>
        <w:autoSpaceDE/>
        <w:autoSpaceDN/>
        <w:bidi w:val="0"/>
        <w:adjustRightInd/>
        <w:snapToGrid/>
        <w:spacing w:line="432" w:lineRule="auto"/>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w:t>
      </w:r>
      <w:r>
        <w:rPr>
          <w:rFonts w:hint="eastAsia" w:asciiTheme="minorEastAsia" w:hAnsiTheme="minorEastAsia" w:eastAsiaTheme="minorEastAsia" w:cstheme="minorEastAsia"/>
          <w:sz w:val="24"/>
          <w:szCs w:val="24"/>
          <w:lang w:val="en-US" w:eastAsia="zh-CN"/>
        </w:rPr>
        <w:t>委托</w:t>
      </w:r>
      <w:r>
        <w:rPr>
          <w:rFonts w:hint="eastAsia" w:asciiTheme="minorEastAsia" w:hAnsiTheme="minorEastAsia" w:eastAsiaTheme="minorEastAsia" w:cstheme="minorEastAsia"/>
          <w:sz w:val="24"/>
          <w:szCs w:val="24"/>
        </w:rPr>
        <w:t>人:</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授权</w:t>
      </w:r>
      <w:r>
        <w:rPr>
          <w:rFonts w:hint="eastAsia" w:asciiTheme="minorEastAsia" w:hAnsiTheme="minorEastAsia" w:eastAsiaTheme="minorEastAsia" w:cstheme="minorEastAsia"/>
          <w:sz w:val="24"/>
          <w:szCs w:val="24"/>
          <w:lang w:val="en-US" w:eastAsia="zh-CN"/>
        </w:rPr>
        <w:t>委托</w:t>
      </w:r>
      <w:r>
        <w:rPr>
          <w:rFonts w:hint="eastAsia" w:asciiTheme="minorEastAsia" w:hAnsiTheme="minorEastAsia" w:eastAsiaTheme="minorEastAsia" w:cstheme="minorEastAsia"/>
          <w:sz w:val="24"/>
          <w:szCs w:val="24"/>
        </w:rPr>
        <w:t>人:</w:t>
      </w:r>
      <w:r>
        <w:rPr>
          <w:rFonts w:hint="eastAsia" w:asciiTheme="minorEastAsia" w:hAnsiTheme="minorEastAsia" w:eastAsiaTheme="minorEastAsia" w:cstheme="minorEastAsia"/>
          <w:sz w:val="24"/>
          <w:szCs w:val="24"/>
        </w:rPr>
        <w:tab/>
      </w:r>
    </w:p>
    <w:p w14:paraId="42C5E0D0">
      <w:pPr>
        <w:keepNext w:val="0"/>
        <w:keepLines w:val="0"/>
        <w:pageBreakBefore w:val="0"/>
        <w:widowControl w:val="0"/>
        <w:kinsoku/>
        <w:wordWrap/>
        <w:overflowPunct/>
        <w:topLinePunct w:val="0"/>
        <w:autoSpaceDE/>
        <w:autoSpaceDN/>
        <w:bidi w:val="0"/>
        <w:adjustRightInd/>
        <w:snapToGrid/>
        <w:spacing w:line="432" w:lineRule="auto"/>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(签章)</w:t>
      </w:r>
      <w:r>
        <w:rPr>
          <w:rFonts w:hint="eastAsia" w:asciiTheme="minorEastAsia" w:hAnsiTheme="minorEastAsia" w:eastAsiaTheme="minorEastAsia" w:cstheme="minorEastAsia"/>
          <w:sz w:val="24"/>
          <w:szCs w:val="24"/>
        </w:rPr>
        <w:tab/>
      </w:r>
    </w:p>
    <w:p w14:paraId="08116011">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ind w:firstLine="6960" w:firstLineChars="2900"/>
        <w:textAlignment w:val="auto"/>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年    月     日</w:t>
      </w:r>
    </w:p>
    <w:p w14:paraId="5012A35A">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6CD1C111">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88BFD40">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7B3DB379">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left="0" w:leftChars="0" w:firstLine="0" w:firstLineChars="0"/>
        <w:jc w:val="both"/>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F08AF69">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住房城乡建设部关于印发</w:t>
      </w:r>
    </w:p>
    <w:p w14:paraId="084C3A9C">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《建设单位项目负责人质量安全责任八项</w:t>
      </w:r>
    </w:p>
    <w:p w14:paraId="0C89A539">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规定(试行)》等四个规定的通知</w:t>
      </w:r>
    </w:p>
    <w:p w14:paraId="682F6F90">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6000" w:firstLineChars="25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建市(2015)35号</w:t>
      </w:r>
    </w:p>
    <w:p w14:paraId="7AAA9A71">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各省、自治区住房城乡建设厅，直辖市建委、北京市规委、新疆生产建设兵团建设局:</w:t>
      </w:r>
    </w:p>
    <w:p w14:paraId="6F313B2A">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为进一步落实建筑工程各方主体项目负责人的质量安全责任，我部制定了《建设单位项目负责人质量安全责任八项规定(试行)》、《建筑工程勘察单位项目负责人质量安全责任七项规定(试行)》、《建筑工程设计单位项目负责人质量安全责任七项规定(试行)》、《建筑工程项目总监理工程师质量安全责任六项规定(试行)》。现印发给你们，请遵照执行。执行中的问题和建议，请反馈我部建筑市场监管司、工程质量安全监管司。</w:t>
      </w:r>
    </w:p>
    <w:p w14:paraId="15E4DF0E">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jc w:val="righ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住房城乡建设部</w:t>
      </w:r>
    </w:p>
    <w:p w14:paraId="23357B97">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jc w:val="righ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2015年3月6日</w:t>
      </w:r>
    </w:p>
    <w:p w14:paraId="53AE083C">
      <w:pPr>
        <w:pStyle w:val="21"/>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建设单位项目负责人质量安全责任八项规定</w:t>
      </w:r>
    </w:p>
    <w:p w14:paraId="71C7D57E">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4560" w:firstLineChars="19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（试行）</w:t>
      </w:r>
    </w:p>
    <w:p w14:paraId="45A98E3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建设单位项目负责人是指建设单位法定代表人或经法定代表人授权，代表建设单位全面负责工程项目建设全过程管理，并对工程质量承担终身责任的人员，建筑工程开工建设前，建设单位法定代表人应当签署授权书，明确建设单位项目负责人。建设单位项目负责人应当严格遵守以下规定并承担相应责任:</w:t>
      </w:r>
    </w:p>
    <w:p w14:paraId="74B9DFC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一、建设单位项目负责人应当依法组织发包，不得将工程发包给个人或不具有相应资质等级的单位:不得将一个单位工程的施工分解成若干部分发包给不同的施工总承包或专业承包单位:不得将施工合同范围内的单位工程或分部分项工程又另行发包;不得违反合同约定，通过各种形式要求承包单位选择指定的分包单位。建设单位项目负责人发现承包单位有转包、违法分包及挂靠等违法行为的，应当及时向住房城乡建设主管部门报告。</w:t>
      </w:r>
    </w:p>
    <w:p w14:paraId="33BCA092">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二、建设单位项目负责人在组织发包时应当提出合理的造价和工期要求，不得迫使承包单位以低于成本的价格竞标，不得与承包单位签订“阴阳合同”，不得拖欠勘察设计、工程监理费用和工程款，不得任意压缩合理工期。确需压缩工期的，应当组织专家予以论证，并采取保证建筑工程质量安全的相应措施，支付相应的费用，</w:t>
      </w:r>
    </w:p>
    <w:p w14:paraId="32E23D84">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三、建设单位项目负责人在组织编制工程概算时，应当将建筑工程安全生产措施费用和工伤保险费用单独列支，作为不可竞争费，不参与竞标。</w:t>
      </w:r>
    </w:p>
    <w:p w14:paraId="0FD7B06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四、建设单位项目负责人应当负责向勘察、设计、施工、工程监理等单位提供与建筑工程有关的真实、准确、齐全的原始资料，应当严格执行施工图设计文件审查制度，及时将施工图设计文件报有关机构审查，未经审查批准的，不得使用:发生重大设计变更的，应送原审图机构审查。</w:t>
      </w:r>
    </w:p>
    <w:p w14:paraId="54995ABC">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五、建设单位项目负责人应当在项目开工前按照国家有关规定办理工程质量、安全监督手续，申请领取施工许可证。依法应当实行监理的工程。应当委托工程监理单位进行监理。</w:t>
      </w:r>
    </w:p>
    <w:p w14:paraId="4A7AF1A8">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六、建设单位项目负责人应当加强对工程质量安全的控制和管理，不得以任何方式要求设计单位或者施工单位违反工程建设强制性标准，降低工程质量:不得以任何方式要求检测机构出具虚假报告;不得以任何方式要求施工单位使用不合格或者不符合设计要求的建筑材料、建筑构配件和设备:不得违反合同约定，指定承包单位购入用于工程建设的建筑材料、建筑构配件和设备或者指定生产厂、供应商，</w:t>
      </w:r>
    </w:p>
    <w:p w14:paraId="22B0C702">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七、建设单位项目负责人应当按照有关规定组织勘察、设计、施工、工程监理等有关单位进行竣工验收，并按照规定将竣工验收报告、有关认可文件或者准许使用文件报送备案。未组织竣工验收或验收不合格的，不得交付使用。</w:t>
      </w:r>
    </w:p>
    <w:p w14:paraId="54B7AF69">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both"/>
        <w:textAlignment w:val="auto"/>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八、建设单位项目负责人应当严格按照国家有关档案管理的规定，及时收集、整理建设项目各环节的文件资料，建立、健全建设项目档案和建筑工程各方主体项目负责人质量终身责任信息档案，并在建筑工程竣工验收后，及时向住房城乡建设主管部门或者其他有关部门移交建设项目档案及各方主体项目负责人的质量终身责任信息档案。</w:t>
      </w:r>
    </w:p>
    <w:p w14:paraId="146654C5">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jc w:val="both"/>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kern w:val="0"/>
          <w:sz w:val="24"/>
          <w:szCs w:val="24"/>
          <w:highlight w:val="none"/>
          <w:lang w:val="en-US" w:eastAsia="zh-CN" w:bidi="ar-SA"/>
        </w:rPr>
        <w:t>各级住房城乡建设主管部门应当加强对建设单位项目负责人履职情况的监督检查，发现存在违反上述规定的，依照相关法律法规和规章实施行政处罚或处理(建设单位项目负责人质量安全违法违规行为行政处罚规定见附件)。应当建立健全建设单位和建设单位项目负责人的信用档案，将其违法违规行为及处罚处理结果记入信用档案，并在建筑市场监管与诚信信息发布平台上予以曝光。</w:t>
      </w:r>
    </w:p>
    <w:p w14:paraId="5D1E7DDA">
      <w:pPr>
        <w:pStyle w:val="21"/>
        <w:keepNext w:val="0"/>
        <w:keepLines w:val="0"/>
        <w:pageBreakBefore w:val="0"/>
        <w:widowControl w:val="0"/>
        <w:wordWrap/>
        <w:topLinePunct w:val="0"/>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lang w:val="en-US" w:eastAsia="zh-CN" w:bidi="ar-SA"/>
        </w:rPr>
        <w:sectPr>
          <w:pgSz w:w="11906" w:h="16838"/>
          <w:pgMar w:top="1418" w:right="1418" w:bottom="1418" w:left="156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2C9CC7BF">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建筑工程勘察单位项目负责人质量安全责任七项规定</w:t>
      </w:r>
    </w:p>
    <w:p w14:paraId="4A2DF4B6">
      <w:pPr>
        <w:pStyle w:val="21"/>
        <w:keepNext w:val="0"/>
        <w:keepLines w:val="0"/>
        <w:pageBreakBefore w:val="0"/>
        <w:widowControl w:val="0"/>
        <w:wordWrap/>
        <w:topLinePunct w:val="0"/>
        <w:bidi w:val="0"/>
        <w:adjustRightInd/>
        <w:spacing w:line="360" w:lineRule="auto"/>
        <w:jc w:val="center"/>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(试行)</w:t>
      </w:r>
    </w:p>
    <w:p w14:paraId="4116298F">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建筑工程勘察单位项目负责人(以下简称勘察项目负责人)是指经勘察单位法定代表人授权，代表勘察单位负责建筑工程项目全过程勘察质量管理，并对建筑工程勘察质量安全承担总体责任的人员。勘察项目负责人应当由具备勘察质量安全管理能力的专业技术人员担任。甲、乙级岩土工程勘察的项目负责人应由注册土木工程师(岩土)担任。建筑工程勘察工作开始前，勘察单位法定代表人应当签署授权书，明确勘察项目负责人。勘察项目负责人应当严格遵守以下规定并承担相应责任:</w:t>
      </w:r>
    </w:p>
    <w:p w14:paraId="27E35FE5">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一、勘察项目负责人应当确认承担项目的勘察人员符合相应的注册执业资格要求，具备相应的专业技术能力，观测员、记录员、机长等现场作业人员符合专业培训要求。不得允许他人以本人的名义承担工程勘察项目。</w:t>
      </w:r>
    </w:p>
    <w:p w14:paraId="58683D13">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二、勘察项目负责人应当依据有关法律法规、工程建设强制性标准和勘察合同(包括勘察任务委托书)，组织编写勘察纲要，就相关要求向勘察人员交底，组织开展工程勘察工作。</w:t>
      </w:r>
    </w:p>
    <w:p w14:paraId="2931E6B2">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三、勘察项目负责人应当负责勘察现场作业安全，要求勘察作业人员严格执行操作规程，并根据建设单位提供的资料和场地情况，采取措施保证各类人员，场地内和周边建筑物、构筑物及各类管线设施的安全。</w:t>
      </w:r>
    </w:p>
    <w:p w14:paraId="6A9094A7">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四、勘察项目负责人应当对原始取样、记录的真实性和准确性负责，组织人员及时整理、核对原始记录，核验有关现场和试验人员在记录上的签字，对原始记录、测试报告、土工试验成果等各项作业资料验收签字。</w:t>
      </w:r>
    </w:p>
    <w:p w14:paraId="63F270FE">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五、勘察项目负责人应当对勘察成果的真实性和准确性负责，保证勘察文件符合国家规定的深度要求，在勘察文件上签字盖章。</w:t>
      </w:r>
    </w:p>
    <w:p w14:paraId="1FB21E11">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六、勘察项目负责人应当对勘察后期服务工作负责，组织相关勘察人员及时解决工程设计和施工中与勘察工作有关的问题;组织参与施工验槽;组织勘察人员参加工程竣工验收，验收合格后在相关验收文件上签字，对城市轨道交通工程，还应参加单位工程、项目工程验收并在验收文件上签字;组织勘察人员参与相关工程质量安全事故分析，并对因勘察原因造成的质量安全事故，提出与勘察工作有关的技术处理措施。</w:t>
      </w:r>
    </w:p>
    <w:p w14:paraId="4C25B616">
      <w:pPr>
        <w:pStyle w:val="21"/>
        <w:keepNext w:val="0"/>
        <w:keepLines w:val="0"/>
        <w:pageBreakBefore w:val="0"/>
        <w:widowControl w:val="0"/>
        <w:wordWrap/>
        <w:topLinePunct w:val="0"/>
        <w:bidi w:val="0"/>
        <w:adjustRightInd/>
        <w:spacing w:line="360" w:lineRule="auto"/>
        <w:ind w:left="0" w:leftChars="0"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七、勘察项目负责人应当对勘察资料的归档工作负责，组织相关勘察人员将全部资料分类编目，装订成册，归档保存。勘察项目负责人对以上行为承担责任，并不免除勘察单位和其他人员的法定责任。勘察单位应当加强对勘察项目负责人履职情况的检查，发现勘察项目负责人履职不到位的，及时予以纠正，或按照规定程序更换符合条件的勘察项目负责人，由更换后的勘察项目负责人承担项目的全面勘察质量责任。</w:t>
      </w:r>
    </w:p>
    <w:p w14:paraId="2AD231A7">
      <w:pPr>
        <w:pStyle w:val="21"/>
        <w:keepNext w:val="0"/>
        <w:keepLines w:val="0"/>
        <w:pageBreakBefore w:val="0"/>
        <w:widowControl w:val="0"/>
        <w:wordWrap/>
        <w:topLinePunct w:val="0"/>
        <w:bidi w:val="0"/>
        <w:adjustRightInd/>
        <w:spacing w:line="360" w:lineRule="auto"/>
        <w:ind w:left="0" w:leftChars="0" w:firstLine="0" w:firstLineChars="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各级住房城乡建设主管部门应加强对勘察项目负责人履职情况的监管，在检查中发现勘察项目负责人违反上述规定的，记入不良记录，并依照相关法律法规和规章实施行政处罚。</w:t>
      </w:r>
    </w:p>
    <w:p w14:paraId="24484FA6">
      <w:pPr>
        <w:pStyle w:val="21"/>
        <w:keepNext w:val="0"/>
        <w:keepLines w:val="0"/>
        <w:pageBreakBefore w:val="0"/>
        <w:widowControl w:val="0"/>
        <w:wordWrap/>
        <w:topLinePunct w:val="0"/>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A9433C0">
      <w:pPr>
        <w:pStyle w:val="21"/>
        <w:keepNext w:val="0"/>
        <w:keepLines w:val="0"/>
        <w:pageBreakBefore w:val="0"/>
        <w:widowControl w:val="0"/>
        <w:wordWrap/>
        <w:topLinePunct w:val="0"/>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46BC5CF4">
      <w:pPr>
        <w:pStyle w:val="21"/>
        <w:keepNext w:val="0"/>
        <w:keepLines w:val="0"/>
        <w:pageBreakBefore w:val="0"/>
        <w:widowControl w:val="0"/>
        <w:wordWrap/>
        <w:topLinePunct w:val="0"/>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FE40D4F">
      <w:pPr>
        <w:pStyle w:val="21"/>
        <w:keepNext w:val="0"/>
        <w:keepLines w:val="0"/>
        <w:pageBreakBefore w:val="0"/>
        <w:widowControl w:val="0"/>
        <w:wordWrap/>
        <w:topLinePunct w:val="0"/>
        <w:bidi w:val="0"/>
        <w:adjustRightInd/>
        <w:spacing w:line="360" w:lineRule="auto"/>
        <w:ind w:left="0" w:leftChars="0" w:firstLine="0" w:firstLineChars="0"/>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51B5465C">
      <w:pPr>
        <w:pStyle w:val="21"/>
        <w:keepNext w:val="0"/>
        <w:keepLines w:val="0"/>
        <w:pageBreakBefore w:val="0"/>
        <w:widowControl w:val="0"/>
        <w:wordWrap/>
        <w:topLinePunct w:val="0"/>
        <w:bidi w:val="0"/>
        <w:adjustRightInd/>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2B20DAE">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4372156">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31CC749">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3155C4A">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35C4E389">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13C68C63">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E5FB299">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1F3124D5">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0AB58E39">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A9AB530">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44EDA41">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300E77A9">
      <w:pPr>
        <w:pStyle w:val="21"/>
        <w:keepNext w:val="0"/>
        <w:keepLines w:val="0"/>
        <w:pageBreakBefore w:val="0"/>
        <w:widowControl w:val="0"/>
        <w:wordWrap/>
        <w:topLinePunct w:val="0"/>
        <w:bidi w:val="0"/>
        <w:adjustRightInd/>
        <w:spacing w:line="360" w:lineRule="auto"/>
        <w:ind w:left="0" w:leftChars="0" w:firstLine="0" w:firstLineChars="0"/>
        <w:jc w:val="both"/>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64E01681">
      <w:pPr>
        <w:pStyle w:val="21"/>
        <w:keepNext w:val="0"/>
        <w:keepLines w:val="0"/>
        <w:pageBreakBefore w:val="0"/>
        <w:widowControl w:val="0"/>
        <w:wordWrap/>
        <w:topLinePunct w:val="0"/>
        <w:bidi w:val="0"/>
        <w:adjustRightInd/>
        <w:spacing w:line="360" w:lineRule="auto"/>
        <w:ind w:left="0" w:leftChars="0" w:firstLine="0" w:firstLineChars="0"/>
        <w:jc w:val="both"/>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0A27872D">
      <w:pPr>
        <w:pStyle w:val="21"/>
        <w:keepNext w:val="0"/>
        <w:keepLines w:val="0"/>
        <w:pageBreakBefore w:val="0"/>
        <w:widowControl w:val="0"/>
        <w:wordWrap/>
        <w:topLinePunct w:val="0"/>
        <w:bidi w:val="0"/>
        <w:adjustRightInd/>
        <w:spacing w:line="360" w:lineRule="auto"/>
        <w:ind w:left="0" w:leftChars="0" w:firstLine="0" w:firstLineChars="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建筑工程项目总监理工程师质量安全责任六项规定</w:t>
      </w:r>
    </w:p>
    <w:p w14:paraId="05B6CC55">
      <w:pPr>
        <w:pStyle w:val="21"/>
        <w:keepNext w:val="0"/>
        <w:keepLines w:val="0"/>
        <w:pageBreakBefore w:val="0"/>
        <w:widowControl w:val="0"/>
        <w:wordWrap/>
        <w:topLinePunct w:val="0"/>
        <w:bidi w:val="0"/>
        <w:adjustRightInd/>
        <w:spacing w:line="360" w:lineRule="auto"/>
        <w:ind w:firstLine="480" w:firstLineChars="200"/>
        <w:jc w:val="center"/>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(试  行)</w:t>
      </w:r>
    </w:p>
    <w:p w14:paraId="7B04FCD6">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建筑工程项目总监理工程师(以下简称项目总监)是指经工程监理单位法定代表人授权，代表工程监理单位主持建筑工程项目的全面监理工作并对其承担终身责任的人员。建筑工程项目开工前，监理单位法定代表人应当签署授权书，明确项目总监。项目总监应当严格执行以下规定并承担相应责任:</w:t>
      </w:r>
    </w:p>
    <w:p w14:paraId="1F4A312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一、项目监理工作实行项目总监负责制。项目总监应当按规定取得注册执业资格:不得违反规定受聘于两个及以上单位从事执业活动。</w:t>
      </w:r>
    </w:p>
    <w:p w14:paraId="095489C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二、项目总监应当在岗履职。应当组织审查施工单位提交的施工组织设计中的安全技术措施或者专项施工方案，并监督施工单位按已批准的施工组织设计中的安全技术措施或者专项施工方案组织施工;应当组织审查施工单位报审的分包单位资格，督促施工单位落实劳务人员持证上岗制度;发现施工单位存在转包和违法分包的，应当及时向建设单位和有关主管部门报告。</w:t>
      </w:r>
    </w:p>
    <w:p w14:paraId="38BF40B4">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三、工程监理单位应当选派具备相应资格的监理人员进驻项目现场，项目总监应当组织项目监理人员采取旁站、巡视和平行检验等形式实施工程监理，按照规定对施工单位报审的建筑材料、建筑构配件和设备进行检查，不得将不合格的建筑材料、建筑构配件和设备按合格签字。</w:t>
      </w:r>
    </w:p>
    <w:p w14:paraId="2F303680">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四、项目总监发现施工单位未按照设计文件施工、违反工程建设强制性标准施工或者发生质量事故的，应当按照建设工程监理规范规定及时签发工程暂停令。</w:t>
      </w:r>
    </w:p>
    <w:p w14:paraId="2A11D369">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五、在实施监理过程中，发现存在安全事故隐患的，项目总监应当要求施工单位整改;情况严重的，应当要求施工单位暂时停止施工，并及时报告建设单位;施工单位拒不整改或者不停止施工的，项目总监应当及时向有关主管部门报告，主管部门接到项目总监报告后，应当及时处理。</w:t>
      </w:r>
    </w:p>
    <w:p w14:paraId="5AA43C3A">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六、项目总监应当审查施工单位的竣工申请，并参加建设单位组织的工程竣工验收，不得将不合格工程按照合格签认。</w:t>
      </w:r>
    </w:p>
    <w:p w14:paraId="46B7EF63">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项目总监责任的落实不免除工程监理单位和其他监理人员按照法律法规和监理合同应当承担和履行的相应责任。</w:t>
      </w:r>
    </w:p>
    <w:p w14:paraId="6C12DD73">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各级住房城乡建设主管部门应当加强对项目总监履职情况的监督检查，发现存在违反上述规定的，依照相关法律法规和规章实施行政处罚或处理(建筑工程项目总监理工程师质量安全违法违规行为行政处罚规定见附件)。应当建立健全监理企业和项目总监的信用档案，将其违法违规行为及处罚处理结果记入信用档案，并在建筑市场监管与诚信信息发布平台上公布。</w:t>
      </w:r>
    </w:p>
    <w:p w14:paraId="4090538A">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6EA027DD">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10364A92">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53BCB634">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63E0B57F">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9E2AD30">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539A2E9A">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34962678">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1D5FC1E0">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4F5C272">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0245EDE5">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2F12721">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9A9417C">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0585C5D7">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54950944">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52A4C3A3">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10B94E25">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4B2D6C14">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006F85FA">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24E865BE">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p>
    <w:p w14:paraId="3A21BA76">
      <w:pPr>
        <w:pStyle w:val="21"/>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附件</w:t>
      </w:r>
    </w:p>
    <w:p w14:paraId="1D0C1921">
      <w:pPr>
        <w:pStyle w:val="21"/>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建筑工程项目总监理工程师质量安全</w:t>
      </w:r>
    </w:p>
    <w:p w14:paraId="06787768">
      <w:pPr>
        <w:pStyle w:val="21"/>
        <w:keepNext w:val="0"/>
        <w:keepLines w:val="0"/>
        <w:pageBreakBefore w:val="0"/>
        <w:widowControl w:val="0"/>
        <w:kinsoku/>
        <w:wordWrap/>
        <w:overflowPunct/>
        <w:topLinePunct w:val="0"/>
        <w:autoSpaceDE/>
        <w:autoSpaceDN/>
        <w:bidi w:val="0"/>
        <w:adjustRightInd/>
        <w:snapToGrid w:val="0"/>
        <w:spacing w:line="360" w:lineRule="auto"/>
        <w:ind w:firstLine="482" w:firstLineChars="200"/>
        <w:jc w:val="center"/>
        <w:textAlignment w:val="auto"/>
        <w:rPr>
          <w:rFonts w:hint="eastAsia" w:asciiTheme="minorEastAsia" w:hAnsiTheme="minorEastAsia" w:eastAsiaTheme="minorEastAsia" w:cstheme="minorEastAsia"/>
          <w:b/>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kern w:val="0"/>
          <w:sz w:val="24"/>
          <w:szCs w:val="24"/>
          <w:highlight w:val="none"/>
          <w:lang w:val="en-US" w:eastAsia="zh-CN" w:bidi="ar-SA"/>
        </w:rPr>
        <w:t>违法违规行为行政处罚规定</w:t>
      </w:r>
    </w:p>
    <w:p w14:paraId="19608BC1">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一、违反第一项规定的行政处罚</w:t>
      </w:r>
    </w:p>
    <w:p w14:paraId="2260341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未按规定取得注册执业资格的，按照《注册监理工程师管理规定》第二十九条规定对项目总监实施行政处罚。项目总监违反规定受聘于两个及以上单位并执业的，按照《注册监理工程师管理规定》第三十一条规定对项目总监实施行政处罚。</w:t>
      </w:r>
    </w:p>
    <w:p w14:paraId="792A554C">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二、违反第二项规定的行政处罚</w:t>
      </w:r>
    </w:p>
    <w:p w14:paraId="51008391">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未按规定组织审查施工单位提交的施工组织设计中的安全技术措施或者专项施工方案，按照《建设工程安全生产管理条例》第五十七条规定对监理单位实施行政处罚:按照《建设工程安全生产管理条例》第五十八条规定对项目总监实施行政处罚。</w:t>
      </w:r>
    </w:p>
    <w:p w14:paraId="3B8F0A6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三、违反第三项规定的行政处罚</w:t>
      </w:r>
    </w:p>
    <w:p w14:paraId="0BAEC1ED">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未按规定组织项目监理机构人员采取旁站、巡视和平行检验等形式实施监理造成质量事故的，按照《建设工程质量管理条例》第七十二条规定对项目总监实施行政处罚。项目总监将不合格的建筑材料、建筑构配件和设备按合格签字的，按照《建设工程质量管理条例》第六十七条规定对监理单位实施行政处罚;按照《建设工程质量管理条例》第七十三条规定对项目总监实施行政处罚。</w:t>
      </w:r>
    </w:p>
    <w:p w14:paraId="159CC969">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四、违反第四项规定的行政处罚</w:t>
      </w:r>
    </w:p>
    <w:p w14:paraId="398D581D">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项目总监发现施工单位未按照法律法规以及有关技术标准、设计文件和建设工程承包合同施工未要求施工单位整改，造成质量事故的，按照《建设工程质量管理条例》第七十二条规定对项目总监实施行政处罚。</w:t>
      </w:r>
    </w:p>
    <w:p w14:paraId="0EFC6E81">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五、违反第五项规定的行政处罚</w:t>
      </w:r>
    </w:p>
    <w:p w14:paraId="1CC3496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发现存在安全事故隐患，未要求施工单位整改;情况严重的，未要求施工单位暂时停止施工，未及时报告建设单位;施工单位拒不整改或者不停止施工，未及时向有关主管部门报告的，按照《建设工程安全生产管理条例》第五十七条规定对监理单位实施行政处罚;按照《建设工程安全生产管理条例》第五十八条规定对项目总监实施行政处罚。</w:t>
      </w:r>
    </w:p>
    <w:p w14:paraId="6681B7B0">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六、违反第六项规定的行政处罚</w:t>
      </w:r>
    </w:p>
    <w:p w14:paraId="19357B29">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项目总监未按规定审查施工单位的竣工申请，未参加建设单位组织的工程竣工验收的，按照《注册监理工程师管理规定》第三十一条规定对项目总监实施行政处罚。项目总监将不合格工程按照合格签认的，按照《建设工程质量管理条例》第六十七条规定对监理单位实施行政处罚;按照《建设工程质量管理条例》第七十三条规定对项目总监实施行政处罚。</w:t>
      </w:r>
    </w:p>
    <w:p w14:paraId="378A776B">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601D16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34A8295">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1CFBB17A">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53AE0DDE">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03496EC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3AD73DC5">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1A5AE1D6">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0056BE7">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D5A6955">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2CFC1624">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6EB412F5">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3DBF1854">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5F79DF7C">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3FA8879B">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5392B006">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7965299A">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49832D6F">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670E43D6">
      <w:pPr>
        <w:pStyle w:val="21"/>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Theme="minorEastAsia" w:hAnsiTheme="minorEastAsia" w:eastAsiaTheme="minorEastAsia" w:cstheme="minorEastAsia"/>
          <w:color w:val="auto"/>
          <w:kern w:val="0"/>
          <w:sz w:val="24"/>
          <w:szCs w:val="24"/>
          <w:highlight w:val="none"/>
          <w:lang w:val="en-US" w:eastAsia="zh-CN" w:bidi="ar-SA"/>
        </w:rPr>
      </w:pPr>
    </w:p>
    <w:p w14:paraId="3CABA1BF">
      <w:pPr>
        <w:numPr>
          <w:ilvl w:val="0"/>
          <w:numId w:val="2"/>
        </w:numPr>
        <w:jc w:val="center"/>
        <w:outlineLvl w:val="0"/>
        <w:rPr>
          <w:rFonts w:ascii="宋体" w:hAnsi="宋体" w:cs="宋体"/>
          <w:b/>
          <w:bCs/>
          <w:color w:val="auto"/>
          <w:kern w:val="44"/>
          <w:sz w:val="32"/>
          <w:szCs w:val="44"/>
        </w:rPr>
      </w:pPr>
      <w:r>
        <w:rPr>
          <w:rFonts w:hint="eastAsia" w:ascii="宋体" w:hAnsi="宋体" w:cs="宋体"/>
          <w:b/>
          <w:bCs/>
          <w:color w:val="auto"/>
          <w:kern w:val="44"/>
          <w:sz w:val="32"/>
          <w:szCs w:val="44"/>
        </w:rPr>
        <w:t xml:space="preserve"> </w:t>
      </w:r>
      <w:bookmarkStart w:id="66" w:name="_Toc4945"/>
      <w:bookmarkStart w:id="67" w:name="_Toc22220"/>
      <w:bookmarkStart w:id="68" w:name="_Toc20479"/>
      <w:r>
        <w:rPr>
          <w:rFonts w:hint="eastAsia" w:ascii="宋体" w:hAnsi="宋体" w:cs="宋体"/>
          <w:b/>
          <w:bCs/>
          <w:color w:val="auto"/>
          <w:kern w:val="44"/>
          <w:sz w:val="32"/>
          <w:szCs w:val="44"/>
        </w:rPr>
        <w:t>服务内容及要求</w:t>
      </w:r>
      <w:bookmarkEnd w:id="66"/>
      <w:bookmarkEnd w:id="67"/>
      <w:bookmarkEnd w:id="68"/>
    </w:p>
    <w:p w14:paraId="3F0CB1A4">
      <w:pPr>
        <w:numPr>
          <w:ilvl w:val="0"/>
          <w:numId w:val="0"/>
        </w:numPr>
        <w:jc w:val="both"/>
        <w:outlineLvl w:val="0"/>
        <w:rPr>
          <w:rFonts w:ascii="宋体" w:hAnsi="宋体" w:cs="宋体"/>
          <w:b/>
          <w:bCs/>
          <w:color w:val="auto"/>
          <w:kern w:val="44"/>
          <w:sz w:val="32"/>
          <w:szCs w:val="44"/>
        </w:rPr>
      </w:pPr>
    </w:p>
    <w:p w14:paraId="75593B8C">
      <w:pPr>
        <w:widowControl/>
        <w:spacing w:line="500" w:lineRule="exact"/>
        <w:ind w:firstLine="480"/>
        <w:rPr>
          <w:rFonts w:hint="eastAsia" w:ascii="宋体" w:hAnsi="宋体" w:eastAsia="宋体"/>
          <w:color w:val="auto"/>
          <w:kern w:val="0"/>
          <w:sz w:val="24"/>
          <w:highlight w:val="none"/>
          <w:lang w:eastAsia="zh-CN"/>
        </w:rPr>
      </w:pPr>
      <w:bookmarkStart w:id="69" w:name="_Toc32324"/>
      <w:bookmarkStart w:id="70" w:name="_Toc18747"/>
      <w:r>
        <w:rPr>
          <w:rFonts w:hint="eastAsia" w:ascii="宋体" w:hAnsi="宋体" w:eastAsia="宋体"/>
          <w:color w:val="auto"/>
          <w:kern w:val="0"/>
          <w:sz w:val="24"/>
          <w:highlight w:val="none"/>
        </w:rPr>
        <w:t>采购项目名称：</w:t>
      </w:r>
      <w:r>
        <w:rPr>
          <w:rFonts w:hint="eastAsia" w:ascii="宋体" w:hAnsi="宋体"/>
          <w:color w:val="auto"/>
          <w:kern w:val="0"/>
          <w:sz w:val="24"/>
          <w:highlight w:val="none"/>
          <w:lang w:eastAsia="zh-CN"/>
        </w:rPr>
        <w:t>泾阳县县城吉元大街基础设施改造项目监理服务</w:t>
      </w:r>
    </w:p>
    <w:p w14:paraId="6FE0A51E">
      <w:pPr>
        <w:widowControl/>
        <w:spacing w:line="500" w:lineRule="exact"/>
        <w:ind w:firstLine="480"/>
        <w:rPr>
          <w:rFonts w:hint="eastAsia" w:ascii="宋体" w:hAnsi="宋体" w:eastAsia="宋体"/>
          <w:color w:val="auto"/>
          <w:kern w:val="0"/>
          <w:sz w:val="24"/>
          <w:highlight w:val="none"/>
          <w:lang w:eastAsia="zh-CN"/>
        </w:rPr>
      </w:pPr>
      <w:r>
        <w:rPr>
          <w:rFonts w:hint="eastAsia" w:ascii="宋体" w:hAnsi="宋体" w:eastAsia="宋体"/>
          <w:color w:val="auto"/>
          <w:kern w:val="0"/>
          <w:sz w:val="24"/>
          <w:highlight w:val="none"/>
        </w:rPr>
        <w:t>采购单位：</w:t>
      </w:r>
      <w:r>
        <w:rPr>
          <w:rFonts w:hint="eastAsia" w:ascii="宋体" w:hAnsi="宋体"/>
          <w:color w:val="auto"/>
          <w:kern w:val="0"/>
          <w:sz w:val="24"/>
          <w:highlight w:val="none"/>
          <w:lang w:eastAsia="zh-CN"/>
        </w:rPr>
        <w:t>泾阳县住房和城乡建设局</w:t>
      </w:r>
    </w:p>
    <w:p w14:paraId="461AD503">
      <w:pPr>
        <w:widowControl/>
        <w:spacing w:line="500" w:lineRule="exact"/>
        <w:ind w:firstLine="480"/>
        <w:rPr>
          <w:rFonts w:hint="eastAsia" w:ascii="宋体" w:hAnsi="宋体" w:eastAsia="宋体"/>
          <w:color w:val="auto"/>
          <w:kern w:val="0"/>
          <w:sz w:val="24"/>
          <w:highlight w:val="none"/>
        </w:rPr>
      </w:pPr>
      <w:r>
        <w:rPr>
          <w:rFonts w:hint="eastAsia" w:ascii="宋体" w:hAnsi="宋体" w:eastAsia="宋体"/>
          <w:color w:val="auto"/>
          <w:kern w:val="0"/>
          <w:sz w:val="24"/>
          <w:highlight w:val="none"/>
        </w:rPr>
        <w:t>采购预算：</w:t>
      </w:r>
      <w:r>
        <w:rPr>
          <w:rFonts w:hint="eastAsia" w:ascii="宋体" w:hAnsi="宋体"/>
          <w:color w:val="auto"/>
          <w:kern w:val="0"/>
          <w:sz w:val="24"/>
          <w:highlight w:val="none"/>
          <w:lang w:val="en-US" w:eastAsia="zh-CN"/>
        </w:rPr>
        <w:t>17.7</w:t>
      </w:r>
      <w:r>
        <w:rPr>
          <w:rFonts w:hint="eastAsia" w:ascii="宋体" w:hAnsi="宋体" w:eastAsia="宋体"/>
          <w:color w:val="auto"/>
          <w:kern w:val="0"/>
          <w:sz w:val="24"/>
          <w:highlight w:val="none"/>
        </w:rPr>
        <w:t>万元</w:t>
      </w:r>
    </w:p>
    <w:p w14:paraId="08C2B833">
      <w:pPr>
        <w:widowControl/>
        <w:spacing w:line="500" w:lineRule="exact"/>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lang w:val="en-US" w:eastAsia="zh-CN"/>
        </w:rPr>
        <w:t>采购内容：建设内容为：在县城吉元大街（汇奇医院-泾干大街），翻修人行道1.9万平方米，更新路灯68套，施交通标线、安装隔离护栏、交通标志牌、信号灯及监控设施，敷设通信排管等市政基础设施建设</w:t>
      </w:r>
      <w:r>
        <w:rPr>
          <w:rFonts w:hint="eastAsia" w:ascii="宋体" w:hAnsi="宋体" w:cs="Times New Roman"/>
          <w:color w:val="auto"/>
          <w:kern w:val="0"/>
          <w:sz w:val="24"/>
          <w:highlight w:val="none"/>
          <w:lang w:val="en-US" w:eastAsia="zh-CN"/>
        </w:rPr>
        <w:t>（具体以施工图为准）</w:t>
      </w:r>
      <w:r>
        <w:rPr>
          <w:rFonts w:hint="eastAsia" w:ascii="宋体" w:hAnsi="宋体" w:eastAsia="宋体" w:cs="Times New Roman"/>
          <w:color w:val="auto"/>
          <w:kern w:val="0"/>
          <w:sz w:val="24"/>
          <w:highlight w:val="none"/>
          <w:lang w:val="en-US" w:eastAsia="zh-CN"/>
        </w:rPr>
        <w:t>。</w:t>
      </w:r>
    </w:p>
    <w:p w14:paraId="74F4B17A">
      <w:pPr>
        <w:spacing w:line="360" w:lineRule="auto"/>
        <w:jc w:val="center"/>
        <w:outlineLvl w:val="0"/>
        <w:rPr>
          <w:rFonts w:hint="eastAsia" w:ascii="宋体" w:hAnsi="宋体" w:cs="宋体"/>
          <w:b/>
          <w:bCs/>
          <w:kern w:val="0"/>
          <w:sz w:val="32"/>
          <w:szCs w:val="32"/>
        </w:rPr>
      </w:pPr>
    </w:p>
    <w:p w14:paraId="4F806DD7">
      <w:pPr>
        <w:spacing w:line="360" w:lineRule="auto"/>
        <w:jc w:val="center"/>
        <w:outlineLvl w:val="0"/>
        <w:rPr>
          <w:rFonts w:hint="eastAsia" w:ascii="宋体" w:hAnsi="宋体" w:cs="宋体"/>
          <w:b/>
          <w:bCs/>
          <w:kern w:val="0"/>
          <w:sz w:val="32"/>
          <w:szCs w:val="32"/>
        </w:rPr>
      </w:pPr>
    </w:p>
    <w:p w14:paraId="30E35F5B">
      <w:pPr>
        <w:spacing w:line="360" w:lineRule="auto"/>
        <w:jc w:val="center"/>
        <w:outlineLvl w:val="0"/>
        <w:rPr>
          <w:rFonts w:hint="eastAsia" w:ascii="宋体" w:hAnsi="宋体" w:cs="宋体"/>
          <w:b/>
          <w:bCs/>
          <w:kern w:val="0"/>
          <w:sz w:val="32"/>
          <w:szCs w:val="32"/>
        </w:rPr>
      </w:pPr>
    </w:p>
    <w:p w14:paraId="43404739">
      <w:pPr>
        <w:spacing w:line="360" w:lineRule="auto"/>
        <w:jc w:val="center"/>
        <w:outlineLvl w:val="0"/>
        <w:rPr>
          <w:rFonts w:hint="eastAsia" w:ascii="宋体" w:hAnsi="宋体" w:cs="宋体"/>
          <w:b/>
          <w:bCs/>
          <w:kern w:val="0"/>
          <w:sz w:val="32"/>
          <w:szCs w:val="32"/>
        </w:rPr>
      </w:pPr>
    </w:p>
    <w:p w14:paraId="539FBF6F">
      <w:pPr>
        <w:spacing w:line="360" w:lineRule="auto"/>
        <w:jc w:val="center"/>
        <w:outlineLvl w:val="0"/>
        <w:rPr>
          <w:rFonts w:hint="eastAsia" w:ascii="宋体" w:hAnsi="宋体" w:cs="宋体"/>
          <w:b/>
          <w:bCs/>
          <w:kern w:val="0"/>
          <w:sz w:val="32"/>
          <w:szCs w:val="32"/>
        </w:rPr>
      </w:pPr>
    </w:p>
    <w:p w14:paraId="61ABCF4B">
      <w:pPr>
        <w:spacing w:line="360" w:lineRule="auto"/>
        <w:jc w:val="center"/>
        <w:outlineLvl w:val="0"/>
        <w:rPr>
          <w:rFonts w:hint="eastAsia" w:ascii="宋体" w:hAnsi="宋体" w:cs="宋体"/>
          <w:b/>
          <w:bCs/>
          <w:kern w:val="0"/>
          <w:sz w:val="32"/>
          <w:szCs w:val="32"/>
        </w:rPr>
      </w:pPr>
    </w:p>
    <w:p w14:paraId="6E4E2FC3">
      <w:pPr>
        <w:spacing w:line="360" w:lineRule="auto"/>
        <w:jc w:val="center"/>
        <w:outlineLvl w:val="0"/>
        <w:rPr>
          <w:rFonts w:hint="eastAsia" w:ascii="宋体" w:hAnsi="宋体" w:cs="宋体"/>
          <w:b/>
          <w:bCs/>
          <w:kern w:val="0"/>
          <w:sz w:val="32"/>
          <w:szCs w:val="32"/>
        </w:rPr>
      </w:pPr>
    </w:p>
    <w:p w14:paraId="55AD3818">
      <w:pPr>
        <w:spacing w:line="360" w:lineRule="auto"/>
        <w:jc w:val="center"/>
        <w:outlineLvl w:val="0"/>
        <w:rPr>
          <w:rFonts w:hint="eastAsia" w:ascii="宋体" w:hAnsi="宋体" w:cs="宋体"/>
          <w:b/>
          <w:bCs/>
          <w:kern w:val="0"/>
          <w:sz w:val="32"/>
          <w:szCs w:val="32"/>
        </w:rPr>
      </w:pPr>
    </w:p>
    <w:p w14:paraId="44F67B9C">
      <w:pPr>
        <w:spacing w:line="360" w:lineRule="auto"/>
        <w:jc w:val="center"/>
        <w:outlineLvl w:val="0"/>
        <w:rPr>
          <w:rFonts w:hint="eastAsia" w:ascii="宋体" w:hAnsi="宋体" w:cs="宋体"/>
          <w:b/>
          <w:bCs/>
          <w:kern w:val="0"/>
          <w:sz w:val="32"/>
          <w:szCs w:val="32"/>
        </w:rPr>
      </w:pPr>
    </w:p>
    <w:p w14:paraId="305A8911">
      <w:pPr>
        <w:spacing w:line="360" w:lineRule="auto"/>
        <w:jc w:val="center"/>
        <w:outlineLvl w:val="0"/>
        <w:rPr>
          <w:rFonts w:hint="eastAsia" w:ascii="宋体" w:hAnsi="宋体" w:cs="宋体"/>
          <w:b/>
          <w:bCs/>
          <w:kern w:val="0"/>
          <w:sz w:val="32"/>
          <w:szCs w:val="32"/>
        </w:rPr>
      </w:pPr>
    </w:p>
    <w:p w14:paraId="573D6FD3">
      <w:pPr>
        <w:spacing w:line="360" w:lineRule="auto"/>
        <w:jc w:val="center"/>
        <w:outlineLvl w:val="0"/>
        <w:rPr>
          <w:rFonts w:hint="eastAsia" w:ascii="宋体" w:hAnsi="宋体" w:cs="宋体"/>
          <w:b/>
          <w:bCs/>
          <w:kern w:val="0"/>
          <w:sz w:val="32"/>
          <w:szCs w:val="32"/>
        </w:rPr>
      </w:pPr>
    </w:p>
    <w:p w14:paraId="765A27D2">
      <w:pPr>
        <w:spacing w:line="360" w:lineRule="auto"/>
        <w:jc w:val="center"/>
        <w:outlineLvl w:val="0"/>
        <w:rPr>
          <w:rFonts w:hint="eastAsia" w:ascii="宋体" w:hAnsi="宋体" w:cs="宋体"/>
          <w:b/>
          <w:bCs/>
          <w:kern w:val="0"/>
          <w:sz w:val="32"/>
          <w:szCs w:val="32"/>
        </w:rPr>
      </w:pPr>
    </w:p>
    <w:p w14:paraId="3F54E826">
      <w:pPr>
        <w:spacing w:line="360" w:lineRule="auto"/>
        <w:jc w:val="center"/>
        <w:outlineLvl w:val="0"/>
        <w:rPr>
          <w:rFonts w:hint="eastAsia" w:ascii="宋体" w:hAnsi="宋体" w:cs="宋体"/>
          <w:b/>
          <w:bCs/>
          <w:kern w:val="0"/>
          <w:sz w:val="32"/>
          <w:szCs w:val="32"/>
        </w:rPr>
      </w:pPr>
    </w:p>
    <w:p w14:paraId="6BE62332">
      <w:pPr>
        <w:spacing w:line="360" w:lineRule="auto"/>
        <w:jc w:val="center"/>
        <w:outlineLvl w:val="0"/>
        <w:rPr>
          <w:rFonts w:hint="eastAsia" w:ascii="宋体" w:hAnsi="宋体" w:cs="宋体"/>
          <w:b/>
          <w:bCs/>
          <w:kern w:val="0"/>
          <w:sz w:val="32"/>
          <w:szCs w:val="32"/>
        </w:rPr>
      </w:pPr>
    </w:p>
    <w:p w14:paraId="0100AB5E">
      <w:pPr>
        <w:spacing w:line="360" w:lineRule="auto"/>
        <w:jc w:val="center"/>
        <w:outlineLvl w:val="0"/>
        <w:rPr>
          <w:rFonts w:hint="eastAsia" w:ascii="宋体" w:hAnsi="宋体" w:cs="宋体"/>
          <w:b/>
          <w:bCs/>
          <w:kern w:val="0"/>
          <w:sz w:val="32"/>
          <w:szCs w:val="32"/>
        </w:rPr>
      </w:pPr>
    </w:p>
    <w:p w14:paraId="1CE35A89">
      <w:pPr>
        <w:spacing w:line="360" w:lineRule="auto"/>
        <w:jc w:val="center"/>
        <w:outlineLvl w:val="0"/>
        <w:rPr>
          <w:rFonts w:hint="eastAsia" w:ascii="宋体" w:hAnsi="宋体" w:cs="宋体"/>
          <w:b/>
          <w:bCs/>
          <w:kern w:val="0"/>
          <w:sz w:val="32"/>
          <w:szCs w:val="32"/>
        </w:rPr>
      </w:pPr>
    </w:p>
    <w:p w14:paraId="6772E2F9">
      <w:pPr>
        <w:spacing w:line="360" w:lineRule="auto"/>
        <w:jc w:val="center"/>
        <w:outlineLvl w:val="0"/>
        <w:rPr>
          <w:rFonts w:ascii="宋体" w:hAnsi="宋体" w:cs="宋体"/>
          <w:b/>
          <w:bCs/>
          <w:kern w:val="0"/>
          <w:sz w:val="32"/>
          <w:szCs w:val="32"/>
        </w:rPr>
      </w:pPr>
      <w:r>
        <w:rPr>
          <w:rFonts w:hint="eastAsia" w:ascii="宋体" w:hAnsi="宋体" w:cs="宋体"/>
          <w:b/>
          <w:bCs/>
          <w:kern w:val="0"/>
          <w:sz w:val="32"/>
          <w:szCs w:val="32"/>
        </w:rPr>
        <w:t>第五章  竞争性磋商响应文件格式</w:t>
      </w:r>
      <w:bookmarkEnd w:id="69"/>
      <w:bookmarkEnd w:id="70"/>
    </w:p>
    <w:p w14:paraId="5EA1D6B0">
      <w:pPr>
        <w:spacing w:line="480" w:lineRule="exact"/>
        <w:jc w:val="center"/>
        <w:rPr>
          <w:rFonts w:ascii="宋体" w:hAnsi="宋体" w:cs="宋体"/>
          <w:b/>
        </w:rPr>
      </w:pPr>
    </w:p>
    <w:p w14:paraId="3477D0EF">
      <w:pPr>
        <w:spacing w:line="360" w:lineRule="auto"/>
        <w:jc w:val="center"/>
        <w:rPr>
          <w:rFonts w:ascii="宋体" w:hAnsi="宋体" w:cs="宋体"/>
          <w:b/>
          <w:sz w:val="28"/>
          <w:szCs w:val="28"/>
        </w:rPr>
      </w:pPr>
      <w:r>
        <w:rPr>
          <w:rFonts w:hint="eastAsia" w:ascii="宋体" w:hAnsi="宋体" w:cs="宋体"/>
          <w:b/>
          <w:sz w:val="28"/>
          <w:szCs w:val="28"/>
        </w:rPr>
        <w:t>磋商响应文件编制说明</w:t>
      </w:r>
    </w:p>
    <w:p w14:paraId="7B9FF5F1">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1、磋商响应文件应当使用竞争性磋商文件规定的全部格式（表格可以按同样格式扩展）编写，除明确允许供应商可以自行编写的外，供应商不得以“竞争性磋商响应文件格式”规定之外的方式填写相关内容。</w:t>
      </w:r>
    </w:p>
    <w:p w14:paraId="0027FA9F">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2、磋商响应文件的编制应按照样本格式提供的内容，做出逐一明确的答复；供应商认为有必要，还可以做其它补充说明。</w:t>
      </w:r>
      <w:r>
        <w:rPr>
          <w:rFonts w:hint="eastAsia" w:ascii="宋体" w:hAnsi="宋体" w:cs="宋体"/>
          <w:b/>
          <w:sz w:val="28"/>
          <w:szCs w:val="28"/>
          <w:lang w:val="zh-CN"/>
        </w:rPr>
        <w:cr/>
      </w:r>
      <w:r>
        <w:rPr>
          <w:rFonts w:hint="eastAsia" w:ascii="宋体" w:hAnsi="宋体" w:cs="宋体"/>
          <w:b/>
          <w:sz w:val="28"/>
          <w:szCs w:val="28"/>
          <w:lang w:val="zh-CN"/>
        </w:rPr>
        <w:t xml:space="preserve">    </w:t>
      </w:r>
      <w:r>
        <w:rPr>
          <w:rFonts w:hint="eastAsia" w:ascii="宋体" w:hAnsi="宋体" w:cs="宋体"/>
          <w:b/>
          <w:sz w:val="28"/>
          <w:szCs w:val="28"/>
        </w:rPr>
        <w:t xml:space="preserve">  </w:t>
      </w:r>
      <w:r>
        <w:rPr>
          <w:rFonts w:hint="eastAsia" w:ascii="宋体" w:hAnsi="宋体" w:cs="宋体"/>
          <w:b/>
          <w:sz w:val="28"/>
          <w:szCs w:val="28"/>
          <w:lang w:val="zh-CN"/>
        </w:rPr>
        <w:t>3、供应商必须按照竞争性磋商文件的规定和要求签字、盖章、装订。</w:t>
      </w:r>
    </w:p>
    <w:p w14:paraId="469A1ABF">
      <w:pPr>
        <w:spacing w:line="480" w:lineRule="auto"/>
        <w:ind w:firstLine="843" w:firstLineChars="300"/>
        <w:rPr>
          <w:rFonts w:ascii="宋体" w:hAnsi="宋体" w:cs="宋体"/>
          <w:b/>
          <w:sz w:val="28"/>
          <w:szCs w:val="28"/>
          <w:lang w:val="zh-CN"/>
        </w:rPr>
      </w:pPr>
      <w:r>
        <w:rPr>
          <w:rFonts w:hint="eastAsia" w:ascii="宋体" w:hAnsi="宋体" w:cs="宋体"/>
          <w:b/>
          <w:sz w:val="28"/>
          <w:szCs w:val="28"/>
          <w:lang w:val="zh-CN"/>
        </w:rPr>
        <w:t>4、各供应商注意：供应商报价超过最高限价的磋商报价为无效报价。</w:t>
      </w:r>
    </w:p>
    <w:p w14:paraId="468EE57C">
      <w:pPr>
        <w:spacing w:line="360" w:lineRule="auto"/>
        <w:ind w:left="10" w:firstLine="543" w:firstLineChars="193"/>
        <w:rPr>
          <w:rFonts w:ascii="宋体" w:hAnsi="宋体" w:cs="宋体"/>
          <w:b/>
          <w:sz w:val="28"/>
          <w:szCs w:val="28"/>
        </w:rPr>
      </w:pPr>
    </w:p>
    <w:p w14:paraId="294BA91A">
      <w:pPr>
        <w:spacing w:line="360" w:lineRule="auto"/>
        <w:ind w:left="10" w:firstLine="543" w:firstLineChars="193"/>
        <w:rPr>
          <w:rFonts w:ascii="宋体" w:hAnsi="宋体" w:cs="宋体"/>
          <w:b/>
          <w:sz w:val="28"/>
          <w:szCs w:val="28"/>
        </w:rPr>
      </w:pPr>
    </w:p>
    <w:p w14:paraId="48EAD136">
      <w:pPr>
        <w:spacing w:line="360" w:lineRule="auto"/>
        <w:ind w:left="10" w:firstLine="543" w:firstLineChars="193"/>
        <w:rPr>
          <w:rFonts w:ascii="宋体" w:hAnsi="宋体" w:cs="宋体"/>
          <w:b/>
          <w:sz w:val="28"/>
          <w:szCs w:val="28"/>
        </w:rPr>
      </w:pPr>
    </w:p>
    <w:p w14:paraId="22564C43">
      <w:pPr>
        <w:spacing w:line="360" w:lineRule="auto"/>
        <w:ind w:left="10" w:firstLine="543" w:firstLineChars="193"/>
        <w:rPr>
          <w:rFonts w:ascii="宋体" w:hAnsi="宋体" w:cs="宋体"/>
          <w:b/>
          <w:sz w:val="28"/>
          <w:szCs w:val="28"/>
        </w:rPr>
      </w:pPr>
    </w:p>
    <w:p w14:paraId="76635E23">
      <w:pPr>
        <w:spacing w:line="360" w:lineRule="auto"/>
        <w:ind w:left="10" w:firstLine="543" w:firstLineChars="193"/>
        <w:rPr>
          <w:rFonts w:ascii="宋体" w:hAnsi="宋体" w:cs="宋体"/>
          <w:b/>
          <w:sz w:val="28"/>
          <w:szCs w:val="28"/>
        </w:rPr>
      </w:pPr>
    </w:p>
    <w:p w14:paraId="56FEF6B4">
      <w:pPr>
        <w:spacing w:line="360" w:lineRule="auto"/>
        <w:ind w:left="10" w:firstLine="543" w:firstLineChars="193"/>
        <w:rPr>
          <w:rFonts w:ascii="宋体" w:hAnsi="宋体" w:cs="宋体"/>
          <w:b/>
          <w:sz w:val="28"/>
          <w:szCs w:val="28"/>
        </w:rPr>
      </w:pPr>
    </w:p>
    <w:p w14:paraId="54DA5FDB">
      <w:pPr>
        <w:spacing w:line="360" w:lineRule="auto"/>
        <w:ind w:left="10" w:firstLine="543" w:firstLineChars="193"/>
        <w:rPr>
          <w:rFonts w:ascii="宋体" w:hAnsi="宋体" w:cs="宋体"/>
          <w:b/>
          <w:sz w:val="28"/>
          <w:szCs w:val="28"/>
        </w:rPr>
      </w:pPr>
    </w:p>
    <w:p w14:paraId="05891760">
      <w:pPr>
        <w:spacing w:line="360" w:lineRule="auto"/>
        <w:ind w:left="10" w:firstLine="543" w:firstLineChars="193"/>
        <w:rPr>
          <w:rFonts w:ascii="宋体" w:hAnsi="宋体" w:cs="宋体"/>
          <w:b/>
          <w:sz w:val="28"/>
          <w:szCs w:val="28"/>
        </w:rPr>
      </w:pPr>
    </w:p>
    <w:p w14:paraId="433533AC">
      <w:pPr>
        <w:spacing w:line="360" w:lineRule="auto"/>
        <w:ind w:left="10" w:firstLine="543" w:firstLineChars="193"/>
        <w:rPr>
          <w:rFonts w:ascii="宋体" w:hAnsi="宋体" w:cs="宋体"/>
          <w:b/>
          <w:sz w:val="28"/>
          <w:szCs w:val="28"/>
        </w:rPr>
      </w:pPr>
    </w:p>
    <w:p w14:paraId="35133968">
      <w:pPr>
        <w:spacing w:line="360" w:lineRule="auto"/>
        <w:ind w:left="10" w:firstLine="543" w:firstLineChars="193"/>
        <w:rPr>
          <w:rFonts w:ascii="宋体" w:hAnsi="宋体" w:cs="宋体"/>
          <w:b/>
          <w:sz w:val="28"/>
          <w:szCs w:val="28"/>
        </w:rPr>
      </w:pPr>
    </w:p>
    <w:p w14:paraId="76965916">
      <w:pPr>
        <w:spacing w:line="360" w:lineRule="auto"/>
        <w:ind w:left="10" w:firstLine="543" w:firstLineChars="193"/>
        <w:rPr>
          <w:rFonts w:ascii="宋体" w:hAnsi="宋体" w:cs="宋体"/>
          <w:b/>
          <w:sz w:val="28"/>
          <w:szCs w:val="28"/>
        </w:rPr>
      </w:pPr>
    </w:p>
    <w:p w14:paraId="2D398107">
      <w:pPr>
        <w:spacing w:line="360" w:lineRule="auto"/>
        <w:ind w:left="10" w:firstLine="543" w:firstLineChars="193"/>
        <w:rPr>
          <w:rFonts w:ascii="宋体" w:hAnsi="宋体" w:cs="宋体"/>
          <w:b/>
          <w:sz w:val="28"/>
          <w:szCs w:val="28"/>
        </w:rPr>
      </w:pPr>
    </w:p>
    <w:p w14:paraId="63B6515F">
      <w:pPr>
        <w:spacing w:line="360" w:lineRule="auto"/>
        <w:ind w:left="10" w:firstLine="543" w:firstLineChars="193"/>
        <w:rPr>
          <w:rFonts w:ascii="宋体" w:hAnsi="宋体" w:cs="宋体"/>
          <w:b/>
          <w:sz w:val="28"/>
          <w:szCs w:val="28"/>
        </w:rPr>
      </w:pPr>
    </w:p>
    <w:p w14:paraId="7BA6217C">
      <w:pPr>
        <w:spacing w:line="360" w:lineRule="auto"/>
        <w:ind w:left="10" w:firstLine="543" w:firstLineChars="193"/>
        <w:rPr>
          <w:rFonts w:ascii="宋体" w:hAnsi="宋体" w:cs="宋体"/>
          <w:b/>
          <w:sz w:val="28"/>
          <w:szCs w:val="28"/>
        </w:rPr>
      </w:pPr>
    </w:p>
    <w:p w14:paraId="1E53953F">
      <w:pPr>
        <w:autoSpaceDE w:val="0"/>
        <w:autoSpaceDN w:val="0"/>
        <w:adjustRightInd w:val="0"/>
        <w:snapToGrid w:val="0"/>
        <w:spacing w:line="360" w:lineRule="auto"/>
        <w:jc w:val="right"/>
        <w:outlineLvl w:val="0"/>
        <w:rPr>
          <w:rFonts w:ascii="宋体" w:hAnsi="宋体" w:cs="宋体"/>
          <w:b/>
          <w:sz w:val="52"/>
          <w:szCs w:val="52"/>
        </w:rPr>
      </w:pPr>
      <w:bookmarkStart w:id="71" w:name="_Toc19035"/>
      <w:bookmarkStart w:id="72" w:name="_Toc17824"/>
      <w:bookmarkStart w:id="73" w:name="_Toc24244_WPSOffice_Level1"/>
      <w:bookmarkStart w:id="74" w:name="_Toc22229"/>
      <w:bookmarkStart w:id="75" w:name="_Toc685_WPSOffice_Level1"/>
      <w:bookmarkStart w:id="76" w:name="_Toc764_WPSOffice_Level1"/>
      <w:bookmarkStart w:id="77" w:name="_Toc11355_WPSOffice_Level1"/>
      <w:r>
        <w:rPr>
          <w:rFonts w:hint="eastAsia" w:ascii="宋体" w:hAnsi="宋体" w:cs="宋体"/>
          <w:b/>
          <w:bCs/>
          <w:sz w:val="32"/>
          <w:szCs w:val="32"/>
          <w:lang w:val="zh-CN"/>
        </w:rPr>
        <w:t>【正本/副本】</w:t>
      </w:r>
      <w:bookmarkEnd w:id="71"/>
      <w:bookmarkEnd w:id="72"/>
      <w:bookmarkEnd w:id="73"/>
      <w:bookmarkEnd w:id="74"/>
      <w:bookmarkEnd w:id="75"/>
      <w:bookmarkEnd w:id="76"/>
      <w:bookmarkEnd w:id="77"/>
    </w:p>
    <w:p w14:paraId="0E68FB2B">
      <w:pPr>
        <w:spacing w:line="360" w:lineRule="auto"/>
        <w:jc w:val="center"/>
        <w:rPr>
          <w:rFonts w:ascii="宋体" w:hAnsi="宋体" w:cs="宋体"/>
          <w:b/>
          <w:sz w:val="60"/>
          <w:szCs w:val="60"/>
        </w:rPr>
      </w:pPr>
    </w:p>
    <w:p w14:paraId="0DE15446">
      <w:pPr>
        <w:spacing w:before="120" w:beforeLines="50" w:after="240" w:line="1200" w:lineRule="exact"/>
        <w:jc w:val="center"/>
        <w:rPr>
          <w:rFonts w:hint="eastAsia" w:ascii="宋体" w:hAnsi="宋体" w:cs="宋体"/>
          <w:b/>
          <w:sz w:val="48"/>
          <w:szCs w:val="48"/>
          <w:lang w:eastAsia="zh-CN"/>
        </w:rPr>
      </w:pPr>
      <w:r>
        <w:rPr>
          <w:rFonts w:hint="eastAsia" w:ascii="宋体" w:hAnsi="宋体" w:cs="宋体"/>
          <w:b/>
          <w:sz w:val="48"/>
          <w:szCs w:val="48"/>
          <w:lang w:eastAsia="zh-CN"/>
        </w:rPr>
        <w:t>泾阳县县城吉元大街基础设施改造项目</w:t>
      </w:r>
    </w:p>
    <w:p w14:paraId="4723E185">
      <w:pPr>
        <w:spacing w:before="120" w:beforeLines="50" w:after="240" w:line="1200" w:lineRule="exact"/>
        <w:jc w:val="center"/>
        <w:rPr>
          <w:rFonts w:hint="eastAsia" w:ascii="宋体" w:hAnsi="宋体" w:cs="宋体"/>
          <w:b/>
          <w:sz w:val="48"/>
          <w:szCs w:val="48"/>
          <w:lang w:eastAsia="zh-CN"/>
        </w:rPr>
      </w:pPr>
      <w:r>
        <w:rPr>
          <w:rFonts w:hint="eastAsia" w:ascii="宋体" w:hAnsi="宋体" w:cs="宋体"/>
          <w:b/>
          <w:sz w:val="48"/>
          <w:szCs w:val="48"/>
          <w:lang w:eastAsia="zh-CN"/>
        </w:rPr>
        <w:t>监理服务</w:t>
      </w:r>
    </w:p>
    <w:p w14:paraId="762CF734">
      <w:pPr>
        <w:spacing w:before="120" w:beforeLines="50" w:after="240" w:line="1200" w:lineRule="exact"/>
        <w:jc w:val="center"/>
        <w:rPr>
          <w:rFonts w:ascii="宋体" w:hAnsi="宋体" w:cs="宋体"/>
          <w:b/>
          <w:bCs/>
          <w:kern w:val="0"/>
          <w:sz w:val="60"/>
          <w:szCs w:val="60"/>
        </w:rPr>
      </w:pPr>
      <w:r>
        <w:rPr>
          <w:rFonts w:hint="eastAsia" w:ascii="宋体" w:hAnsi="宋体" w:cs="宋体"/>
          <w:b/>
          <w:bCs/>
          <w:kern w:val="0"/>
          <w:sz w:val="60"/>
          <w:szCs w:val="60"/>
        </w:rPr>
        <w:t>竞争性磋商响应文件</w:t>
      </w:r>
    </w:p>
    <w:p w14:paraId="5B1CB2E3">
      <w:pPr>
        <w:spacing w:before="120" w:beforeLines="50"/>
        <w:jc w:val="center"/>
        <w:rPr>
          <w:rFonts w:hint="eastAsia" w:ascii="宋体" w:hAnsi="宋体" w:eastAsia="宋体" w:cs="宋体"/>
          <w:b/>
          <w:bCs/>
          <w:spacing w:val="20"/>
          <w:kern w:val="0"/>
          <w:sz w:val="28"/>
          <w:szCs w:val="28"/>
          <w:lang w:eastAsia="zh-CN"/>
        </w:rPr>
      </w:pPr>
      <w:r>
        <w:rPr>
          <w:rFonts w:hint="eastAsia" w:ascii="宋体" w:hAnsi="宋体" w:cs="宋体"/>
          <w:b/>
          <w:bCs/>
          <w:spacing w:val="20"/>
          <w:kern w:val="0"/>
          <w:sz w:val="28"/>
          <w:szCs w:val="28"/>
        </w:rPr>
        <w:t>项目编号：</w:t>
      </w:r>
      <w:r>
        <w:rPr>
          <w:rFonts w:hint="eastAsia" w:ascii="宋体" w:hAnsi="宋体" w:cs="宋体"/>
          <w:b/>
          <w:bCs/>
          <w:spacing w:val="20"/>
          <w:kern w:val="0"/>
          <w:sz w:val="28"/>
          <w:szCs w:val="28"/>
          <w:lang w:eastAsia="zh-CN"/>
        </w:rPr>
        <w:t>XH-2026-008</w:t>
      </w:r>
    </w:p>
    <w:p w14:paraId="699B6B44">
      <w:pPr>
        <w:pStyle w:val="2"/>
        <w:rPr>
          <w:rFonts w:ascii="宋体" w:hAnsi="宋体" w:cs="宋体"/>
          <w:b/>
          <w:spacing w:val="8"/>
          <w:sz w:val="32"/>
          <w:szCs w:val="32"/>
        </w:rPr>
      </w:pPr>
    </w:p>
    <w:p w14:paraId="4B443B04">
      <w:pPr>
        <w:rPr>
          <w:rFonts w:ascii="宋体" w:hAnsi="宋体" w:cs="宋体"/>
          <w:b/>
          <w:spacing w:val="8"/>
          <w:sz w:val="32"/>
          <w:szCs w:val="32"/>
        </w:rPr>
      </w:pPr>
    </w:p>
    <w:p w14:paraId="145BF37A">
      <w:pPr>
        <w:pStyle w:val="7"/>
        <w:rPr>
          <w:rFonts w:ascii="宋体" w:hAnsi="宋体" w:eastAsia="宋体" w:cs="宋体"/>
        </w:rPr>
      </w:pPr>
    </w:p>
    <w:p w14:paraId="0A58AF50"/>
    <w:p w14:paraId="07F8E036"/>
    <w:p w14:paraId="689EE41B"/>
    <w:p w14:paraId="45D7A15E"/>
    <w:p w14:paraId="214E0E3E">
      <w:pPr>
        <w:pStyle w:val="14"/>
        <w:ind w:left="1470" w:right="1470"/>
        <w:rPr>
          <w:rFonts w:ascii="宋体" w:hAnsi="宋体" w:cs="宋体"/>
        </w:rPr>
      </w:pPr>
    </w:p>
    <w:p w14:paraId="7A1AA2D7">
      <w:pPr>
        <w:pStyle w:val="14"/>
        <w:ind w:left="1470" w:right="1470"/>
        <w:rPr>
          <w:rFonts w:ascii="宋体" w:hAnsi="宋体" w:cs="宋体"/>
        </w:rPr>
      </w:pPr>
    </w:p>
    <w:p w14:paraId="3064918A">
      <w:pPr>
        <w:spacing w:line="600" w:lineRule="auto"/>
        <w:outlineLvl w:val="0"/>
        <w:rPr>
          <w:rFonts w:ascii="宋体" w:hAnsi="宋体" w:cs="宋体"/>
          <w:b/>
          <w:sz w:val="32"/>
        </w:rPr>
      </w:pPr>
      <w:bookmarkStart w:id="78" w:name="_Toc229285986"/>
      <w:bookmarkStart w:id="79" w:name="_Toc222221121"/>
      <w:bookmarkStart w:id="80" w:name="_Toc222205088"/>
      <w:bookmarkStart w:id="81" w:name="_Toc202941485"/>
      <w:bookmarkStart w:id="82" w:name="_Toc231573413"/>
      <w:bookmarkStart w:id="83" w:name="_Toc222143876"/>
      <w:r>
        <w:rPr>
          <w:rFonts w:hint="eastAsia" w:ascii="宋体" w:hAnsi="宋体" w:cs="宋体"/>
          <w:b/>
          <w:sz w:val="32"/>
        </w:rPr>
        <w:t xml:space="preserve">     </w:t>
      </w:r>
      <w:bookmarkStart w:id="84" w:name="_Toc25698"/>
      <w:bookmarkStart w:id="85" w:name="_Toc16091"/>
      <w:bookmarkStart w:id="86" w:name="_Toc25520"/>
      <w:bookmarkStart w:id="87" w:name="_Toc8113"/>
      <w:bookmarkStart w:id="88" w:name="_Toc30213"/>
      <w:bookmarkStart w:id="89" w:name="_Toc31146"/>
      <w:bookmarkStart w:id="90" w:name="_Toc31161"/>
      <w:r>
        <w:rPr>
          <w:rFonts w:hint="eastAsia" w:ascii="宋体" w:hAnsi="宋体" w:cs="宋体"/>
          <w:b/>
          <w:sz w:val="32"/>
        </w:rPr>
        <w:t>供 应 商：</w:t>
      </w:r>
      <w:r>
        <w:rPr>
          <w:rFonts w:hint="eastAsia" w:ascii="宋体" w:hAnsi="宋体" w:cs="宋体"/>
          <w:b/>
          <w:sz w:val="32"/>
          <w:u w:val="single"/>
        </w:rPr>
        <w:t xml:space="preserve">                          </w:t>
      </w:r>
      <w:r>
        <w:rPr>
          <w:rFonts w:hint="eastAsia" w:ascii="宋体" w:hAnsi="宋体" w:cs="宋体"/>
          <w:b/>
          <w:sz w:val="32"/>
        </w:rPr>
        <w:t>（全称并加盖公章）</w:t>
      </w:r>
      <w:bookmarkEnd w:id="84"/>
      <w:bookmarkEnd w:id="85"/>
      <w:bookmarkEnd w:id="86"/>
      <w:bookmarkEnd w:id="87"/>
      <w:bookmarkEnd w:id="88"/>
      <w:bookmarkEnd w:id="89"/>
      <w:bookmarkEnd w:id="90"/>
    </w:p>
    <w:p w14:paraId="2594BA0C">
      <w:pPr>
        <w:spacing w:line="600" w:lineRule="auto"/>
        <w:jc w:val="center"/>
        <w:rPr>
          <w:rFonts w:ascii="宋体" w:hAnsi="宋体" w:cs="宋体"/>
          <w:b/>
          <w:sz w:val="32"/>
        </w:rPr>
      </w:pPr>
      <w:r>
        <w:rPr>
          <w:rFonts w:hint="eastAsia" w:ascii="宋体" w:hAnsi="宋体" w:cs="宋体"/>
          <w:b/>
          <w:sz w:val="32"/>
        </w:rPr>
        <w:t xml:space="preserve">   法定代表人或其委托代理人：</w:t>
      </w:r>
      <w:r>
        <w:rPr>
          <w:rFonts w:hint="eastAsia" w:ascii="宋体" w:hAnsi="宋体" w:cs="宋体"/>
          <w:b/>
          <w:sz w:val="32"/>
          <w:u w:val="single"/>
        </w:rPr>
        <w:t xml:space="preserve">          </w:t>
      </w:r>
      <w:r>
        <w:rPr>
          <w:rFonts w:hint="eastAsia" w:ascii="宋体" w:hAnsi="宋体" w:cs="宋体"/>
          <w:b/>
          <w:sz w:val="32"/>
        </w:rPr>
        <w:t>（签字或盖章）</w:t>
      </w:r>
    </w:p>
    <w:p w14:paraId="618E06DE">
      <w:pPr>
        <w:adjustRightInd w:val="0"/>
        <w:snapToGrid w:val="0"/>
        <w:spacing w:line="600" w:lineRule="auto"/>
        <w:outlineLvl w:val="0"/>
        <w:rPr>
          <w:rFonts w:ascii="宋体" w:hAnsi="宋体" w:cs="宋体"/>
          <w:b/>
          <w:sz w:val="32"/>
        </w:rPr>
      </w:pPr>
      <w:r>
        <w:rPr>
          <w:rFonts w:hint="eastAsia" w:ascii="宋体" w:hAnsi="宋体" w:cs="宋体"/>
          <w:b/>
          <w:sz w:val="32"/>
        </w:rPr>
        <w:t xml:space="preserve">    </w:t>
      </w:r>
      <w:bookmarkStart w:id="91" w:name="_Toc25048"/>
      <w:r>
        <w:rPr>
          <w:rFonts w:hint="eastAsia" w:ascii="宋体" w:hAnsi="宋体" w:cs="宋体"/>
          <w:b/>
          <w:sz w:val="32"/>
        </w:rPr>
        <w:t xml:space="preserve"> </w:t>
      </w:r>
      <w:bookmarkStart w:id="92" w:name="_Toc2756"/>
      <w:bookmarkStart w:id="93" w:name="_Toc21558"/>
      <w:bookmarkStart w:id="94" w:name="_Toc17944"/>
      <w:bookmarkStart w:id="95" w:name="_Toc29103"/>
      <w:bookmarkStart w:id="96" w:name="_Toc5512"/>
      <w:bookmarkStart w:id="97" w:name="_Toc17014"/>
      <w:r>
        <w:rPr>
          <w:rFonts w:hint="eastAsia" w:ascii="宋体" w:hAnsi="宋体" w:cs="宋体"/>
          <w:b/>
          <w:sz w:val="32"/>
        </w:rPr>
        <w:t>时   间：</w:t>
      </w:r>
      <w:r>
        <w:rPr>
          <w:rFonts w:hint="eastAsia" w:ascii="宋体" w:hAnsi="宋体" w:cs="宋体"/>
          <w:b/>
          <w:sz w:val="32"/>
          <w:u w:val="single"/>
        </w:rPr>
        <w:t xml:space="preserve">          </w:t>
      </w:r>
      <w:r>
        <w:rPr>
          <w:rFonts w:hint="eastAsia" w:ascii="宋体" w:hAnsi="宋体" w:cs="宋体"/>
          <w:b/>
          <w:sz w:val="32"/>
        </w:rPr>
        <w:t>年</w:t>
      </w:r>
      <w:r>
        <w:rPr>
          <w:rFonts w:hint="eastAsia" w:ascii="宋体" w:hAnsi="宋体" w:cs="宋体"/>
          <w:b/>
          <w:sz w:val="32"/>
          <w:u w:val="single"/>
        </w:rPr>
        <w:t xml:space="preserve">       </w:t>
      </w:r>
      <w:r>
        <w:rPr>
          <w:rFonts w:hint="eastAsia" w:ascii="宋体" w:hAnsi="宋体" w:cs="宋体"/>
          <w:b/>
          <w:sz w:val="32"/>
        </w:rPr>
        <w:t>月</w:t>
      </w:r>
      <w:r>
        <w:rPr>
          <w:rFonts w:hint="eastAsia" w:ascii="宋体" w:hAnsi="宋体" w:cs="宋体"/>
          <w:b/>
          <w:sz w:val="32"/>
          <w:u w:val="single"/>
        </w:rPr>
        <w:t xml:space="preserve">       </w:t>
      </w:r>
      <w:r>
        <w:rPr>
          <w:rFonts w:hint="eastAsia" w:ascii="宋体" w:hAnsi="宋体" w:cs="宋体"/>
          <w:b/>
          <w:sz w:val="32"/>
        </w:rPr>
        <w:t>日</w:t>
      </w:r>
      <w:bookmarkEnd w:id="91"/>
      <w:bookmarkEnd w:id="92"/>
      <w:bookmarkEnd w:id="93"/>
      <w:bookmarkEnd w:id="94"/>
      <w:bookmarkEnd w:id="95"/>
      <w:bookmarkEnd w:id="96"/>
      <w:bookmarkEnd w:id="97"/>
    </w:p>
    <w:p w14:paraId="68308F63">
      <w:pPr>
        <w:spacing w:line="360" w:lineRule="auto"/>
        <w:jc w:val="center"/>
        <w:rPr>
          <w:rFonts w:ascii="宋体" w:hAnsi="宋体" w:cs="宋体"/>
          <w:b/>
          <w:sz w:val="32"/>
          <w:szCs w:val="32"/>
        </w:rPr>
      </w:pPr>
    </w:p>
    <w:p w14:paraId="168A1EDD">
      <w:pPr>
        <w:spacing w:line="360" w:lineRule="auto"/>
        <w:jc w:val="center"/>
        <w:rPr>
          <w:rFonts w:ascii="宋体" w:hAnsi="宋体" w:cs="宋体"/>
          <w:b/>
          <w:sz w:val="32"/>
          <w:szCs w:val="32"/>
        </w:rPr>
      </w:pPr>
    </w:p>
    <w:bookmarkEnd w:id="26"/>
    <w:bookmarkEnd w:id="28"/>
    <w:bookmarkEnd w:id="29"/>
    <w:bookmarkEnd w:id="78"/>
    <w:bookmarkEnd w:id="79"/>
    <w:bookmarkEnd w:id="80"/>
    <w:bookmarkEnd w:id="81"/>
    <w:bookmarkEnd w:id="82"/>
    <w:bookmarkEnd w:id="83"/>
    <w:p w14:paraId="5F6B6A51">
      <w:pPr>
        <w:autoSpaceDE w:val="0"/>
        <w:autoSpaceDN w:val="0"/>
        <w:adjustRightInd w:val="0"/>
        <w:snapToGrid w:val="0"/>
        <w:spacing w:line="360" w:lineRule="auto"/>
        <w:jc w:val="center"/>
        <w:rPr>
          <w:rFonts w:hint="eastAsia" w:ascii="宋体" w:hAnsi="宋体" w:cs="宋体"/>
          <w:b/>
          <w:bCs/>
          <w:sz w:val="32"/>
          <w:szCs w:val="40"/>
          <w:lang w:val="zh-CN"/>
        </w:rPr>
      </w:pPr>
      <w:bookmarkStart w:id="98" w:name="_Toc245632474"/>
      <w:bookmarkStart w:id="99" w:name="_Toc210035254"/>
      <w:bookmarkStart w:id="100" w:name="_Toc324413755"/>
      <w:bookmarkStart w:id="101" w:name="_Toc230070104"/>
      <w:bookmarkStart w:id="102" w:name="_Toc286591006"/>
    </w:p>
    <w:p w14:paraId="1C047897">
      <w:pPr>
        <w:autoSpaceDE w:val="0"/>
        <w:autoSpaceDN w:val="0"/>
        <w:adjustRightInd w:val="0"/>
        <w:snapToGrid w:val="0"/>
        <w:spacing w:line="360" w:lineRule="auto"/>
        <w:jc w:val="center"/>
        <w:rPr>
          <w:rFonts w:ascii="宋体" w:hAnsi="宋体" w:cs="宋体"/>
          <w:b/>
          <w:bCs/>
          <w:sz w:val="32"/>
          <w:szCs w:val="40"/>
        </w:rPr>
      </w:pPr>
      <w:r>
        <w:rPr>
          <w:rFonts w:hint="eastAsia" w:ascii="宋体" w:hAnsi="宋体" w:cs="宋体"/>
          <w:b/>
          <w:bCs/>
          <w:sz w:val="32"/>
          <w:szCs w:val="40"/>
          <w:lang w:val="zh-CN"/>
        </w:rPr>
        <w:t>目</w:t>
      </w:r>
      <w:r>
        <w:rPr>
          <w:rFonts w:hint="eastAsia" w:ascii="宋体" w:hAnsi="宋体" w:cs="宋体"/>
          <w:b/>
          <w:bCs/>
          <w:sz w:val="32"/>
          <w:szCs w:val="40"/>
        </w:rPr>
        <w:t xml:space="preserve">      </w:t>
      </w:r>
      <w:r>
        <w:rPr>
          <w:rFonts w:hint="eastAsia" w:ascii="宋体" w:hAnsi="宋体" w:cs="宋体"/>
          <w:b/>
          <w:bCs/>
          <w:sz w:val="32"/>
          <w:szCs w:val="40"/>
          <w:lang w:val="zh-CN"/>
        </w:rPr>
        <w:t>录</w:t>
      </w:r>
    </w:p>
    <w:p w14:paraId="3C7B83F8">
      <w:pPr>
        <w:autoSpaceDE w:val="0"/>
        <w:autoSpaceDN w:val="0"/>
        <w:adjustRightInd w:val="0"/>
        <w:snapToGrid w:val="0"/>
        <w:spacing w:line="600" w:lineRule="auto"/>
        <w:ind w:firstLine="118" w:firstLineChars="49"/>
        <w:outlineLvl w:val="0"/>
        <w:rPr>
          <w:rFonts w:ascii="宋体" w:hAnsi="宋体" w:cs="宋体"/>
          <w:b/>
          <w:bCs/>
          <w:sz w:val="24"/>
          <w:szCs w:val="32"/>
          <w:lang w:val="zh-CN"/>
        </w:rPr>
      </w:pPr>
      <w:bookmarkStart w:id="103" w:name="_Toc14575_WPSOffice_Level1"/>
      <w:bookmarkStart w:id="104" w:name="_Toc28195"/>
      <w:bookmarkStart w:id="105" w:name="_Toc119_WPSOffice_Level1"/>
      <w:bookmarkStart w:id="106" w:name="_Toc23879"/>
      <w:bookmarkStart w:id="107" w:name="_Toc9270"/>
      <w:bookmarkStart w:id="108" w:name="_Toc28516"/>
      <w:bookmarkStart w:id="109" w:name="_Toc10425_WPSOffice_Level1"/>
      <w:bookmarkStart w:id="110" w:name="_Toc30070"/>
      <w:r>
        <w:rPr>
          <w:rFonts w:hint="eastAsia" w:ascii="宋体" w:hAnsi="宋体" w:cs="宋体"/>
          <w:b/>
          <w:bCs/>
          <w:sz w:val="24"/>
          <w:szCs w:val="32"/>
          <w:lang w:val="zh-CN"/>
        </w:rPr>
        <w:t>第一部分</w:t>
      </w:r>
      <w:r>
        <w:rPr>
          <w:rFonts w:hint="eastAsia" w:ascii="宋体" w:hAnsi="宋体" w:cs="宋体"/>
          <w:b/>
          <w:bCs/>
          <w:sz w:val="24"/>
          <w:szCs w:val="32"/>
        </w:rPr>
        <w:t xml:space="preserve">  </w:t>
      </w:r>
      <w:r>
        <w:rPr>
          <w:rFonts w:hint="eastAsia" w:ascii="宋体" w:hAnsi="宋体" w:cs="宋体"/>
          <w:b/>
          <w:bCs/>
          <w:sz w:val="24"/>
          <w:szCs w:val="32"/>
          <w:lang w:val="zh-CN"/>
        </w:rPr>
        <w:t>磋商响应函</w:t>
      </w:r>
      <w:bookmarkEnd w:id="103"/>
      <w:bookmarkEnd w:id="104"/>
      <w:bookmarkEnd w:id="105"/>
      <w:bookmarkEnd w:id="106"/>
      <w:bookmarkEnd w:id="107"/>
      <w:bookmarkEnd w:id="108"/>
      <w:bookmarkEnd w:id="109"/>
      <w:bookmarkEnd w:id="110"/>
    </w:p>
    <w:p w14:paraId="58CC9454">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rPr>
      </w:pPr>
      <w:bookmarkStart w:id="111" w:name="_Toc28676"/>
      <w:bookmarkStart w:id="112" w:name="_Toc17695"/>
      <w:bookmarkStart w:id="113" w:name="_Toc10595"/>
      <w:bookmarkStart w:id="114" w:name="_Toc5452"/>
      <w:bookmarkStart w:id="115" w:name="_Toc15906"/>
      <w:r>
        <w:rPr>
          <w:rFonts w:hint="eastAsia" w:ascii="宋体" w:hAnsi="宋体" w:cs="宋体"/>
          <w:b/>
          <w:bCs/>
          <w:sz w:val="24"/>
          <w:szCs w:val="32"/>
          <w:lang w:val="zh-CN"/>
        </w:rPr>
        <w:t>第二部分</w:t>
      </w:r>
      <w:r>
        <w:rPr>
          <w:rFonts w:hint="eastAsia" w:ascii="宋体" w:hAnsi="宋体" w:cs="宋体"/>
          <w:b/>
          <w:bCs/>
          <w:sz w:val="24"/>
          <w:szCs w:val="32"/>
        </w:rPr>
        <w:t xml:space="preserve">  法定代表人身份证明书及法定代表人授权书</w:t>
      </w:r>
      <w:bookmarkEnd w:id="111"/>
    </w:p>
    <w:p w14:paraId="2F882EE8">
      <w:pPr>
        <w:autoSpaceDE w:val="0"/>
        <w:autoSpaceDN w:val="0"/>
        <w:adjustRightInd w:val="0"/>
        <w:snapToGrid w:val="0"/>
        <w:spacing w:line="600" w:lineRule="auto"/>
        <w:ind w:left="2081" w:leftChars="50" w:hanging="1976" w:hangingChars="820"/>
        <w:jc w:val="left"/>
        <w:outlineLvl w:val="0"/>
        <w:rPr>
          <w:rFonts w:ascii="宋体" w:hAnsi="宋体" w:cs="宋体"/>
          <w:b/>
          <w:bCs/>
          <w:sz w:val="24"/>
          <w:szCs w:val="32"/>
          <w:lang w:val="zh-CN"/>
        </w:rPr>
      </w:pPr>
      <w:bookmarkStart w:id="116" w:name="_Toc28702"/>
      <w:r>
        <w:rPr>
          <w:rFonts w:hint="eastAsia" w:ascii="宋体" w:hAnsi="宋体" w:cs="宋体"/>
          <w:b/>
          <w:bCs/>
          <w:sz w:val="24"/>
          <w:szCs w:val="32"/>
          <w:lang w:val="zh-CN"/>
        </w:rPr>
        <w:t>第三部分</w:t>
      </w:r>
      <w:r>
        <w:rPr>
          <w:rFonts w:hint="eastAsia" w:ascii="宋体" w:hAnsi="宋体" w:cs="宋体"/>
          <w:b/>
          <w:bCs/>
          <w:sz w:val="24"/>
          <w:szCs w:val="32"/>
        </w:rPr>
        <w:t xml:space="preserve">  </w:t>
      </w:r>
      <w:r>
        <w:rPr>
          <w:rFonts w:hint="eastAsia" w:ascii="宋体" w:hAnsi="宋体" w:cs="宋体"/>
          <w:b/>
          <w:bCs/>
          <w:sz w:val="24"/>
          <w:szCs w:val="32"/>
          <w:lang w:val="zh-CN"/>
        </w:rPr>
        <w:t>首次磋商报价表</w:t>
      </w:r>
      <w:bookmarkEnd w:id="112"/>
      <w:bookmarkEnd w:id="113"/>
      <w:bookmarkEnd w:id="114"/>
      <w:bookmarkEnd w:id="115"/>
      <w:bookmarkEnd w:id="116"/>
    </w:p>
    <w:p w14:paraId="1ACAFF0F">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17" w:name="_Toc23469"/>
      <w:bookmarkStart w:id="118" w:name="_Toc4472"/>
      <w:bookmarkStart w:id="119" w:name="_Toc10873"/>
      <w:bookmarkStart w:id="120" w:name="_Toc14738"/>
      <w:bookmarkStart w:id="121" w:name="_Toc373"/>
      <w:r>
        <w:rPr>
          <w:rFonts w:hint="eastAsia" w:ascii="宋体" w:hAnsi="宋体" w:cs="宋体"/>
          <w:b/>
          <w:bCs/>
          <w:sz w:val="24"/>
          <w:szCs w:val="32"/>
          <w:lang w:val="zh-CN"/>
        </w:rPr>
        <w:t>第四部分</w:t>
      </w:r>
      <w:r>
        <w:rPr>
          <w:rFonts w:hint="eastAsia" w:ascii="宋体" w:hAnsi="宋体" w:cs="宋体"/>
          <w:b/>
          <w:bCs/>
          <w:sz w:val="24"/>
          <w:szCs w:val="32"/>
        </w:rPr>
        <w:t xml:space="preserve">  </w:t>
      </w:r>
      <w:r>
        <w:rPr>
          <w:rFonts w:hint="eastAsia" w:ascii="宋体" w:hAnsi="宋体" w:cs="宋体"/>
          <w:b/>
          <w:bCs/>
          <w:sz w:val="24"/>
          <w:szCs w:val="32"/>
          <w:lang w:val="zh-CN"/>
        </w:rPr>
        <w:t>分项报价表</w:t>
      </w:r>
      <w:bookmarkEnd w:id="117"/>
      <w:bookmarkEnd w:id="118"/>
      <w:bookmarkEnd w:id="119"/>
      <w:bookmarkEnd w:id="120"/>
      <w:bookmarkEnd w:id="121"/>
    </w:p>
    <w:p w14:paraId="3623170D">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122" w:name="_Toc31736"/>
      <w:bookmarkStart w:id="123" w:name="_Toc13743"/>
      <w:bookmarkStart w:id="124" w:name="_Toc32270"/>
      <w:bookmarkStart w:id="125" w:name="_Toc17262"/>
      <w:bookmarkStart w:id="126" w:name="_Toc1846"/>
      <w:r>
        <w:rPr>
          <w:rFonts w:hint="eastAsia" w:ascii="宋体" w:hAnsi="宋体" w:cs="宋体"/>
          <w:b/>
          <w:bCs/>
          <w:sz w:val="24"/>
          <w:szCs w:val="32"/>
          <w:lang w:val="zh-CN"/>
        </w:rPr>
        <w:t>第五部分</w:t>
      </w:r>
      <w:r>
        <w:rPr>
          <w:rFonts w:hint="eastAsia" w:ascii="宋体" w:hAnsi="宋体" w:cs="宋体"/>
          <w:b/>
          <w:bCs/>
          <w:sz w:val="24"/>
          <w:szCs w:val="32"/>
        </w:rPr>
        <w:t xml:space="preserve">  服务内容及要求响应偏离表</w:t>
      </w:r>
      <w:bookmarkEnd w:id="122"/>
      <w:bookmarkEnd w:id="123"/>
      <w:bookmarkEnd w:id="124"/>
    </w:p>
    <w:p w14:paraId="020CE140">
      <w:pPr>
        <w:autoSpaceDE w:val="0"/>
        <w:autoSpaceDN w:val="0"/>
        <w:adjustRightInd w:val="0"/>
        <w:snapToGrid w:val="0"/>
        <w:spacing w:line="600" w:lineRule="auto"/>
        <w:ind w:left="2081" w:leftChars="50" w:hanging="1976" w:hangingChars="820"/>
        <w:outlineLvl w:val="0"/>
        <w:rPr>
          <w:rFonts w:ascii="宋体" w:hAnsi="宋体" w:cs="宋体"/>
          <w:b/>
          <w:bCs/>
          <w:sz w:val="24"/>
          <w:szCs w:val="32"/>
        </w:rPr>
      </w:pPr>
      <w:bookmarkStart w:id="127" w:name="_Toc18610"/>
      <w:bookmarkStart w:id="128" w:name="_Toc12059"/>
      <w:bookmarkStart w:id="129" w:name="_Toc25951"/>
      <w:r>
        <w:rPr>
          <w:rFonts w:hint="eastAsia" w:ascii="宋体" w:hAnsi="宋体" w:cs="宋体"/>
          <w:b/>
          <w:bCs/>
          <w:sz w:val="24"/>
          <w:szCs w:val="32"/>
          <w:lang w:val="zh-CN"/>
        </w:rPr>
        <w:t>第六部分</w:t>
      </w:r>
      <w:r>
        <w:rPr>
          <w:rFonts w:hint="eastAsia" w:ascii="宋体" w:hAnsi="宋体" w:cs="宋体"/>
          <w:b/>
          <w:bCs/>
          <w:sz w:val="24"/>
          <w:szCs w:val="32"/>
        </w:rPr>
        <w:t xml:space="preserve">  合同条款响应偏离表</w:t>
      </w:r>
      <w:bookmarkEnd w:id="127"/>
      <w:bookmarkEnd w:id="128"/>
    </w:p>
    <w:p w14:paraId="7D633964">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30" w:name="_Toc1861"/>
      <w:bookmarkStart w:id="131" w:name="_Toc18326"/>
      <w:r>
        <w:rPr>
          <w:rFonts w:hint="eastAsia" w:ascii="宋体" w:hAnsi="宋体" w:cs="宋体"/>
          <w:b/>
          <w:bCs/>
          <w:sz w:val="24"/>
          <w:szCs w:val="32"/>
          <w:lang w:val="zh-CN"/>
        </w:rPr>
        <w:t>第七部分</w:t>
      </w:r>
      <w:r>
        <w:rPr>
          <w:rFonts w:hint="eastAsia" w:ascii="宋体" w:hAnsi="宋体" w:cs="宋体"/>
          <w:b/>
          <w:bCs/>
          <w:sz w:val="24"/>
          <w:szCs w:val="32"/>
        </w:rPr>
        <w:t xml:space="preserve">  </w:t>
      </w:r>
      <w:r>
        <w:rPr>
          <w:rFonts w:hint="eastAsia" w:ascii="宋体" w:hAnsi="宋体" w:cs="宋体"/>
          <w:b/>
          <w:bCs/>
          <w:sz w:val="24"/>
          <w:szCs w:val="32"/>
          <w:lang w:val="zh-CN"/>
        </w:rPr>
        <w:t>磋商响应方案</w:t>
      </w:r>
      <w:bookmarkEnd w:id="125"/>
      <w:bookmarkEnd w:id="126"/>
      <w:bookmarkEnd w:id="129"/>
      <w:bookmarkEnd w:id="130"/>
      <w:bookmarkEnd w:id="131"/>
    </w:p>
    <w:p w14:paraId="3B320C37">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32" w:name="_Toc24238"/>
      <w:bookmarkStart w:id="133" w:name="_Toc4268"/>
      <w:bookmarkStart w:id="134" w:name="_Toc27429"/>
      <w:bookmarkStart w:id="135" w:name="_Toc24657"/>
      <w:bookmarkStart w:id="136" w:name="_Toc30243_WPSOffice_Level1"/>
      <w:r>
        <w:rPr>
          <w:rFonts w:hint="eastAsia" w:ascii="宋体" w:hAnsi="宋体" w:cs="宋体"/>
          <w:b/>
          <w:bCs/>
          <w:sz w:val="24"/>
          <w:szCs w:val="32"/>
          <w:lang w:val="zh-CN"/>
        </w:rPr>
        <w:t>第八部分</w:t>
      </w:r>
      <w:r>
        <w:rPr>
          <w:rFonts w:hint="eastAsia" w:ascii="宋体" w:hAnsi="宋体" w:cs="宋体"/>
          <w:b/>
          <w:bCs/>
          <w:sz w:val="24"/>
          <w:szCs w:val="32"/>
        </w:rPr>
        <w:t xml:space="preserve">  </w:t>
      </w:r>
      <w:r>
        <w:rPr>
          <w:rFonts w:hint="eastAsia" w:ascii="宋体" w:hAnsi="宋体" w:cs="宋体"/>
          <w:b/>
          <w:bCs/>
          <w:sz w:val="24"/>
          <w:szCs w:val="32"/>
          <w:lang w:val="zh-CN"/>
        </w:rPr>
        <w:t>资格证明文件</w:t>
      </w:r>
      <w:bookmarkEnd w:id="132"/>
      <w:bookmarkEnd w:id="133"/>
      <w:bookmarkEnd w:id="134"/>
      <w:bookmarkEnd w:id="135"/>
    </w:p>
    <w:bookmarkEnd w:id="136"/>
    <w:p w14:paraId="79230E6B">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37" w:name="_Toc7636"/>
      <w:bookmarkStart w:id="138" w:name="_Toc24899"/>
      <w:bookmarkStart w:id="139" w:name="_Toc1528"/>
      <w:bookmarkStart w:id="140" w:name="_Toc3450"/>
      <w:r>
        <w:rPr>
          <w:rFonts w:hint="eastAsia" w:ascii="宋体" w:hAnsi="宋体" w:cs="宋体"/>
          <w:b/>
          <w:bCs/>
          <w:sz w:val="24"/>
          <w:szCs w:val="32"/>
          <w:lang w:val="zh-CN"/>
        </w:rPr>
        <w:t>第九部分</w:t>
      </w:r>
      <w:r>
        <w:rPr>
          <w:rFonts w:hint="eastAsia" w:ascii="宋体" w:hAnsi="宋体" w:cs="宋体"/>
          <w:b/>
          <w:bCs/>
          <w:sz w:val="24"/>
          <w:szCs w:val="32"/>
        </w:rPr>
        <w:t xml:space="preserve">  </w:t>
      </w:r>
      <w:r>
        <w:rPr>
          <w:rFonts w:hint="eastAsia" w:ascii="宋体" w:hAnsi="宋体" w:cs="宋体"/>
          <w:b/>
          <w:bCs/>
          <w:sz w:val="24"/>
          <w:szCs w:val="32"/>
          <w:lang w:val="zh-CN"/>
        </w:rPr>
        <w:t>供应商承诺函</w:t>
      </w:r>
      <w:bookmarkEnd w:id="137"/>
      <w:bookmarkEnd w:id="138"/>
      <w:bookmarkEnd w:id="139"/>
      <w:bookmarkEnd w:id="140"/>
    </w:p>
    <w:p w14:paraId="77E57CDB">
      <w:pPr>
        <w:autoSpaceDE w:val="0"/>
        <w:autoSpaceDN w:val="0"/>
        <w:adjustRightInd w:val="0"/>
        <w:snapToGrid w:val="0"/>
        <w:spacing w:line="600" w:lineRule="auto"/>
        <w:ind w:left="2081" w:leftChars="50" w:hanging="1976" w:hangingChars="820"/>
        <w:outlineLvl w:val="0"/>
        <w:rPr>
          <w:rFonts w:ascii="宋体" w:hAnsi="宋体" w:cs="宋体"/>
          <w:b/>
          <w:bCs/>
          <w:sz w:val="24"/>
          <w:szCs w:val="32"/>
          <w:lang w:val="zh-CN"/>
        </w:rPr>
      </w:pPr>
      <w:bookmarkStart w:id="141" w:name="_Toc17743"/>
      <w:bookmarkStart w:id="142" w:name="_Toc9164"/>
      <w:bookmarkStart w:id="143" w:name="_Toc23535"/>
      <w:bookmarkStart w:id="144" w:name="_Toc13451"/>
      <w:r>
        <w:rPr>
          <w:rFonts w:hint="eastAsia" w:ascii="宋体" w:hAnsi="宋体" w:cs="宋体"/>
          <w:b/>
          <w:bCs/>
          <w:sz w:val="24"/>
          <w:szCs w:val="32"/>
          <w:lang w:val="zh-CN"/>
        </w:rPr>
        <w:t>第十部分</w:t>
      </w:r>
      <w:r>
        <w:rPr>
          <w:rFonts w:hint="eastAsia" w:ascii="宋体" w:hAnsi="宋体" w:cs="宋体"/>
          <w:b/>
          <w:bCs/>
          <w:sz w:val="24"/>
          <w:szCs w:val="32"/>
        </w:rPr>
        <w:t xml:space="preserve"> </w:t>
      </w:r>
      <w:bookmarkEnd w:id="141"/>
      <w:r>
        <w:rPr>
          <w:rFonts w:hint="eastAsia" w:ascii="宋体" w:hAnsi="宋体" w:cs="宋体"/>
          <w:b/>
          <w:bCs/>
          <w:sz w:val="24"/>
          <w:szCs w:val="32"/>
        </w:rPr>
        <w:t xml:space="preserve"> 供应商认为有必要补充说明的事项</w:t>
      </w:r>
      <w:bookmarkEnd w:id="142"/>
      <w:bookmarkEnd w:id="143"/>
      <w:bookmarkEnd w:id="144"/>
    </w:p>
    <w:p w14:paraId="3D4885D4">
      <w:pPr>
        <w:autoSpaceDE w:val="0"/>
        <w:autoSpaceDN w:val="0"/>
        <w:adjustRightInd w:val="0"/>
        <w:snapToGrid w:val="0"/>
        <w:spacing w:line="600" w:lineRule="auto"/>
        <w:ind w:left="2081" w:leftChars="50" w:hanging="1976" w:hangingChars="820"/>
        <w:rPr>
          <w:rFonts w:ascii="宋体" w:hAnsi="宋体" w:cs="宋体"/>
          <w:b/>
          <w:bCs/>
          <w:lang w:val="zh-CN"/>
        </w:rPr>
      </w:pPr>
      <w:bookmarkStart w:id="145" w:name="_Toc30871"/>
      <w:bookmarkStart w:id="146" w:name="_Toc2368"/>
      <w:bookmarkStart w:id="147" w:name="_Toc27864"/>
      <w:bookmarkStart w:id="148" w:name="_Toc15329"/>
      <w:r>
        <w:rPr>
          <w:rFonts w:hint="eastAsia" w:ascii="宋体" w:hAnsi="宋体" w:cs="宋体"/>
          <w:b/>
          <w:bCs/>
          <w:sz w:val="24"/>
          <w:szCs w:val="32"/>
          <w:lang w:val="zh-CN"/>
        </w:rPr>
        <w:t>第十一部分</w:t>
      </w:r>
      <w:r>
        <w:rPr>
          <w:rFonts w:hint="eastAsia" w:ascii="宋体" w:hAnsi="宋体" w:cs="宋体"/>
          <w:b/>
          <w:bCs/>
          <w:sz w:val="24"/>
          <w:szCs w:val="32"/>
        </w:rPr>
        <w:t xml:space="preserve"> </w:t>
      </w:r>
      <w:r>
        <w:rPr>
          <w:rFonts w:hint="eastAsia" w:ascii="宋体" w:hAnsi="宋体" w:cs="宋体"/>
          <w:b/>
          <w:bCs/>
          <w:sz w:val="24"/>
          <w:szCs w:val="32"/>
          <w:lang w:val="zh-CN"/>
        </w:rPr>
        <w:t>政府采购需落实的政策</w:t>
      </w:r>
      <w:bookmarkEnd w:id="145"/>
      <w:bookmarkEnd w:id="146"/>
      <w:bookmarkEnd w:id="147"/>
      <w:bookmarkEnd w:id="148"/>
    </w:p>
    <w:p w14:paraId="0DC1C0AC">
      <w:pPr>
        <w:rPr>
          <w:rFonts w:ascii="宋体" w:hAnsi="宋体" w:cs="宋体"/>
        </w:rPr>
      </w:pPr>
    </w:p>
    <w:p w14:paraId="060F0DDF">
      <w:pPr>
        <w:jc w:val="center"/>
        <w:outlineLvl w:val="0"/>
        <w:rPr>
          <w:rFonts w:ascii="宋体" w:hAnsi="宋体" w:cs="宋体"/>
          <w:b/>
          <w:bCs/>
          <w:sz w:val="32"/>
          <w:szCs w:val="32"/>
        </w:rPr>
      </w:pPr>
      <w:r>
        <w:rPr>
          <w:rFonts w:hint="eastAsia" w:ascii="宋体" w:hAnsi="宋体" w:cs="宋体"/>
          <w:sz w:val="30"/>
          <w:szCs w:val="30"/>
        </w:rPr>
        <w:t xml:space="preserve"> </w:t>
      </w:r>
      <w:r>
        <w:rPr>
          <w:rFonts w:hint="eastAsia" w:ascii="宋体" w:hAnsi="宋体" w:cs="宋体"/>
          <w:sz w:val="30"/>
          <w:szCs w:val="30"/>
        </w:rPr>
        <w:br w:type="page"/>
      </w:r>
      <w:bookmarkEnd w:id="98"/>
      <w:bookmarkEnd w:id="99"/>
      <w:bookmarkEnd w:id="100"/>
      <w:bookmarkEnd w:id="101"/>
      <w:bookmarkEnd w:id="102"/>
      <w:bookmarkStart w:id="149" w:name="_Toc1641"/>
      <w:bookmarkStart w:id="150" w:name="_Toc8766"/>
      <w:bookmarkStart w:id="151" w:name="_Toc586_WPSOffice_Level1"/>
      <w:bookmarkStart w:id="152" w:name="_Toc12155_WPSOffice_Level1"/>
      <w:bookmarkStart w:id="153" w:name="_Toc22771"/>
      <w:bookmarkStart w:id="154" w:name="_Toc20837"/>
      <w:bookmarkStart w:id="155" w:name="_Toc1689_WPSOffice_Level1"/>
      <w:bookmarkStart w:id="156" w:name="_Toc4004"/>
      <w:r>
        <w:rPr>
          <w:rFonts w:hint="eastAsia" w:ascii="宋体" w:hAnsi="宋体" w:cs="宋体"/>
          <w:b/>
          <w:sz w:val="32"/>
          <w:szCs w:val="32"/>
        </w:rPr>
        <w:t xml:space="preserve">第一部分 </w:t>
      </w:r>
      <w:r>
        <w:rPr>
          <w:rFonts w:hint="eastAsia" w:ascii="宋体" w:hAnsi="宋体" w:cs="宋体"/>
          <w:b/>
          <w:bCs/>
          <w:sz w:val="32"/>
          <w:szCs w:val="32"/>
        </w:rPr>
        <w:t>磋商响应函</w:t>
      </w:r>
      <w:bookmarkEnd w:id="149"/>
      <w:bookmarkEnd w:id="150"/>
      <w:bookmarkEnd w:id="151"/>
      <w:bookmarkEnd w:id="152"/>
      <w:bookmarkEnd w:id="153"/>
      <w:bookmarkEnd w:id="154"/>
      <w:bookmarkEnd w:id="155"/>
      <w:bookmarkEnd w:id="156"/>
    </w:p>
    <w:p w14:paraId="14F58F41">
      <w:pPr>
        <w:pStyle w:val="35"/>
        <w:spacing w:line="360" w:lineRule="auto"/>
        <w:rPr>
          <w:rFonts w:hAnsi="宋体" w:cs="宋体"/>
          <w:sz w:val="24"/>
          <w:szCs w:val="24"/>
        </w:rPr>
      </w:pPr>
      <w:r>
        <w:rPr>
          <w:rFonts w:hint="eastAsia" w:hAnsi="宋体" w:cs="宋体"/>
          <w:sz w:val="24"/>
          <w:szCs w:val="24"/>
          <w:u w:val="single"/>
        </w:rPr>
        <w:t xml:space="preserve"> </w:t>
      </w:r>
      <w:r>
        <w:rPr>
          <w:rFonts w:hint="eastAsia" w:hAnsi="宋体" w:cs="宋体"/>
          <w:sz w:val="24"/>
          <w:szCs w:val="24"/>
          <w:u w:val="single"/>
          <w:lang w:val="zh-CN"/>
        </w:rPr>
        <w:t>（采购人或采购代理机构）：</w:t>
      </w:r>
      <w:r>
        <w:rPr>
          <w:rFonts w:hint="eastAsia" w:hAnsi="宋体" w:cs="宋体"/>
          <w:sz w:val="24"/>
          <w:szCs w:val="24"/>
          <w:u w:val="single"/>
        </w:rPr>
        <w:t xml:space="preserve"> </w:t>
      </w:r>
    </w:p>
    <w:p w14:paraId="29E0C141">
      <w:pPr>
        <w:pStyle w:val="35"/>
        <w:spacing w:line="360" w:lineRule="auto"/>
        <w:ind w:firstLine="480" w:firstLineChars="200"/>
        <w:rPr>
          <w:rFonts w:hAnsi="宋体" w:cs="宋体"/>
          <w:sz w:val="24"/>
          <w:szCs w:val="24"/>
          <w:lang w:val="zh-CN"/>
        </w:rPr>
      </w:pPr>
      <w:r>
        <w:rPr>
          <w:rFonts w:hint="eastAsia" w:hAnsi="宋体" w:cs="宋体"/>
          <w:sz w:val="24"/>
          <w:szCs w:val="24"/>
        </w:rPr>
        <w:t>根据你方磋商项目编号为</w:t>
      </w:r>
      <w:r>
        <w:rPr>
          <w:rFonts w:hint="eastAsia" w:hAnsi="宋体" w:cs="宋体"/>
          <w:sz w:val="24"/>
          <w:szCs w:val="24"/>
          <w:u w:val="single"/>
        </w:rPr>
        <w:t xml:space="preserve">           </w:t>
      </w:r>
      <w:r>
        <w:rPr>
          <w:rFonts w:hint="eastAsia" w:hAnsi="宋体" w:cs="宋体"/>
          <w:sz w:val="24"/>
          <w:szCs w:val="24"/>
        </w:rPr>
        <w:t>的</w:t>
      </w:r>
      <w:r>
        <w:rPr>
          <w:rFonts w:hint="eastAsia" w:hAnsi="宋体" w:cs="宋体"/>
          <w:sz w:val="24"/>
          <w:szCs w:val="24"/>
          <w:u w:val="single"/>
        </w:rPr>
        <w:t xml:space="preserve">    </w:t>
      </w:r>
      <w:r>
        <w:rPr>
          <w:rFonts w:hint="eastAsia" w:hAnsi="宋体" w:cs="宋体"/>
          <w:sz w:val="24"/>
          <w:szCs w:val="24"/>
          <w:u w:val="single"/>
          <w:lang w:val="en-US" w:eastAsia="zh-CN"/>
        </w:rPr>
        <w:t xml:space="preserve">   </w:t>
      </w:r>
      <w:r>
        <w:rPr>
          <w:rFonts w:hint="eastAsia" w:hAnsi="宋体" w:cs="宋体"/>
          <w:sz w:val="24"/>
          <w:szCs w:val="24"/>
          <w:u w:val="single"/>
        </w:rPr>
        <w:t xml:space="preserve">（项目名称） </w:t>
      </w:r>
      <w:r>
        <w:rPr>
          <w:rFonts w:hint="eastAsia" w:hAnsi="宋体" w:cs="宋体"/>
          <w:sz w:val="24"/>
          <w:szCs w:val="24"/>
          <w:u w:val="single"/>
        </w:rPr>
        <w:tab/>
      </w:r>
      <w:r>
        <w:rPr>
          <w:rFonts w:hint="eastAsia" w:hAnsi="宋体" w:cs="宋体"/>
          <w:sz w:val="24"/>
          <w:szCs w:val="24"/>
        </w:rPr>
        <w:t>竞争性磋商文件，</w:t>
      </w:r>
      <w:r>
        <w:rPr>
          <w:rFonts w:hint="eastAsia" w:hAnsi="宋体" w:cs="宋体"/>
          <w:sz w:val="24"/>
          <w:szCs w:val="24"/>
          <w:lang w:val="zh-CN"/>
        </w:rPr>
        <w:t>经详细研究，我们决定</w:t>
      </w:r>
      <w:r>
        <w:rPr>
          <w:rFonts w:hint="eastAsia" w:hAnsi="宋体"/>
          <w:sz w:val="24"/>
          <w:szCs w:val="24"/>
        </w:rPr>
        <w:t>就该项目进行磋商</w:t>
      </w:r>
      <w:r>
        <w:rPr>
          <w:rFonts w:hint="eastAsia" w:hAnsi="宋体" w:cs="宋体"/>
          <w:sz w:val="24"/>
          <w:szCs w:val="24"/>
          <w:lang w:val="zh-CN"/>
        </w:rPr>
        <w:t>。为此，我方郑重声明以下诸点，并负法律责任。</w:t>
      </w:r>
    </w:p>
    <w:p w14:paraId="7690FDED">
      <w:pPr>
        <w:pStyle w:val="35"/>
        <w:numPr>
          <w:ilvl w:val="0"/>
          <w:numId w:val="3"/>
        </w:numPr>
        <w:spacing w:line="360" w:lineRule="auto"/>
        <w:ind w:firstLine="480" w:firstLineChars="200"/>
        <w:rPr>
          <w:rFonts w:hAnsi="宋体" w:cs="宋体"/>
          <w:sz w:val="24"/>
          <w:szCs w:val="24"/>
        </w:rPr>
      </w:pPr>
      <w:r>
        <w:rPr>
          <w:rFonts w:hint="eastAsia" w:hAnsi="宋体" w:cs="宋体"/>
          <w:sz w:val="24"/>
          <w:szCs w:val="24"/>
        </w:rPr>
        <w:t xml:space="preserve">我方愿以 </w:t>
      </w:r>
      <w:r>
        <w:rPr>
          <w:rFonts w:hint="eastAsia" w:hAnsi="宋体" w:cs="宋体"/>
          <w:sz w:val="24"/>
          <w:szCs w:val="24"/>
          <w:u w:val="single"/>
        </w:rPr>
        <w:t xml:space="preserve">       </w:t>
      </w:r>
      <w:r>
        <w:rPr>
          <w:rFonts w:hint="eastAsia" w:hAnsi="宋体" w:cs="宋体"/>
          <w:sz w:val="24"/>
          <w:szCs w:val="24"/>
        </w:rPr>
        <w:t>元总价（大写：</w:t>
      </w:r>
      <w:r>
        <w:rPr>
          <w:rFonts w:hint="eastAsia" w:hAnsi="宋体" w:cs="宋体"/>
          <w:sz w:val="24"/>
          <w:szCs w:val="24"/>
          <w:u w:val="single"/>
        </w:rPr>
        <w:t xml:space="preserve">      </w:t>
      </w:r>
      <w:r>
        <w:rPr>
          <w:rFonts w:hint="eastAsia" w:hAnsi="宋体" w:cs="宋体"/>
          <w:sz w:val="24"/>
          <w:szCs w:val="24"/>
        </w:rPr>
        <w:t>）作为磋商报价，</w:t>
      </w:r>
      <w:r>
        <w:rPr>
          <w:rFonts w:hint="eastAsia" w:hAnsi="宋体" w:cs="宋体"/>
          <w:sz w:val="24"/>
          <w:szCs w:val="24"/>
          <w:lang w:eastAsia="zh-CN"/>
        </w:rPr>
        <w:t>监理服务期</w:t>
      </w:r>
      <w:r>
        <w:rPr>
          <w:rFonts w:hint="eastAsia" w:hAnsi="宋体" w:cs="宋体"/>
          <w:sz w:val="24"/>
          <w:szCs w:val="24"/>
        </w:rPr>
        <w:t>：</w:t>
      </w:r>
      <w:r>
        <w:rPr>
          <w:rFonts w:hint="eastAsia" w:hAnsi="宋体" w:cs="宋体"/>
          <w:sz w:val="24"/>
          <w:szCs w:val="24"/>
          <w:u w:val="single"/>
        </w:rPr>
        <w:t xml:space="preserve">                  </w:t>
      </w:r>
      <w:r>
        <w:rPr>
          <w:rFonts w:hint="eastAsia" w:hAnsi="宋体" w:cs="宋体"/>
          <w:sz w:val="24"/>
          <w:szCs w:val="24"/>
        </w:rPr>
        <w:t>，并按竞争性磋商文件的</w:t>
      </w:r>
      <w:r>
        <w:rPr>
          <w:rFonts w:hint="eastAsia" w:hAnsi="宋体" w:cs="宋体"/>
          <w:sz w:val="24"/>
          <w:szCs w:val="24"/>
          <w:lang w:val="zh-CN"/>
        </w:rPr>
        <w:t>要求，提供技术服务，</w:t>
      </w:r>
      <w:r>
        <w:rPr>
          <w:rStyle w:val="27"/>
          <w:rFonts w:hint="eastAsia" w:ascii="宋体" w:hAnsi="宋体" w:cs="宋体"/>
          <w:sz w:val="24"/>
        </w:rPr>
        <w:t>严格履行自己的责任和义务</w:t>
      </w:r>
      <w:r>
        <w:rPr>
          <w:rFonts w:hint="eastAsia" w:hAnsi="宋体" w:cs="宋体"/>
          <w:sz w:val="24"/>
          <w:szCs w:val="24"/>
          <w:lang w:val="zh-CN"/>
        </w:rPr>
        <w:t>。</w:t>
      </w:r>
    </w:p>
    <w:p w14:paraId="09DDEDD9">
      <w:pPr>
        <w:pStyle w:val="35"/>
        <w:numPr>
          <w:ilvl w:val="0"/>
          <w:numId w:val="3"/>
        </w:numPr>
        <w:spacing w:line="360" w:lineRule="auto"/>
        <w:ind w:firstLine="480" w:firstLineChars="200"/>
        <w:rPr>
          <w:rFonts w:hAnsi="宋体" w:cs="宋体"/>
          <w:sz w:val="24"/>
          <w:szCs w:val="24"/>
        </w:rPr>
      </w:pPr>
      <w:r>
        <w:rPr>
          <w:rFonts w:hint="eastAsia" w:hAnsi="宋体" w:cs="宋体"/>
          <w:sz w:val="24"/>
          <w:szCs w:val="24"/>
        </w:rPr>
        <w:t>我方已详细审核全部竞争性磋商文件，包括修改文件（如有时）及有关附件，</w:t>
      </w:r>
      <w:r>
        <w:rPr>
          <w:rFonts w:hint="eastAsia" w:hAnsi="宋体" w:cs="宋体"/>
          <w:sz w:val="24"/>
          <w:szCs w:val="24"/>
          <w:lang w:val="zh-CN"/>
        </w:rPr>
        <w:t>完全理解并同意放弃提出含糊不清或易形成歧义的表述和资料</w:t>
      </w:r>
      <w:r>
        <w:rPr>
          <w:rFonts w:hint="eastAsia" w:hAnsi="宋体" w:cs="宋体"/>
          <w:sz w:val="24"/>
          <w:szCs w:val="24"/>
        </w:rPr>
        <w:t>。</w:t>
      </w:r>
    </w:p>
    <w:p w14:paraId="16902BB5">
      <w:pPr>
        <w:pStyle w:val="35"/>
        <w:spacing w:line="360" w:lineRule="auto"/>
        <w:ind w:firstLine="480" w:firstLineChars="200"/>
        <w:rPr>
          <w:rFonts w:hAnsi="宋体" w:cs="宋体"/>
          <w:sz w:val="24"/>
          <w:szCs w:val="24"/>
        </w:rPr>
      </w:pPr>
      <w:r>
        <w:rPr>
          <w:rFonts w:hint="eastAsia" w:hAnsi="宋体" w:cs="宋体"/>
          <w:sz w:val="24"/>
          <w:szCs w:val="24"/>
        </w:rPr>
        <w:t>3、</w:t>
      </w:r>
      <w:r>
        <w:rPr>
          <w:rFonts w:hint="eastAsia" w:hAnsi="宋体" w:cs="宋体"/>
          <w:sz w:val="24"/>
          <w:szCs w:val="24"/>
          <w:lang w:val="zh-CN"/>
        </w:rPr>
        <w:t>我方提交的磋商响应文件正本</w:t>
      </w:r>
      <w:r>
        <w:rPr>
          <w:rFonts w:hint="eastAsia" w:hAnsi="宋体" w:cs="宋体"/>
          <w:sz w:val="24"/>
          <w:szCs w:val="24"/>
          <w:u w:val="single"/>
        </w:rPr>
        <w:t xml:space="preserve">    </w:t>
      </w:r>
      <w:r>
        <w:rPr>
          <w:rFonts w:hint="eastAsia" w:hAnsi="宋体" w:cs="宋体"/>
          <w:sz w:val="24"/>
          <w:szCs w:val="24"/>
          <w:lang w:val="zh-CN"/>
        </w:rPr>
        <w:t>份、副本</w:t>
      </w:r>
      <w:r>
        <w:rPr>
          <w:rFonts w:hint="eastAsia" w:hAnsi="宋体" w:cs="宋体"/>
          <w:sz w:val="24"/>
          <w:szCs w:val="24"/>
          <w:u w:val="single"/>
        </w:rPr>
        <w:t xml:space="preserve">    </w:t>
      </w:r>
      <w:r>
        <w:rPr>
          <w:rFonts w:hint="eastAsia" w:hAnsi="宋体" w:cs="宋体"/>
          <w:sz w:val="24"/>
          <w:szCs w:val="24"/>
          <w:lang w:val="zh-CN"/>
        </w:rPr>
        <w:t>份、电子版文件（U盘）</w:t>
      </w:r>
      <w:r>
        <w:rPr>
          <w:rFonts w:hint="eastAsia" w:hAnsi="宋体" w:cs="宋体"/>
          <w:sz w:val="24"/>
          <w:szCs w:val="24"/>
          <w:u w:val="single"/>
        </w:rPr>
        <w:t xml:space="preserve">    </w:t>
      </w:r>
      <w:r>
        <w:rPr>
          <w:rFonts w:hint="eastAsia" w:hAnsi="宋体" w:cs="宋体"/>
          <w:sz w:val="24"/>
          <w:szCs w:val="24"/>
          <w:lang w:val="zh-CN"/>
        </w:rPr>
        <w:t>份。</w:t>
      </w:r>
      <w:r>
        <w:rPr>
          <w:rFonts w:hint="eastAsia" w:hAnsi="宋体" w:cs="宋体"/>
          <w:sz w:val="24"/>
          <w:szCs w:val="24"/>
        </w:rPr>
        <w:t>一旦我方中选，我方保证将按要求实施全过程服务，并按采购人的要求提供高质量的后续服务。</w:t>
      </w:r>
    </w:p>
    <w:p w14:paraId="49B9EA25">
      <w:pPr>
        <w:pStyle w:val="35"/>
        <w:spacing w:line="360" w:lineRule="auto"/>
        <w:ind w:firstLine="480" w:firstLineChars="200"/>
        <w:rPr>
          <w:rStyle w:val="27"/>
          <w:rFonts w:ascii="宋体" w:hAnsi="宋体" w:cs="宋体"/>
          <w:sz w:val="24"/>
          <w:lang w:val="zh-CN"/>
        </w:rPr>
      </w:pPr>
      <w:r>
        <w:rPr>
          <w:rFonts w:hint="eastAsia" w:hAnsi="宋体" w:cs="宋体"/>
          <w:sz w:val="24"/>
          <w:szCs w:val="24"/>
        </w:rPr>
        <w:t>4、我方同意所提交的竞争性磋商响应文件</w:t>
      </w:r>
      <w:r>
        <w:rPr>
          <w:rStyle w:val="27"/>
          <w:rFonts w:hint="eastAsia" w:ascii="宋体" w:hAnsi="宋体" w:cs="宋体"/>
          <w:sz w:val="24"/>
        </w:rPr>
        <w:t>自磋商会议之日起</w:t>
      </w:r>
      <w:r>
        <w:rPr>
          <w:rStyle w:val="27"/>
          <w:rFonts w:hint="eastAsia" w:ascii="宋体" w:hAnsi="宋体" w:cs="宋体"/>
          <w:sz w:val="24"/>
          <w:u w:val="single"/>
        </w:rPr>
        <w:t xml:space="preserve">     </w:t>
      </w:r>
      <w:r>
        <w:rPr>
          <w:rStyle w:val="27"/>
          <w:rFonts w:hint="eastAsia" w:ascii="宋体" w:hAnsi="宋体" w:cs="宋体"/>
          <w:sz w:val="24"/>
        </w:rPr>
        <w:t xml:space="preserve"> 日历天</w:t>
      </w:r>
      <w:r>
        <w:rPr>
          <w:rStyle w:val="27"/>
          <w:rFonts w:hint="eastAsia" w:ascii="宋体" w:hAnsi="宋体" w:cs="宋体"/>
          <w:sz w:val="24"/>
          <w:lang w:val="zh-CN"/>
        </w:rPr>
        <w:t>，若我方中标，磋商响应文件有效期延长至合同执行完毕。</w:t>
      </w:r>
    </w:p>
    <w:p w14:paraId="45755830">
      <w:pPr>
        <w:pStyle w:val="35"/>
        <w:spacing w:line="360" w:lineRule="auto"/>
        <w:ind w:firstLine="480" w:firstLineChars="200"/>
        <w:rPr>
          <w:rFonts w:hAnsi="宋体" w:cs="宋体"/>
          <w:sz w:val="24"/>
          <w:szCs w:val="24"/>
        </w:rPr>
      </w:pPr>
      <w:r>
        <w:rPr>
          <w:rFonts w:hint="eastAsia" w:hAnsi="宋体" w:cs="宋体"/>
          <w:sz w:val="24"/>
          <w:szCs w:val="24"/>
        </w:rPr>
        <w:t>5、</w:t>
      </w:r>
      <w:r>
        <w:rPr>
          <w:rFonts w:hint="eastAsia" w:hAnsi="宋体"/>
          <w:sz w:val="24"/>
          <w:szCs w:val="24"/>
        </w:rPr>
        <w:t>我方接受竞争性磋商文件中全部合同条款，且无任何异议，保证忠实地执行双方所签订的合同，并承担合同规定的责任和义务</w:t>
      </w:r>
      <w:r>
        <w:rPr>
          <w:rFonts w:hint="eastAsia" w:hAnsi="宋体" w:cs="宋体"/>
          <w:sz w:val="24"/>
          <w:szCs w:val="24"/>
        </w:rPr>
        <w:t>。</w:t>
      </w:r>
    </w:p>
    <w:p w14:paraId="5CE2DFF9">
      <w:pPr>
        <w:pStyle w:val="35"/>
        <w:spacing w:line="360" w:lineRule="auto"/>
        <w:ind w:firstLine="480" w:firstLineChars="200"/>
        <w:rPr>
          <w:rStyle w:val="27"/>
          <w:rFonts w:ascii="宋体" w:hAnsi="宋体" w:cs="宋体"/>
          <w:sz w:val="24"/>
        </w:rPr>
      </w:pPr>
      <w:r>
        <w:rPr>
          <w:rStyle w:val="27"/>
          <w:rFonts w:hint="eastAsia" w:hAnsi="宋体" w:cs="宋体"/>
          <w:sz w:val="24"/>
        </w:rPr>
        <w:t>6</w:t>
      </w:r>
      <w:r>
        <w:rPr>
          <w:rStyle w:val="27"/>
          <w:rFonts w:hint="eastAsia" w:ascii="宋体" w:hAnsi="宋体" w:cs="宋体"/>
          <w:sz w:val="24"/>
        </w:rPr>
        <w:t>、我们理解，</w:t>
      </w:r>
      <w:r>
        <w:rPr>
          <w:rFonts w:hint="eastAsia" w:hAnsi="宋体" w:cs="宋体"/>
          <w:sz w:val="24"/>
          <w:szCs w:val="24"/>
          <w:lang w:val="zh-CN"/>
        </w:rPr>
        <w:t>同意向贵方提供可能要求的，与本次磋商有关的任何证据或资料。我们完全理解最低报价不作为成交的唯一条件，且尊重磋商小组的评标结论和定标结果。</w:t>
      </w:r>
    </w:p>
    <w:p w14:paraId="5340FAB6">
      <w:pPr>
        <w:pStyle w:val="35"/>
        <w:spacing w:line="360" w:lineRule="auto"/>
        <w:ind w:firstLine="480" w:firstLineChars="200"/>
        <w:rPr>
          <w:rFonts w:hAnsi="宋体" w:cs="宋体"/>
          <w:sz w:val="24"/>
          <w:szCs w:val="24"/>
        </w:rPr>
      </w:pPr>
      <w:r>
        <w:rPr>
          <w:rFonts w:hint="eastAsia" w:hAnsi="宋体" w:cs="宋体"/>
          <w:sz w:val="24"/>
          <w:szCs w:val="24"/>
        </w:rPr>
        <w:t>8、</w:t>
      </w:r>
      <w:r>
        <w:rPr>
          <w:rFonts w:hint="eastAsia" w:hAnsi="宋体"/>
          <w:sz w:val="24"/>
          <w:szCs w:val="24"/>
        </w:rPr>
        <w:t>若我方被确定为成交人，</w:t>
      </w:r>
      <w:r>
        <w:rPr>
          <w:rFonts w:hint="eastAsia" w:hAnsi="宋体" w:cs="宋体"/>
          <w:sz w:val="24"/>
          <w:szCs w:val="24"/>
        </w:rPr>
        <w:t>按照竞争性磋商文件的规定，在成交后向贵方一次性支付招标代理费。</w:t>
      </w:r>
    </w:p>
    <w:p w14:paraId="78E9A5B0">
      <w:pPr>
        <w:pStyle w:val="35"/>
        <w:spacing w:line="360" w:lineRule="auto"/>
        <w:ind w:firstLine="480" w:firstLineChars="200"/>
        <w:rPr>
          <w:rFonts w:hAnsi="宋体" w:cs="宋体"/>
          <w:sz w:val="24"/>
          <w:szCs w:val="24"/>
        </w:rPr>
      </w:pPr>
      <w:r>
        <w:rPr>
          <w:rFonts w:hint="eastAsia" w:hAnsi="宋体" w:cs="宋体"/>
          <w:sz w:val="24"/>
          <w:szCs w:val="24"/>
        </w:rPr>
        <w:t>9、</w:t>
      </w:r>
      <w:r>
        <w:rPr>
          <w:rFonts w:hint="eastAsia" w:hAnsi="宋体"/>
          <w:sz w:val="24"/>
          <w:szCs w:val="24"/>
        </w:rPr>
        <w:t>所有关于本项目的函电，请按下列地址联系</w:t>
      </w:r>
      <w:r>
        <w:rPr>
          <w:rFonts w:hint="eastAsia" w:hAnsi="宋体" w:cs="宋体"/>
          <w:sz w:val="24"/>
          <w:szCs w:val="24"/>
        </w:rPr>
        <w:t>。</w:t>
      </w:r>
    </w:p>
    <w:p w14:paraId="25903F86">
      <w:pPr>
        <w:pStyle w:val="35"/>
        <w:spacing w:line="420" w:lineRule="exact"/>
        <w:ind w:firstLine="480" w:firstLineChars="200"/>
        <w:rPr>
          <w:rFonts w:hAnsi="宋体" w:cs="宋体"/>
          <w:sz w:val="24"/>
          <w:szCs w:val="24"/>
        </w:rPr>
      </w:pPr>
    </w:p>
    <w:p w14:paraId="358F1610">
      <w:pPr>
        <w:autoSpaceDE w:val="0"/>
        <w:autoSpaceDN w:val="0"/>
        <w:adjustRightInd w:val="0"/>
        <w:spacing w:line="480" w:lineRule="exact"/>
        <w:rPr>
          <w:rFonts w:ascii="宋体" w:hAnsi="宋体" w:cs="宋体"/>
          <w:sz w:val="24"/>
        </w:rPr>
      </w:pPr>
      <w:r>
        <w:rPr>
          <w:rFonts w:hint="eastAsia" w:ascii="宋体" w:hAnsi="宋体" w:cs="宋体"/>
          <w:sz w:val="24"/>
          <w:lang w:val="zh-CN"/>
        </w:rPr>
        <w:t>供</w:t>
      </w:r>
      <w:r>
        <w:rPr>
          <w:rFonts w:hint="eastAsia" w:ascii="宋体" w:hAnsi="宋体" w:cs="宋体"/>
          <w:sz w:val="24"/>
        </w:rPr>
        <w:t xml:space="preserve"> </w:t>
      </w:r>
      <w:r>
        <w:rPr>
          <w:rFonts w:hint="eastAsia" w:ascii="宋体" w:hAnsi="宋体" w:cs="宋体"/>
          <w:sz w:val="24"/>
          <w:lang w:val="zh-CN"/>
        </w:rPr>
        <w:t>应</w:t>
      </w:r>
      <w:r>
        <w:rPr>
          <w:rFonts w:hint="eastAsia" w:ascii="宋体" w:hAnsi="宋体" w:cs="宋体"/>
          <w:sz w:val="24"/>
        </w:rPr>
        <w:t xml:space="preserve"> </w:t>
      </w:r>
      <w:r>
        <w:rPr>
          <w:rFonts w:hint="eastAsia" w:ascii="宋体" w:hAnsi="宋体" w:cs="宋体"/>
          <w:sz w:val="24"/>
          <w:lang w:val="zh-CN"/>
        </w:rPr>
        <w:t>商：</w:t>
      </w:r>
      <w:r>
        <w:rPr>
          <w:rFonts w:hint="eastAsia" w:ascii="宋体" w:hAnsi="宋体" w:cs="宋体"/>
          <w:sz w:val="24"/>
          <w:u w:val="single"/>
          <w:lang w:val="zh-CN"/>
        </w:rPr>
        <w:t xml:space="preserve">                    </w:t>
      </w:r>
      <w:r>
        <w:rPr>
          <w:rFonts w:hint="eastAsia" w:ascii="宋体" w:hAnsi="宋体" w:cs="宋体"/>
          <w:sz w:val="24"/>
          <w:lang w:val="zh-CN"/>
        </w:rPr>
        <w:t>（全称并加盖公章）</w:t>
      </w:r>
    </w:p>
    <w:p w14:paraId="7DCECC27">
      <w:pPr>
        <w:autoSpaceDE w:val="0"/>
        <w:autoSpaceDN w:val="0"/>
        <w:adjustRightInd w:val="0"/>
        <w:spacing w:line="480" w:lineRule="exact"/>
        <w:rPr>
          <w:rFonts w:ascii="宋体" w:hAnsi="宋体" w:cs="宋体"/>
          <w:sz w:val="24"/>
        </w:rPr>
      </w:pPr>
      <w:r>
        <w:rPr>
          <w:rFonts w:hint="eastAsia" w:ascii="宋体" w:hAnsi="宋体" w:cs="宋体"/>
          <w:sz w:val="24"/>
          <w:lang w:val="zh-CN"/>
        </w:rPr>
        <w:t>地</w:t>
      </w:r>
      <w:r>
        <w:rPr>
          <w:rFonts w:hint="eastAsia" w:ascii="宋体" w:hAnsi="宋体" w:cs="宋体"/>
          <w:sz w:val="24"/>
        </w:rPr>
        <w:t xml:space="preserve">    </w:t>
      </w:r>
      <w:r>
        <w:rPr>
          <w:rFonts w:hint="eastAsia" w:ascii="宋体" w:hAnsi="宋体" w:cs="宋体"/>
          <w:sz w:val="24"/>
          <w:lang w:val="zh-CN"/>
        </w:rPr>
        <w:t>址：</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5D2ABD13">
      <w:pPr>
        <w:autoSpaceDE w:val="0"/>
        <w:autoSpaceDN w:val="0"/>
        <w:adjustRightInd w:val="0"/>
        <w:spacing w:line="480" w:lineRule="exact"/>
        <w:rPr>
          <w:rFonts w:ascii="宋体" w:hAnsi="宋体" w:cs="宋体"/>
          <w:sz w:val="24"/>
          <w:u w:val="single"/>
          <w:lang w:val="zh-CN"/>
        </w:rPr>
      </w:pPr>
      <w:r>
        <w:rPr>
          <w:rFonts w:hint="eastAsia" w:ascii="宋体" w:hAnsi="宋体" w:cs="宋体"/>
          <w:sz w:val="24"/>
          <w:lang w:val="zh-CN"/>
        </w:rPr>
        <w:t>开户银行：</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0F5E4762">
      <w:pPr>
        <w:autoSpaceDE w:val="0"/>
        <w:autoSpaceDN w:val="0"/>
        <w:adjustRightInd w:val="0"/>
        <w:spacing w:line="480" w:lineRule="exact"/>
        <w:rPr>
          <w:rFonts w:ascii="宋体" w:hAnsi="宋体" w:cs="宋体"/>
          <w:sz w:val="24"/>
        </w:rPr>
      </w:pPr>
      <w:r>
        <w:rPr>
          <w:rFonts w:hint="eastAsia" w:ascii="宋体" w:hAnsi="宋体" w:cs="宋体"/>
          <w:sz w:val="24"/>
          <w:lang w:val="zh-CN"/>
        </w:rPr>
        <w:t>帐</w:t>
      </w:r>
      <w:r>
        <w:rPr>
          <w:rFonts w:hint="eastAsia" w:ascii="宋体" w:hAnsi="宋体" w:cs="宋体"/>
          <w:sz w:val="24"/>
        </w:rPr>
        <w:t xml:space="preserve">    </w:t>
      </w:r>
      <w:r>
        <w:rPr>
          <w:rFonts w:hint="eastAsia" w:ascii="宋体" w:hAnsi="宋体" w:cs="宋体"/>
          <w:sz w:val="24"/>
          <w:lang w:val="zh-CN"/>
        </w:rPr>
        <w:t>号：</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48723D92">
      <w:pPr>
        <w:autoSpaceDE w:val="0"/>
        <w:autoSpaceDN w:val="0"/>
        <w:adjustRightInd w:val="0"/>
        <w:spacing w:line="480" w:lineRule="exact"/>
        <w:rPr>
          <w:rFonts w:ascii="宋体" w:hAnsi="宋体" w:cs="宋体"/>
          <w:sz w:val="24"/>
        </w:rPr>
      </w:pPr>
      <w:r>
        <w:rPr>
          <w:rFonts w:hint="eastAsia" w:ascii="宋体" w:hAnsi="宋体" w:cs="宋体"/>
          <w:sz w:val="24"/>
          <w:lang w:val="zh-CN"/>
        </w:rPr>
        <w:t>电</w:t>
      </w:r>
      <w:r>
        <w:rPr>
          <w:rFonts w:hint="eastAsia" w:ascii="宋体" w:hAnsi="宋体" w:cs="宋体"/>
          <w:sz w:val="24"/>
        </w:rPr>
        <w:t xml:space="preserve">    </w:t>
      </w:r>
      <w:r>
        <w:rPr>
          <w:rFonts w:hint="eastAsia" w:ascii="宋体" w:hAnsi="宋体" w:cs="宋体"/>
          <w:sz w:val="24"/>
          <w:lang w:val="zh-CN"/>
        </w:rPr>
        <w:t>话：</w:t>
      </w:r>
      <w:r>
        <w:rPr>
          <w:rFonts w:hint="eastAsia" w:ascii="宋体" w:hAnsi="宋体" w:cs="宋体"/>
          <w:sz w:val="24"/>
          <w:u w:val="single"/>
          <w:lang w:val="zh-CN"/>
        </w:rPr>
        <w:t xml:space="preserve">                 </w:t>
      </w:r>
      <w:r>
        <w:rPr>
          <w:rFonts w:hint="eastAsia" w:ascii="宋体" w:hAnsi="宋体" w:cs="宋体"/>
          <w:sz w:val="24"/>
          <w:u w:val="single"/>
        </w:rPr>
        <w:t xml:space="preserve">                   </w:t>
      </w:r>
      <w:r>
        <w:rPr>
          <w:rFonts w:hint="eastAsia" w:ascii="宋体" w:hAnsi="宋体" w:cs="宋体"/>
          <w:sz w:val="24"/>
          <w:u w:val="single"/>
          <w:lang w:val="zh-CN"/>
        </w:rPr>
        <w:t xml:space="preserve">   </w:t>
      </w:r>
    </w:p>
    <w:p w14:paraId="4AAF0F9A">
      <w:pPr>
        <w:autoSpaceDE w:val="0"/>
        <w:autoSpaceDN w:val="0"/>
        <w:adjustRightInd w:val="0"/>
        <w:spacing w:line="480" w:lineRule="exact"/>
        <w:rPr>
          <w:rFonts w:ascii="宋体" w:hAnsi="宋体" w:cs="宋体"/>
          <w:sz w:val="24"/>
        </w:rPr>
      </w:pPr>
      <w:r>
        <w:rPr>
          <w:rFonts w:hint="eastAsia" w:ascii="宋体" w:hAnsi="宋体" w:cs="宋体"/>
          <w:sz w:val="24"/>
          <w:lang w:val="zh-CN"/>
        </w:rPr>
        <w:t>法定代表人</w:t>
      </w:r>
      <w:r>
        <w:rPr>
          <w:rFonts w:hint="eastAsia" w:ascii="宋体" w:hAnsi="宋体" w:cs="宋体"/>
          <w:sz w:val="24"/>
        </w:rPr>
        <w:t>或</w:t>
      </w:r>
      <w:r>
        <w:rPr>
          <w:rFonts w:hint="eastAsia" w:ascii="宋体" w:hAnsi="宋体" w:cs="宋体"/>
          <w:sz w:val="24"/>
          <w:lang w:val="zh-CN"/>
        </w:rPr>
        <w:t>授权代表（签字或盖章）：</w:t>
      </w:r>
      <w:r>
        <w:rPr>
          <w:rFonts w:hint="eastAsia" w:ascii="宋体" w:hAnsi="宋体" w:cs="宋体"/>
          <w:sz w:val="24"/>
          <w:u w:val="single"/>
          <w:lang w:val="zh-CN"/>
        </w:rPr>
        <w:t xml:space="preserve">                    </w:t>
      </w:r>
    </w:p>
    <w:p w14:paraId="6C30F4A9">
      <w:pPr>
        <w:autoSpaceDE w:val="0"/>
        <w:autoSpaceDN w:val="0"/>
        <w:adjustRightInd w:val="0"/>
        <w:spacing w:line="480" w:lineRule="exact"/>
        <w:rPr>
          <w:rFonts w:ascii="宋体" w:hAnsi="宋体" w:cs="宋体"/>
          <w:sz w:val="24"/>
        </w:rPr>
        <w:sectPr>
          <w:headerReference r:id="rId18" w:type="default"/>
          <w:footerReference r:id="rId19" w:type="default"/>
          <w:pgSz w:w="11906" w:h="16838"/>
          <w:pgMar w:top="1361" w:right="1361" w:bottom="1361" w:left="1361" w:header="851" w:footer="992" w:gutter="0"/>
          <w:pgNumType w:fmt="decimal"/>
          <w:cols w:space="720" w:num="1"/>
          <w:docGrid w:linePitch="312" w:charSpace="0"/>
        </w:sectPr>
      </w:pPr>
      <w:r>
        <w:rPr>
          <w:rFonts w:hint="eastAsia" w:ascii="宋体" w:hAnsi="宋体" w:cs="宋体"/>
          <w:sz w:val="24"/>
        </w:rPr>
        <w:t xml:space="preserve"> _____</w:t>
      </w:r>
      <w:r>
        <w:rPr>
          <w:rFonts w:hint="eastAsia" w:ascii="宋体" w:hAnsi="宋体" w:cs="宋体"/>
          <w:sz w:val="24"/>
          <w:lang w:val="zh-CN"/>
        </w:rPr>
        <w:t>年</w:t>
      </w:r>
      <w:r>
        <w:rPr>
          <w:rFonts w:hint="eastAsia" w:ascii="宋体" w:hAnsi="宋体" w:cs="宋体"/>
          <w:sz w:val="24"/>
        </w:rPr>
        <w:t>_____</w:t>
      </w:r>
      <w:r>
        <w:rPr>
          <w:rFonts w:hint="eastAsia" w:ascii="宋体" w:hAnsi="宋体" w:cs="宋体"/>
          <w:sz w:val="24"/>
          <w:lang w:val="zh-CN"/>
        </w:rPr>
        <w:t>月</w:t>
      </w:r>
      <w:r>
        <w:rPr>
          <w:rFonts w:hint="eastAsia" w:ascii="宋体" w:hAnsi="宋体" w:cs="宋体"/>
          <w:sz w:val="24"/>
        </w:rPr>
        <w:t>_____</w:t>
      </w:r>
      <w:r>
        <w:rPr>
          <w:rFonts w:hint="eastAsia" w:ascii="宋体" w:hAnsi="宋体" w:cs="宋体"/>
          <w:sz w:val="24"/>
          <w:lang w:val="zh-CN"/>
        </w:rPr>
        <w:t>日</w:t>
      </w:r>
    </w:p>
    <w:p w14:paraId="161E0EAD">
      <w:pPr>
        <w:jc w:val="center"/>
        <w:outlineLvl w:val="0"/>
        <w:rPr>
          <w:rFonts w:ascii="宋体" w:hAnsi="宋体" w:cs="宋体"/>
          <w:b/>
          <w:sz w:val="32"/>
          <w:szCs w:val="32"/>
        </w:rPr>
      </w:pPr>
      <w:bookmarkStart w:id="157" w:name="_Toc10306"/>
      <w:bookmarkStart w:id="158" w:name="_Toc102161174"/>
      <w:bookmarkStart w:id="159" w:name="_Toc245632482"/>
      <w:bookmarkStart w:id="160" w:name="_Toc79575067"/>
      <w:bookmarkStart w:id="161" w:name="_Toc324413761"/>
      <w:bookmarkStart w:id="162" w:name="_Toc154221909"/>
      <w:bookmarkStart w:id="163" w:name="_Toc230070112"/>
      <w:bookmarkStart w:id="164" w:name="_Toc145001539"/>
      <w:bookmarkStart w:id="165" w:name="_Toc145014840"/>
      <w:bookmarkStart w:id="166" w:name="_Toc286591013"/>
      <w:r>
        <w:rPr>
          <w:rFonts w:hint="eastAsia" w:ascii="宋体" w:hAnsi="宋体" w:cs="宋体"/>
          <w:b/>
          <w:sz w:val="32"/>
          <w:szCs w:val="32"/>
          <w:lang w:val="zh-CN"/>
        </w:rPr>
        <w:t>第二部分</w:t>
      </w:r>
      <w:r>
        <w:rPr>
          <w:rFonts w:hint="eastAsia" w:ascii="宋体" w:hAnsi="宋体" w:cs="宋体"/>
          <w:b/>
          <w:sz w:val="32"/>
          <w:szCs w:val="32"/>
        </w:rPr>
        <w:t xml:space="preserve"> 法定代表人身份证明书及法定代表人授权书</w:t>
      </w:r>
      <w:bookmarkEnd w:id="157"/>
    </w:p>
    <w:p w14:paraId="0AD8EBBF">
      <w:pPr>
        <w:kinsoku w:val="0"/>
        <w:overflowPunct w:val="0"/>
        <w:spacing w:line="400" w:lineRule="exact"/>
        <w:ind w:left="116"/>
        <w:jc w:val="center"/>
        <w:rPr>
          <w:rFonts w:ascii="宋体" w:hAnsi="宋体" w:cs="宋体"/>
          <w:b/>
          <w:bCs/>
          <w:spacing w:val="2"/>
          <w:sz w:val="32"/>
          <w:szCs w:val="32"/>
        </w:rPr>
      </w:pPr>
    </w:p>
    <w:p w14:paraId="709B51EE">
      <w:pPr>
        <w:kinsoku w:val="0"/>
        <w:overflowPunct w:val="0"/>
        <w:spacing w:line="400" w:lineRule="exact"/>
        <w:ind w:left="116"/>
        <w:jc w:val="center"/>
        <w:outlineLvl w:val="0"/>
        <w:rPr>
          <w:rFonts w:ascii="宋体" w:hAnsi="宋体" w:cs="宋体"/>
          <w:b/>
          <w:bCs/>
          <w:spacing w:val="2"/>
          <w:sz w:val="32"/>
          <w:szCs w:val="32"/>
        </w:rPr>
      </w:pPr>
      <w:bookmarkStart w:id="167" w:name="_Toc5416"/>
      <w:r>
        <w:rPr>
          <w:rFonts w:hint="eastAsia" w:ascii="宋体" w:hAnsi="宋体" w:cs="宋体"/>
          <w:b/>
          <w:bCs/>
          <w:spacing w:val="2"/>
          <w:sz w:val="32"/>
          <w:szCs w:val="32"/>
        </w:rPr>
        <w:t>法定代表人身份证明书</w:t>
      </w:r>
      <w:bookmarkEnd w:id="167"/>
    </w:p>
    <w:p w14:paraId="653FDA9B">
      <w:pPr>
        <w:pStyle w:val="15"/>
        <w:rPr>
          <w:rFonts w:hAnsi="宋体" w:cs="宋体"/>
          <w:sz w:val="28"/>
          <w:szCs w:val="28"/>
        </w:rPr>
      </w:pPr>
    </w:p>
    <w:p w14:paraId="16983CAC">
      <w:pPr>
        <w:pStyle w:val="15"/>
        <w:rPr>
          <w:rFonts w:hAnsi="宋体" w:cs="宋体"/>
          <w:sz w:val="24"/>
          <w:szCs w:val="24"/>
          <w:u w:val="single"/>
        </w:rPr>
      </w:pPr>
      <w:r>
        <w:rPr>
          <w:rFonts w:hint="eastAsia" w:hAnsi="宋体" w:cs="宋体"/>
          <w:sz w:val="24"/>
          <w:szCs w:val="24"/>
        </w:rPr>
        <w:t>单位名称：</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5FC69436">
      <w:pPr>
        <w:pStyle w:val="15"/>
        <w:rPr>
          <w:rFonts w:hAnsi="宋体" w:cs="宋体"/>
          <w:sz w:val="24"/>
          <w:szCs w:val="24"/>
          <w:u w:val="single"/>
        </w:rPr>
      </w:pPr>
    </w:p>
    <w:p w14:paraId="669C4422">
      <w:pPr>
        <w:pStyle w:val="15"/>
        <w:rPr>
          <w:rFonts w:hAnsi="宋体" w:cs="宋体"/>
          <w:sz w:val="24"/>
          <w:szCs w:val="24"/>
          <w:u w:val="single"/>
        </w:rPr>
      </w:pPr>
      <w:r>
        <w:rPr>
          <w:rFonts w:hint="eastAsia" w:hAnsi="宋体" w:cs="宋体"/>
          <w:sz w:val="24"/>
          <w:szCs w:val="24"/>
        </w:rPr>
        <w:t>单位性质：</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6D00A333">
      <w:pPr>
        <w:pStyle w:val="15"/>
        <w:rPr>
          <w:rFonts w:hAnsi="宋体" w:cs="宋体"/>
          <w:sz w:val="24"/>
          <w:szCs w:val="24"/>
          <w:u w:val="single"/>
        </w:rPr>
      </w:pPr>
    </w:p>
    <w:p w14:paraId="5D865AB1">
      <w:pPr>
        <w:pStyle w:val="15"/>
        <w:rPr>
          <w:rFonts w:hAnsi="宋体" w:cs="宋体"/>
          <w:sz w:val="24"/>
          <w:szCs w:val="24"/>
          <w:u w:val="single"/>
        </w:rPr>
      </w:pPr>
      <w:r>
        <w:rPr>
          <w:rFonts w:hint="eastAsia" w:hAnsi="宋体" w:cs="宋体"/>
          <w:sz w:val="24"/>
          <w:szCs w:val="24"/>
        </w:rPr>
        <w:t>地    址：</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6FBF6695">
      <w:pPr>
        <w:pStyle w:val="15"/>
        <w:rPr>
          <w:rFonts w:hAnsi="宋体" w:cs="宋体"/>
          <w:sz w:val="24"/>
          <w:szCs w:val="24"/>
        </w:rPr>
      </w:pPr>
    </w:p>
    <w:p w14:paraId="19EDC6FE">
      <w:pPr>
        <w:pStyle w:val="15"/>
        <w:rPr>
          <w:rFonts w:hAnsi="宋体" w:cs="宋体"/>
          <w:sz w:val="24"/>
          <w:szCs w:val="24"/>
          <w:u w:val="single"/>
        </w:rPr>
      </w:pPr>
      <w:r>
        <w:rPr>
          <w:rFonts w:hint="eastAsia" w:hAnsi="宋体" w:cs="宋体"/>
          <w:sz w:val="24"/>
          <w:szCs w:val="24"/>
        </w:rPr>
        <w:t>成立时间：</w:t>
      </w:r>
      <w:r>
        <w:rPr>
          <w:rFonts w:hint="eastAsia" w:hAnsi="宋体" w:cs="宋体"/>
          <w:sz w:val="24"/>
          <w:szCs w:val="24"/>
          <w:u w:val="single"/>
        </w:rPr>
        <w:t xml:space="preserve">           年           月               日</w:t>
      </w:r>
    </w:p>
    <w:p w14:paraId="75C300A7">
      <w:pPr>
        <w:pStyle w:val="15"/>
        <w:rPr>
          <w:rFonts w:hAnsi="宋体" w:cs="宋体"/>
          <w:sz w:val="24"/>
          <w:szCs w:val="24"/>
          <w:u w:val="single"/>
        </w:rPr>
      </w:pPr>
    </w:p>
    <w:p w14:paraId="4BA25F46">
      <w:pPr>
        <w:pStyle w:val="15"/>
        <w:rPr>
          <w:rFonts w:hAnsi="宋体" w:cs="宋体"/>
          <w:sz w:val="24"/>
          <w:szCs w:val="24"/>
          <w:u w:val="single"/>
        </w:rPr>
      </w:pPr>
      <w:r>
        <w:rPr>
          <w:rFonts w:hint="eastAsia" w:hAnsi="宋体" w:cs="宋体"/>
          <w:sz w:val="24"/>
          <w:szCs w:val="24"/>
        </w:rPr>
        <w:t>经营期限：</w:t>
      </w:r>
      <w:r>
        <w:rPr>
          <w:rFonts w:hint="eastAsia" w:hAnsi="宋体" w:cs="宋体"/>
          <w:sz w:val="24"/>
          <w:szCs w:val="24"/>
          <w:u w:val="single"/>
        </w:rPr>
        <w:tab/>
      </w:r>
      <w:r>
        <w:rPr>
          <w:rFonts w:hint="eastAsia" w:hAnsi="宋体" w:cs="宋体"/>
          <w:sz w:val="24"/>
          <w:szCs w:val="24"/>
          <w:u w:val="single"/>
        </w:rPr>
        <w:t xml:space="preserve">  </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u w:val="single"/>
        </w:rPr>
        <w:tab/>
      </w:r>
    </w:p>
    <w:p w14:paraId="4992CB4D">
      <w:pPr>
        <w:pStyle w:val="15"/>
        <w:rPr>
          <w:rFonts w:hAnsi="宋体" w:cs="宋体"/>
          <w:sz w:val="24"/>
          <w:szCs w:val="24"/>
        </w:rPr>
      </w:pPr>
    </w:p>
    <w:p w14:paraId="1682BC85">
      <w:pPr>
        <w:pStyle w:val="15"/>
        <w:spacing w:line="480" w:lineRule="auto"/>
        <w:rPr>
          <w:rFonts w:hAnsi="宋体" w:cs="宋体"/>
          <w:sz w:val="24"/>
          <w:szCs w:val="24"/>
        </w:rPr>
      </w:pPr>
      <w:r>
        <w:rPr>
          <w:rFonts w:hint="eastAsia" w:hAnsi="宋体" w:cs="宋体"/>
          <w:sz w:val="24"/>
          <w:szCs w:val="24"/>
        </w:rPr>
        <w:t>姓    名：</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性别：</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年龄：</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职务：</w:t>
      </w:r>
      <w:r>
        <w:rPr>
          <w:rFonts w:hint="eastAsia" w:hAnsi="宋体" w:cs="宋体"/>
          <w:sz w:val="24"/>
          <w:szCs w:val="24"/>
          <w:u w:val="single"/>
        </w:rPr>
        <w:tab/>
      </w:r>
      <w:r>
        <w:rPr>
          <w:rFonts w:hint="eastAsia" w:hAnsi="宋体" w:cs="宋体"/>
          <w:sz w:val="24"/>
          <w:szCs w:val="24"/>
          <w:u w:val="single"/>
        </w:rPr>
        <w:tab/>
      </w:r>
      <w:r>
        <w:rPr>
          <w:rFonts w:hint="eastAsia" w:hAnsi="宋体" w:cs="宋体"/>
          <w:sz w:val="24"/>
          <w:szCs w:val="24"/>
        </w:rPr>
        <w:t>系</w:t>
      </w:r>
      <w:r>
        <w:rPr>
          <w:rFonts w:hint="eastAsia" w:hAnsi="宋体" w:cs="宋体"/>
          <w:sz w:val="24"/>
          <w:szCs w:val="24"/>
          <w:u w:val="single"/>
        </w:rPr>
        <w:t xml:space="preserve">            （供应商名称）</w:t>
      </w:r>
      <w:r>
        <w:rPr>
          <w:rFonts w:hint="eastAsia" w:hAnsi="宋体" w:cs="宋体"/>
          <w:sz w:val="24"/>
          <w:szCs w:val="24"/>
        </w:rPr>
        <w:t>的法定代表人。</w:t>
      </w:r>
    </w:p>
    <w:p w14:paraId="03D2D80D">
      <w:pPr>
        <w:pStyle w:val="15"/>
        <w:rPr>
          <w:rFonts w:hAnsi="宋体" w:cs="宋体"/>
          <w:sz w:val="24"/>
          <w:szCs w:val="24"/>
        </w:rPr>
      </w:pPr>
    </w:p>
    <w:p w14:paraId="222EC93B">
      <w:pPr>
        <w:pStyle w:val="15"/>
        <w:rPr>
          <w:rFonts w:hAnsi="宋体" w:cs="宋体"/>
          <w:sz w:val="24"/>
          <w:szCs w:val="24"/>
        </w:rPr>
      </w:pPr>
      <w:r>
        <w:rPr>
          <w:rFonts w:hint="eastAsia" w:hAnsi="宋体" w:cs="宋体"/>
          <w:sz w:val="24"/>
          <w:szCs w:val="24"/>
        </w:rPr>
        <w:t>特此证明。</w:t>
      </w:r>
    </w:p>
    <w:p w14:paraId="5FDB93C8">
      <w:pPr>
        <w:pStyle w:val="15"/>
        <w:rPr>
          <w:rFonts w:hAnsi="宋体" w:cs="宋体"/>
          <w:sz w:val="24"/>
          <w:szCs w:val="24"/>
        </w:rPr>
      </w:pPr>
      <w:r>
        <w:rPr>
          <w:rFonts w:hint="eastAsia" w:hAnsi="宋体" w:cs="宋体"/>
          <w:sz w:val="24"/>
          <w:szCs w:val="24"/>
        </w:rPr>
        <w:t>附：法人身份证复印件</w:t>
      </w:r>
    </w:p>
    <w:tbl>
      <w:tblPr>
        <w:tblStyle w:val="22"/>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4A350944">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21B82324">
            <w:pPr>
              <w:autoSpaceDE w:val="0"/>
              <w:autoSpaceDN w:val="0"/>
              <w:adjustRightInd w:val="0"/>
              <w:jc w:val="center"/>
              <w:rPr>
                <w:rFonts w:ascii="宋体" w:hAnsi="宋体" w:cs="宋体"/>
                <w:sz w:val="24"/>
                <w:lang w:val="zh-CN"/>
              </w:rPr>
            </w:pPr>
            <w:r>
              <w:rPr>
                <w:rFonts w:hint="eastAsia" w:ascii="宋体" w:hAnsi="宋体" w:cs="宋体"/>
                <w:sz w:val="24"/>
                <w:lang w:val="zh-CN"/>
              </w:rPr>
              <w:t>法定代表人身份证复印件</w:t>
            </w:r>
          </w:p>
          <w:p w14:paraId="0550D59A">
            <w:pPr>
              <w:autoSpaceDE w:val="0"/>
              <w:autoSpaceDN w:val="0"/>
              <w:adjustRightInd w:val="0"/>
              <w:jc w:val="center"/>
              <w:rPr>
                <w:rFonts w:ascii="宋体" w:hAnsi="宋体" w:cs="宋体"/>
                <w:sz w:val="24"/>
                <w:u w:val="single"/>
              </w:rPr>
            </w:pPr>
            <w:r>
              <w:rPr>
                <w:rFonts w:hint="eastAsia" w:ascii="宋体" w:hAnsi="宋体" w:cs="宋体"/>
                <w:sz w:val="24"/>
                <w:lang w:val="zh-CN"/>
              </w:rPr>
              <w:t>（正反面）</w:t>
            </w:r>
          </w:p>
          <w:p w14:paraId="5DC26222">
            <w:pPr>
              <w:autoSpaceDE w:val="0"/>
              <w:autoSpaceDN w:val="0"/>
              <w:adjustRightInd w:val="0"/>
              <w:jc w:val="center"/>
              <w:rPr>
                <w:rFonts w:ascii="宋体" w:hAnsi="宋体" w:cs="宋体"/>
                <w:sz w:val="24"/>
                <w:u w:val="single"/>
              </w:rPr>
            </w:pPr>
          </w:p>
        </w:tc>
      </w:tr>
    </w:tbl>
    <w:p w14:paraId="1F92AA87">
      <w:pPr>
        <w:ind w:firstLine="480" w:firstLineChars="200"/>
        <w:rPr>
          <w:rFonts w:ascii="宋体" w:hAnsi="宋体" w:cs="宋体"/>
          <w:sz w:val="24"/>
        </w:rPr>
      </w:pPr>
    </w:p>
    <w:p w14:paraId="7B666697">
      <w:pPr>
        <w:ind w:firstLine="480" w:firstLineChars="200"/>
        <w:rPr>
          <w:rFonts w:ascii="宋体" w:hAnsi="宋体" w:cs="宋体"/>
          <w:sz w:val="24"/>
        </w:rPr>
      </w:pPr>
    </w:p>
    <w:p w14:paraId="6E750284">
      <w:pPr>
        <w:ind w:firstLine="480" w:firstLineChars="200"/>
        <w:rPr>
          <w:rFonts w:ascii="宋体" w:hAnsi="宋体" w:cs="宋体"/>
          <w:sz w:val="24"/>
        </w:rPr>
      </w:pPr>
    </w:p>
    <w:p w14:paraId="1F6E5093">
      <w:pPr>
        <w:ind w:firstLine="2160" w:firstLineChars="900"/>
        <w:rPr>
          <w:rFonts w:ascii="宋体" w:hAnsi="宋体" w:cs="宋体"/>
          <w:sz w:val="24"/>
        </w:rPr>
      </w:pPr>
    </w:p>
    <w:p w14:paraId="5D8F24D3">
      <w:pPr>
        <w:ind w:firstLine="2160" w:firstLineChars="900"/>
        <w:rPr>
          <w:rFonts w:ascii="宋体" w:hAnsi="宋体" w:cs="宋体"/>
          <w:sz w:val="24"/>
        </w:rPr>
      </w:pPr>
    </w:p>
    <w:p w14:paraId="7758CED9">
      <w:pPr>
        <w:ind w:left="1676" w:leftChars="798" w:firstLine="480" w:firstLineChars="200"/>
        <w:rPr>
          <w:rFonts w:ascii="宋体" w:hAnsi="宋体" w:cs="宋体"/>
          <w:sz w:val="24"/>
        </w:rPr>
      </w:pPr>
    </w:p>
    <w:p w14:paraId="6D7CCD16">
      <w:pPr>
        <w:ind w:left="1676" w:leftChars="798" w:firstLine="720" w:firstLineChars="300"/>
        <w:rPr>
          <w:rFonts w:ascii="宋体" w:hAnsi="宋体" w:cs="宋体"/>
          <w:sz w:val="24"/>
        </w:rPr>
      </w:pPr>
    </w:p>
    <w:p w14:paraId="5E25A534">
      <w:pPr>
        <w:widowControl/>
        <w:ind w:left="1676" w:leftChars="798" w:firstLine="720" w:firstLineChars="300"/>
        <w:rPr>
          <w:rFonts w:ascii="宋体" w:hAnsi="宋体" w:cs="宋体"/>
          <w:sz w:val="24"/>
        </w:rPr>
      </w:pPr>
    </w:p>
    <w:p w14:paraId="3E4743BE">
      <w:pPr>
        <w:widowControl/>
        <w:ind w:left="1676" w:leftChars="798" w:firstLine="720" w:firstLineChars="300"/>
        <w:rPr>
          <w:rFonts w:ascii="宋体" w:hAnsi="宋体" w:cs="宋体"/>
          <w:sz w:val="24"/>
        </w:rPr>
      </w:pPr>
    </w:p>
    <w:p w14:paraId="1973E0CB">
      <w:pPr>
        <w:widowControl/>
        <w:ind w:left="1676" w:leftChars="798" w:firstLine="720" w:firstLineChars="300"/>
        <w:rPr>
          <w:rFonts w:ascii="宋体" w:hAnsi="宋体" w:cs="宋体"/>
          <w:sz w:val="24"/>
        </w:rPr>
      </w:pPr>
    </w:p>
    <w:p w14:paraId="2E4E463C">
      <w:pPr>
        <w:widowControl/>
        <w:ind w:left="1676" w:leftChars="798" w:firstLine="720" w:firstLineChars="300"/>
        <w:rPr>
          <w:rFonts w:ascii="宋体" w:hAnsi="宋体" w:cs="宋体"/>
          <w:sz w:val="24"/>
        </w:rPr>
      </w:pPr>
    </w:p>
    <w:p w14:paraId="146B7CB8">
      <w:pPr>
        <w:widowControl/>
        <w:ind w:left="1676" w:leftChars="798" w:firstLine="720" w:firstLineChars="300"/>
        <w:rPr>
          <w:rFonts w:ascii="宋体" w:hAnsi="宋体" w:cs="宋体"/>
          <w:sz w:val="24"/>
        </w:rPr>
      </w:pPr>
    </w:p>
    <w:p w14:paraId="0CB1810F">
      <w:pPr>
        <w:widowControl/>
        <w:ind w:left="1676" w:leftChars="798" w:firstLine="720" w:firstLineChars="300"/>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7"/>
          <w:rFonts w:hint="eastAsia" w:ascii="宋体" w:hAnsi="宋体" w:cs="宋体"/>
          <w:sz w:val="24"/>
        </w:rPr>
        <w:t>（全称并加盖公章）</w:t>
      </w:r>
    </w:p>
    <w:p w14:paraId="6A3B36FC">
      <w:pPr>
        <w:widowControl/>
        <w:ind w:firstLine="5160" w:firstLineChars="2150"/>
        <w:rPr>
          <w:rFonts w:ascii="宋体" w:hAnsi="宋体" w:cs="宋体"/>
          <w:sz w:val="24"/>
          <w:u w:val="single"/>
        </w:rPr>
      </w:pPr>
    </w:p>
    <w:p w14:paraId="3A2B8632">
      <w:pPr>
        <w:pStyle w:val="15"/>
        <w:widowControl/>
        <w:ind w:firstLine="480"/>
        <w:jc w:val="center"/>
        <w:rPr>
          <w:rFonts w:hAnsi="宋体" w:cs="宋体"/>
          <w:b/>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19E10CAB">
      <w:pPr>
        <w:spacing w:line="360" w:lineRule="auto"/>
        <w:jc w:val="center"/>
        <w:rPr>
          <w:rFonts w:ascii="宋体" w:hAnsi="宋体" w:cs="宋体"/>
          <w:bCs/>
          <w:sz w:val="24"/>
        </w:rPr>
        <w:sectPr>
          <w:footerReference r:id="rId20" w:type="default"/>
          <w:pgSz w:w="11906" w:h="16840"/>
          <w:pgMar w:top="1340" w:right="1260" w:bottom="740" w:left="1300" w:header="0" w:footer="543" w:gutter="0"/>
          <w:pgNumType w:fmt="decimal"/>
          <w:cols w:space="720" w:num="1"/>
        </w:sectPr>
      </w:pPr>
    </w:p>
    <w:p w14:paraId="6EDAE55F">
      <w:pPr>
        <w:kinsoku w:val="0"/>
        <w:overflowPunct w:val="0"/>
        <w:spacing w:line="400" w:lineRule="exact"/>
        <w:ind w:left="116"/>
        <w:jc w:val="center"/>
        <w:outlineLvl w:val="0"/>
        <w:rPr>
          <w:rFonts w:ascii="宋体" w:hAnsi="宋体" w:cs="宋体"/>
          <w:b/>
          <w:bCs/>
          <w:sz w:val="32"/>
          <w:szCs w:val="32"/>
        </w:rPr>
      </w:pPr>
      <w:bookmarkStart w:id="168" w:name="_Toc10231"/>
      <w:bookmarkStart w:id="169" w:name="_Toc14293_WPSOffice_Level1"/>
      <w:bookmarkStart w:id="170" w:name="_Toc15314"/>
      <w:bookmarkStart w:id="171" w:name="_Toc24478"/>
      <w:bookmarkStart w:id="172" w:name="_Toc12681"/>
      <w:bookmarkStart w:id="173" w:name="_Toc14939_WPSOffice_Level1"/>
      <w:bookmarkStart w:id="174" w:name="_Toc11902"/>
      <w:r>
        <w:rPr>
          <w:rFonts w:hint="eastAsia" w:ascii="宋体" w:hAnsi="宋体" w:cs="宋体"/>
          <w:b/>
          <w:bCs/>
          <w:spacing w:val="2"/>
          <w:sz w:val="32"/>
          <w:szCs w:val="32"/>
        </w:rPr>
        <w:t>法人授权委托书</w:t>
      </w:r>
      <w:bookmarkEnd w:id="168"/>
      <w:bookmarkEnd w:id="169"/>
      <w:bookmarkEnd w:id="170"/>
      <w:bookmarkEnd w:id="171"/>
      <w:bookmarkEnd w:id="172"/>
      <w:bookmarkEnd w:id="173"/>
      <w:bookmarkEnd w:id="174"/>
    </w:p>
    <w:p w14:paraId="7AF38871">
      <w:pPr>
        <w:spacing w:line="500" w:lineRule="exact"/>
        <w:jc w:val="left"/>
        <w:rPr>
          <w:rFonts w:ascii="宋体" w:hAnsi="宋体" w:cs="宋体"/>
        </w:rPr>
      </w:pPr>
    </w:p>
    <w:bookmarkEnd w:id="158"/>
    <w:bookmarkEnd w:id="159"/>
    <w:bookmarkEnd w:id="160"/>
    <w:bookmarkEnd w:id="161"/>
    <w:bookmarkEnd w:id="162"/>
    <w:bookmarkEnd w:id="163"/>
    <w:bookmarkEnd w:id="164"/>
    <w:bookmarkEnd w:id="165"/>
    <w:bookmarkEnd w:id="166"/>
    <w:p w14:paraId="1ED60C0F">
      <w:pPr>
        <w:spacing w:line="480" w:lineRule="auto"/>
        <w:ind w:firstLine="480" w:firstLineChars="200"/>
        <w:rPr>
          <w:rFonts w:ascii="宋体" w:hAnsi="宋体" w:cs="宋体"/>
          <w:sz w:val="24"/>
        </w:rPr>
      </w:pPr>
      <w:bookmarkStart w:id="175" w:name="_Toc324413769"/>
      <w:bookmarkStart w:id="176" w:name="_Toc21143_WPSOffice_Level1"/>
      <w:bookmarkStart w:id="177" w:name="_Toc7469_WPSOffice_Level1"/>
      <w:bookmarkStart w:id="178" w:name="_Toc20352_WPSOffice_Level1"/>
      <w:bookmarkStart w:id="179" w:name="_Toc19849_WPSOffice_Level1"/>
      <w:bookmarkStart w:id="180" w:name="_Toc236544987"/>
      <w:r>
        <w:rPr>
          <w:rFonts w:hint="eastAsia" w:ascii="宋体" w:hAnsi="宋体" w:cs="宋体"/>
          <w:sz w:val="24"/>
        </w:rPr>
        <w:t>本人</w:t>
      </w:r>
      <w:r>
        <w:rPr>
          <w:rFonts w:hint="eastAsia" w:ascii="宋体" w:hAnsi="宋体" w:cs="宋体"/>
          <w:sz w:val="24"/>
          <w:u w:val="single"/>
        </w:rPr>
        <w:t>（姓名）</w:t>
      </w:r>
      <w:r>
        <w:rPr>
          <w:rFonts w:hint="eastAsia" w:ascii="宋体" w:hAnsi="宋体" w:cs="宋体"/>
          <w:sz w:val="24"/>
        </w:rPr>
        <w:t>系</w:t>
      </w:r>
      <w:r>
        <w:rPr>
          <w:rFonts w:hint="eastAsia" w:ascii="宋体" w:hAnsi="宋体" w:cs="宋体"/>
          <w:sz w:val="24"/>
          <w:u w:val="single"/>
        </w:rPr>
        <w:t xml:space="preserve">  （供应商名称）  </w:t>
      </w:r>
      <w:r>
        <w:rPr>
          <w:rFonts w:hint="eastAsia" w:ascii="宋体" w:hAnsi="宋体" w:cs="宋体"/>
          <w:sz w:val="24"/>
        </w:rPr>
        <w:t>的法定代表人，现委托</w:t>
      </w:r>
      <w:r>
        <w:rPr>
          <w:rFonts w:hint="eastAsia" w:ascii="宋体" w:hAnsi="宋体" w:cs="宋体"/>
          <w:sz w:val="24"/>
          <w:u w:val="single"/>
        </w:rPr>
        <w:t xml:space="preserve"> （姓名） </w:t>
      </w:r>
      <w:r>
        <w:rPr>
          <w:rFonts w:hint="eastAsia" w:ascii="宋体" w:hAnsi="宋体" w:cs="宋体"/>
          <w:sz w:val="24"/>
        </w:rPr>
        <w:t>为我方代理人。代理人根据授权，以我方名义参加</w:t>
      </w:r>
      <w:r>
        <w:rPr>
          <w:rFonts w:hint="eastAsia" w:ascii="宋体" w:hAnsi="宋体" w:cs="宋体"/>
          <w:sz w:val="24"/>
          <w:u w:val="single"/>
        </w:rPr>
        <w:t xml:space="preserve">   </w:t>
      </w:r>
      <w:r>
        <w:rPr>
          <w:rFonts w:hint="eastAsia" w:hAnsi="宋体" w:cs="宋体"/>
          <w:sz w:val="24"/>
          <w:szCs w:val="24"/>
          <w:u w:val="single"/>
        </w:rPr>
        <w:t xml:space="preserve">（项目名称） </w:t>
      </w:r>
      <w:r>
        <w:rPr>
          <w:rFonts w:hint="eastAsia" w:ascii="宋体" w:hAnsi="宋体" w:cs="宋体"/>
          <w:sz w:val="24"/>
          <w:u w:val="single"/>
        </w:rPr>
        <w:t xml:space="preserve">   </w:t>
      </w:r>
      <w:r>
        <w:rPr>
          <w:rFonts w:hint="eastAsia" w:ascii="宋体" w:hAnsi="宋体" w:cs="宋体"/>
          <w:sz w:val="24"/>
        </w:rPr>
        <w:t>磋商会议、代表我方处理磋商过程中的一切事宜，其法律后果由我方承担。</w:t>
      </w:r>
    </w:p>
    <w:p w14:paraId="2B13F50F">
      <w:pPr>
        <w:spacing w:line="480" w:lineRule="auto"/>
        <w:ind w:firstLine="480" w:firstLineChars="200"/>
        <w:rPr>
          <w:rFonts w:ascii="宋体" w:hAnsi="宋体" w:cs="宋体"/>
          <w:sz w:val="24"/>
        </w:rPr>
      </w:pPr>
      <w:r>
        <w:rPr>
          <w:rFonts w:hint="eastAsia" w:ascii="宋体" w:hAnsi="宋体" w:cs="宋体"/>
          <w:sz w:val="24"/>
        </w:rPr>
        <w:t>委托期限：</w:t>
      </w:r>
      <w:r>
        <w:rPr>
          <w:rFonts w:hint="eastAsia" w:ascii="宋体" w:hAnsi="宋体" w:cs="宋体"/>
          <w:sz w:val="24"/>
          <w:u w:val="single"/>
        </w:rPr>
        <w:t xml:space="preserve">     </w:t>
      </w:r>
      <w:r>
        <w:rPr>
          <w:rFonts w:hint="eastAsia" w:ascii="宋体" w:hAnsi="宋体" w:cs="宋体"/>
          <w:sz w:val="24"/>
        </w:rPr>
        <w:t>个日历天（从递交磋商响应文件截止之日起计算）</w:t>
      </w:r>
    </w:p>
    <w:p w14:paraId="02358B78">
      <w:pPr>
        <w:spacing w:line="480" w:lineRule="auto"/>
        <w:ind w:firstLine="480" w:firstLineChars="200"/>
        <w:rPr>
          <w:rFonts w:ascii="宋体" w:hAnsi="宋体" w:cs="宋体"/>
          <w:sz w:val="24"/>
        </w:rPr>
      </w:pPr>
      <w:r>
        <w:rPr>
          <w:rFonts w:hint="eastAsia" w:ascii="宋体" w:hAnsi="宋体" w:cs="宋体"/>
          <w:sz w:val="24"/>
        </w:rPr>
        <w:t>代理人无转委托权。</w:t>
      </w:r>
    </w:p>
    <w:p w14:paraId="34371429">
      <w:pPr>
        <w:spacing w:line="480" w:lineRule="auto"/>
        <w:ind w:firstLine="480" w:firstLineChars="200"/>
        <w:rPr>
          <w:rFonts w:ascii="宋体" w:hAnsi="宋体" w:cs="宋体"/>
          <w:sz w:val="24"/>
        </w:rPr>
      </w:pPr>
      <w:r>
        <w:rPr>
          <w:rFonts w:hint="eastAsia" w:ascii="宋体" w:hAnsi="宋体" w:cs="宋体"/>
          <w:sz w:val="24"/>
        </w:rPr>
        <w:t>法定代表人：</w:t>
      </w:r>
      <w:r>
        <w:rPr>
          <w:rFonts w:hint="eastAsia" w:ascii="宋体" w:hAnsi="宋体" w:cs="宋体"/>
          <w:sz w:val="24"/>
          <w:u w:val="single"/>
        </w:rPr>
        <w:t xml:space="preserve">      （签字或盖章）</w:t>
      </w:r>
      <w:r>
        <w:rPr>
          <w:rFonts w:hint="eastAsia" w:ascii="宋体" w:hAnsi="宋体" w:cs="宋体"/>
          <w:sz w:val="24"/>
        </w:rPr>
        <w:t xml:space="preserve">   被授权人签字：</w:t>
      </w:r>
      <w:r>
        <w:rPr>
          <w:rFonts w:hint="eastAsia" w:ascii="宋体" w:hAnsi="宋体" w:cs="宋体"/>
          <w:sz w:val="24"/>
          <w:u w:val="single"/>
        </w:rPr>
        <w:t xml:space="preserve">              </w:t>
      </w:r>
      <w:r>
        <w:rPr>
          <w:rFonts w:hint="eastAsia" w:ascii="宋体" w:hAnsi="宋体" w:cs="宋体"/>
          <w:sz w:val="24"/>
        </w:rPr>
        <w:t xml:space="preserve"> </w:t>
      </w:r>
    </w:p>
    <w:p w14:paraId="1989CCCF">
      <w:pPr>
        <w:spacing w:line="480" w:lineRule="auto"/>
        <w:ind w:firstLine="480" w:firstLineChars="200"/>
        <w:rPr>
          <w:rFonts w:ascii="宋体" w:hAnsi="宋体" w:cs="宋体"/>
          <w:sz w:val="24"/>
        </w:rPr>
      </w:pPr>
      <w:r>
        <w:rPr>
          <w:rFonts w:hint="eastAsia" w:ascii="宋体" w:hAnsi="宋体" w:cs="宋体"/>
          <w:sz w:val="24"/>
        </w:rPr>
        <w:t>职      务：</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p>
    <w:p w14:paraId="3F24B553">
      <w:pPr>
        <w:spacing w:line="480" w:lineRule="auto"/>
        <w:ind w:firstLine="480" w:firstLineChars="200"/>
        <w:rPr>
          <w:rFonts w:ascii="宋体" w:hAnsi="宋体" w:cs="宋体"/>
          <w:sz w:val="24"/>
        </w:rPr>
      </w:pPr>
      <w:r>
        <w:rPr>
          <w:rFonts w:hint="eastAsia" w:ascii="宋体" w:hAnsi="宋体" w:cs="宋体"/>
          <w:sz w:val="24"/>
        </w:rPr>
        <w:t>身 份 证 号 ：</w:t>
      </w:r>
      <w:r>
        <w:rPr>
          <w:rFonts w:hint="eastAsia" w:ascii="宋体" w:hAnsi="宋体" w:cs="宋体"/>
          <w:sz w:val="24"/>
          <w:u w:val="single"/>
        </w:rPr>
        <w:t xml:space="preserve">                 </w:t>
      </w:r>
      <w:r>
        <w:rPr>
          <w:rFonts w:hint="eastAsia" w:ascii="宋体" w:hAnsi="宋体" w:cs="宋体"/>
          <w:sz w:val="24"/>
        </w:rPr>
        <w:t xml:space="preserve">    身 份 证 号 ：</w:t>
      </w:r>
      <w:r>
        <w:rPr>
          <w:rFonts w:hint="eastAsia" w:ascii="宋体" w:hAnsi="宋体" w:cs="宋体"/>
          <w:sz w:val="24"/>
          <w:u w:val="single"/>
        </w:rPr>
        <w:t xml:space="preserve">              </w:t>
      </w:r>
    </w:p>
    <w:p w14:paraId="74B52367">
      <w:pPr>
        <w:autoSpaceDE w:val="0"/>
        <w:autoSpaceDN w:val="0"/>
        <w:adjustRightInd w:val="0"/>
        <w:spacing w:line="360" w:lineRule="auto"/>
        <w:ind w:firstLine="360" w:firstLineChars="150"/>
        <w:rPr>
          <w:rFonts w:ascii="宋体" w:hAnsi="宋体" w:cs="宋体"/>
          <w:sz w:val="24"/>
        </w:rPr>
      </w:pPr>
      <w:r>
        <w:rPr>
          <w:rFonts w:hint="eastAsia" w:ascii="宋体" w:hAnsi="宋体" w:cs="宋体"/>
          <w:sz w:val="24"/>
          <w:lang w:val="zh-CN"/>
        </w:rPr>
        <w:t>法定代表人</w:t>
      </w:r>
      <w:r>
        <w:rPr>
          <w:rFonts w:hint="eastAsia" w:ascii="宋体" w:hAnsi="宋体" w:cs="宋体"/>
          <w:sz w:val="24"/>
        </w:rPr>
        <w:t>及</w:t>
      </w:r>
      <w:r>
        <w:rPr>
          <w:rFonts w:hint="eastAsia" w:ascii="宋体" w:hAnsi="宋体" w:cs="宋体"/>
          <w:sz w:val="24"/>
          <w:lang w:val="zh-CN"/>
        </w:rPr>
        <w:t>授权代表身份证复印件</w:t>
      </w:r>
    </w:p>
    <w:tbl>
      <w:tblPr>
        <w:tblStyle w:val="22"/>
        <w:tblW w:w="0" w:type="auto"/>
        <w:tblInd w:w="679" w:type="dxa"/>
        <w:tblLayout w:type="fixed"/>
        <w:tblCellMar>
          <w:top w:w="0" w:type="dxa"/>
          <w:left w:w="108" w:type="dxa"/>
          <w:bottom w:w="0" w:type="dxa"/>
          <w:right w:w="108" w:type="dxa"/>
        </w:tblCellMar>
      </w:tblPr>
      <w:tblGrid>
        <w:gridCol w:w="4049"/>
        <w:gridCol w:w="3885"/>
      </w:tblGrid>
      <w:tr w14:paraId="41EA4764">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6568F31D">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法定代表人身份证复印件</w:t>
            </w:r>
          </w:p>
          <w:p w14:paraId="386A3235">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5D7D9A8E">
            <w:pPr>
              <w:autoSpaceDE w:val="0"/>
              <w:autoSpaceDN w:val="0"/>
              <w:adjustRightInd w:val="0"/>
              <w:spacing w:line="312" w:lineRule="auto"/>
              <w:jc w:val="center"/>
              <w:rPr>
                <w:rFonts w:ascii="宋体" w:hAnsi="宋体" w:cs="宋体"/>
                <w:sz w:val="24"/>
                <w:lang w:val="zh-CN"/>
              </w:rPr>
            </w:pPr>
            <w:r>
              <w:rPr>
                <w:rFonts w:hint="eastAsia" w:ascii="宋体" w:hAnsi="宋体" w:cs="宋体"/>
                <w:sz w:val="24"/>
                <w:lang w:val="zh-CN"/>
              </w:rPr>
              <w:t>授权代表身份证复印件</w:t>
            </w:r>
          </w:p>
          <w:p w14:paraId="0CA3C552">
            <w:pPr>
              <w:autoSpaceDE w:val="0"/>
              <w:autoSpaceDN w:val="0"/>
              <w:adjustRightInd w:val="0"/>
              <w:spacing w:line="312" w:lineRule="auto"/>
              <w:jc w:val="center"/>
              <w:rPr>
                <w:rFonts w:ascii="宋体" w:hAnsi="宋体" w:cs="宋体"/>
                <w:sz w:val="24"/>
                <w:u w:val="single"/>
              </w:rPr>
            </w:pPr>
            <w:r>
              <w:rPr>
                <w:rFonts w:hint="eastAsia" w:ascii="宋体" w:hAnsi="宋体" w:cs="宋体"/>
                <w:sz w:val="24"/>
                <w:lang w:val="zh-CN"/>
              </w:rPr>
              <w:t>（正反面）</w:t>
            </w:r>
          </w:p>
        </w:tc>
      </w:tr>
    </w:tbl>
    <w:p w14:paraId="141051B6">
      <w:pPr>
        <w:adjustRightInd w:val="0"/>
        <w:snapToGrid w:val="0"/>
        <w:spacing w:line="360" w:lineRule="auto"/>
        <w:rPr>
          <w:rFonts w:ascii="宋体" w:hAnsi="宋体" w:cs="宋体"/>
          <w:sz w:val="24"/>
        </w:rPr>
      </w:pPr>
    </w:p>
    <w:p w14:paraId="53A7643F">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供应商名称： </w:t>
      </w:r>
      <w:r>
        <w:rPr>
          <w:rFonts w:hint="eastAsia" w:ascii="宋体" w:hAnsi="宋体" w:cs="宋体"/>
          <w:sz w:val="24"/>
          <w:u w:val="single"/>
        </w:rPr>
        <w:t xml:space="preserve">          </w:t>
      </w:r>
      <w:r>
        <w:rPr>
          <w:rStyle w:val="27"/>
          <w:rFonts w:hint="eastAsia" w:ascii="宋体" w:hAnsi="宋体" w:cs="宋体"/>
          <w:sz w:val="24"/>
        </w:rPr>
        <w:t>（全称并加盖公章）</w:t>
      </w:r>
      <w:r>
        <w:rPr>
          <w:rFonts w:hint="eastAsia" w:ascii="宋体" w:hAnsi="宋体" w:cs="宋体"/>
          <w:sz w:val="24"/>
        </w:rPr>
        <w:t xml:space="preserve"> </w:t>
      </w:r>
    </w:p>
    <w:p w14:paraId="4361D9C8">
      <w:pPr>
        <w:adjustRightInd w:val="0"/>
        <w:snapToGrid w:val="0"/>
        <w:spacing w:line="360" w:lineRule="auto"/>
        <w:rPr>
          <w:rFonts w:ascii="宋体" w:hAnsi="宋体" w:cs="宋体"/>
          <w:sz w:val="24"/>
        </w:rPr>
      </w:pPr>
      <w:r>
        <w:rPr>
          <w:rFonts w:hint="eastAsia" w:ascii="宋体" w:hAnsi="宋体" w:cs="宋体"/>
          <w:sz w:val="24"/>
        </w:rPr>
        <w:t xml:space="preserve">     </w:t>
      </w:r>
    </w:p>
    <w:p w14:paraId="21A8350B">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法定代表人： </w:t>
      </w:r>
      <w:r>
        <w:rPr>
          <w:rFonts w:hint="eastAsia" w:ascii="宋体" w:hAnsi="宋体" w:cs="宋体"/>
          <w:sz w:val="24"/>
          <w:u w:val="single"/>
        </w:rPr>
        <w:t xml:space="preserve">          </w:t>
      </w:r>
      <w:r>
        <w:rPr>
          <w:rFonts w:hint="eastAsia" w:ascii="宋体" w:hAnsi="宋体" w:cs="宋体"/>
          <w:sz w:val="24"/>
        </w:rPr>
        <w:t>（签字或盖章）</w:t>
      </w:r>
    </w:p>
    <w:p w14:paraId="56243266">
      <w:pPr>
        <w:pStyle w:val="2"/>
        <w:rPr>
          <w:rFonts w:ascii="宋体" w:hAnsi="宋体" w:cs="宋体"/>
          <w:sz w:val="24"/>
        </w:rPr>
      </w:pPr>
    </w:p>
    <w:p w14:paraId="453507E6">
      <w:pPr>
        <w:snapToGrid w:val="0"/>
        <w:ind w:firstLine="480" w:firstLineChars="200"/>
        <w:textAlignment w:val="baseline"/>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17DFD52">
      <w:pPr>
        <w:snapToGrid w:val="0"/>
        <w:ind w:firstLine="480" w:firstLineChars="200"/>
        <w:textAlignment w:val="baseline"/>
        <w:rPr>
          <w:rFonts w:ascii="宋体" w:hAnsi="宋体" w:cs="宋体"/>
          <w:sz w:val="24"/>
        </w:rPr>
      </w:pPr>
    </w:p>
    <w:p w14:paraId="2B5B77F3">
      <w:pPr>
        <w:snapToGrid w:val="0"/>
        <w:ind w:firstLine="480" w:firstLineChars="200"/>
        <w:textAlignment w:val="baseline"/>
        <w:rPr>
          <w:rFonts w:ascii="宋体" w:hAnsi="宋体" w:cs="宋体"/>
          <w:sz w:val="24"/>
        </w:rPr>
      </w:pPr>
    </w:p>
    <w:p w14:paraId="16069225">
      <w:pPr>
        <w:snapToGrid w:val="0"/>
        <w:spacing w:line="360" w:lineRule="auto"/>
        <w:ind w:firstLine="480" w:firstLineChars="200"/>
        <w:textAlignment w:val="baseline"/>
        <w:rPr>
          <w:rStyle w:val="27"/>
          <w:rFonts w:ascii="宋体" w:hAnsi="宋体"/>
          <w:sz w:val="24"/>
        </w:rPr>
        <w:sectPr>
          <w:footerReference r:id="rId21" w:type="default"/>
          <w:pgSz w:w="11906" w:h="16840"/>
          <w:pgMar w:top="1560" w:right="1040" w:bottom="740" w:left="1300" w:header="0" w:footer="543" w:gutter="0"/>
          <w:pgNumType w:fmt="decimal"/>
          <w:cols w:space="720" w:num="1"/>
          <w:docGrid w:linePitch="1" w:charSpace="0"/>
        </w:sectPr>
      </w:pPr>
      <w:r>
        <w:rPr>
          <w:rStyle w:val="27"/>
          <w:rFonts w:hint="eastAsia" w:ascii="宋体" w:hAnsi="宋体" w:cs="宋体"/>
          <w:sz w:val="24"/>
        </w:rPr>
        <w:t>注：</w:t>
      </w:r>
      <w:r>
        <w:rPr>
          <w:rStyle w:val="27"/>
          <w:rFonts w:ascii="宋体" w:hAnsi="宋体"/>
          <w:sz w:val="24"/>
        </w:rPr>
        <w:t>若法定代表人直接参加</w:t>
      </w:r>
      <w:r>
        <w:rPr>
          <w:rStyle w:val="27"/>
          <w:rFonts w:hint="eastAsia" w:ascii="宋体" w:hAnsi="宋体"/>
          <w:sz w:val="24"/>
        </w:rPr>
        <w:t>磋商</w:t>
      </w:r>
      <w:r>
        <w:rPr>
          <w:rStyle w:val="27"/>
          <w:rFonts w:ascii="宋体" w:hAnsi="宋体"/>
          <w:sz w:val="24"/>
        </w:rPr>
        <w:t>的，此页不必填写</w:t>
      </w:r>
      <w:r>
        <w:rPr>
          <w:rStyle w:val="27"/>
          <w:rFonts w:hint="eastAsia" w:ascii="宋体" w:hAnsi="宋体"/>
          <w:sz w:val="24"/>
        </w:rPr>
        <w:t>；</w:t>
      </w:r>
      <w:r>
        <w:rPr>
          <w:rStyle w:val="27"/>
          <w:rFonts w:ascii="宋体" w:hAnsi="宋体"/>
          <w:sz w:val="24"/>
        </w:rPr>
        <w:t>若</w:t>
      </w:r>
      <w:r>
        <w:rPr>
          <w:rFonts w:hint="eastAsia" w:ascii="宋体" w:hAnsi="宋体" w:cs="宋体"/>
          <w:sz w:val="24"/>
        </w:rPr>
        <w:t>法定代表人授权代表参加磋商的</w:t>
      </w:r>
      <w:r>
        <w:rPr>
          <w:rStyle w:val="27"/>
          <w:rFonts w:ascii="宋体" w:hAnsi="宋体"/>
          <w:sz w:val="24"/>
        </w:rPr>
        <w:t>，此页</w:t>
      </w:r>
      <w:r>
        <w:rPr>
          <w:rStyle w:val="27"/>
          <w:rFonts w:hint="eastAsia" w:ascii="宋体" w:hAnsi="宋体"/>
          <w:sz w:val="24"/>
        </w:rPr>
        <w:t>须</w:t>
      </w:r>
      <w:r>
        <w:rPr>
          <w:rStyle w:val="27"/>
          <w:rFonts w:ascii="宋体" w:hAnsi="宋体"/>
          <w:sz w:val="24"/>
        </w:rPr>
        <w:t>填写。</w:t>
      </w:r>
    </w:p>
    <w:bookmarkEnd w:id="175"/>
    <w:p w14:paraId="35962967">
      <w:pPr>
        <w:jc w:val="center"/>
        <w:outlineLvl w:val="0"/>
        <w:rPr>
          <w:rFonts w:ascii="宋体" w:hAnsi="宋体" w:cs="宋体"/>
          <w:b/>
          <w:sz w:val="36"/>
          <w:szCs w:val="36"/>
        </w:rPr>
      </w:pPr>
      <w:bookmarkStart w:id="181" w:name="_Toc26428"/>
      <w:bookmarkStart w:id="182" w:name="_Toc20873"/>
      <w:bookmarkStart w:id="183" w:name="_Toc4528"/>
      <w:bookmarkStart w:id="184" w:name="_Toc10525"/>
      <w:bookmarkStart w:id="185" w:name="_Toc15419"/>
      <w:r>
        <w:rPr>
          <w:rFonts w:hint="eastAsia" w:ascii="宋体" w:hAnsi="宋体" w:cs="宋体"/>
          <w:b/>
          <w:sz w:val="32"/>
          <w:szCs w:val="32"/>
        </w:rPr>
        <w:t xml:space="preserve">第三部分 </w:t>
      </w:r>
      <w:r>
        <w:rPr>
          <w:rStyle w:val="37"/>
          <w:rFonts w:hint="eastAsia" w:ascii="宋体" w:hAnsi="宋体" w:cs="宋体"/>
          <w:lang w:val="zh-CN"/>
        </w:rPr>
        <w:t>首次磋商报价表</w:t>
      </w:r>
      <w:bookmarkEnd w:id="176"/>
      <w:bookmarkEnd w:id="177"/>
      <w:bookmarkEnd w:id="178"/>
      <w:bookmarkEnd w:id="179"/>
      <w:bookmarkEnd w:id="181"/>
      <w:bookmarkEnd w:id="182"/>
      <w:bookmarkEnd w:id="183"/>
      <w:bookmarkEnd w:id="184"/>
      <w:bookmarkEnd w:id="185"/>
    </w:p>
    <w:p w14:paraId="5E31C0DC">
      <w:pPr>
        <w:spacing w:line="360" w:lineRule="auto"/>
        <w:rPr>
          <w:rFonts w:ascii="宋体" w:hAnsi="宋体" w:cs="宋体"/>
        </w:rPr>
      </w:pPr>
    </w:p>
    <w:tbl>
      <w:tblPr>
        <w:tblStyle w:val="22"/>
        <w:tblW w:w="943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7674"/>
      </w:tblGrid>
      <w:tr w14:paraId="6CC4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4448DDD8">
            <w:pPr>
              <w:spacing w:line="560" w:lineRule="exact"/>
              <w:jc w:val="center"/>
              <w:rPr>
                <w:rFonts w:hint="eastAsia" w:ascii="宋体" w:hAnsi="宋体" w:eastAsia="宋体" w:cs="宋体"/>
                <w:lang w:val="en-US" w:eastAsia="zh-CN"/>
              </w:rPr>
            </w:pPr>
            <w:r>
              <w:rPr>
                <w:rFonts w:hint="eastAsia" w:ascii="宋体" w:hAnsi="宋体" w:cs="宋体"/>
              </w:rPr>
              <w:t>项目名称</w:t>
            </w:r>
          </w:p>
        </w:tc>
        <w:tc>
          <w:tcPr>
            <w:tcW w:w="7674" w:type="dxa"/>
            <w:vAlign w:val="center"/>
          </w:tcPr>
          <w:p w14:paraId="49858E8A">
            <w:pPr>
              <w:spacing w:line="560" w:lineRule="exact"/>
              <w:jc w:val="left"/>
              <w:rPr>
                <w:rFonts w:ascii="宋体" w:hAnsi="宋体" w:cs="宋体"/>
              </w:rPr>
            </w:pPr>
          </w:p>
        </w:tc>
      </w:tr>
      <w:tr w14:paraId="7EA79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exact"/>
        </w:trPr>
        <w:tc>
          <w:tcPr>
            <w:tcW w:w="1765" w:type="dxa"/>
            <w:vAlign w:val="center"/>
          </w:tcPr>
          <w:p w14:paraId="7D72D74C">
            <w:pPr>
              <w:spacing w:line="560" w:lineRule="exact"/>
              <w:jc w:val="center"/>
              <w:rPr>
                <w:rFonts w:ascii="宋体" w:hAnsi="宋体" w:cs="宋体"/>
              </w:rPr>
            </w:pPr>
            <w:r>
              <w:rPr>
                <w:rFonts w:hint="eastAsia" w:ascii="宋体" w:hAnsi="宋体" w:cs="宋体"/>
              </w:rPr>
              <w:t>项目编号</w:t>
            </w:r>
          </w:p>
        </w:tc>
        <w:tc>
          <w:tcPr>
            <w:tcW w:w="7674" w:type="dxa"/>
            <w:vAlign w:val="center"/>
          </w:tcPr>
          <w:p w14:paraId="14925A33">
            <w:pPr>
              <w:spacing w:line="560" w:lineRule="exact"/>
              <w:jc w:val="left"/>
              <w:rPr>
                <w:rFonts w:ascii="宋体" w:hAnsi="宋体" w:cs="宋体"/>
              </w:rPr>
            </w:pPr>
          </w:p>
        </w:tc>
      </w:tr>
      <w:tr w14:paraId="2522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Align w:val="center"/>
          </w:tcPr>
          <w:p w14:paraId="4E04B0AB">
            <w:pPr>
              <w:spacing w:line="560" w:lineRule="exact"/>
              <w:jc w:val="center"/>
              <w:rPr>
                <w:rFonts w:ascii="宋体" w:hAnsi="宋体" w:cs="宋体"/>
              </w:rPr>
            </w:pPr>
            <w:r>
              <w:rPr>
                <w:rFonts w:hint="eastAsia" w:ascii="宋体" w:hAnsi="宋体" w:cs="宋体"/>
              </w:rPr>
              <w:t>供应商名称</w:t>
            </w:r>
          </w:p>
        </w:tc>
        <w:tc>
          <w:tcPr>
            <w:tcW w:w="7674" w:type="dxa"/>
            <w:vAlign w:val="center"/>
          </w:tcPr>
          <w:p w14:paraId="41D10F9E">
            <w:pPr>
              <w:spacing w:line="560" w:lineRule="exact"/>
              <w:rPr>
                <w:rFonts w:ascii="宋体" w:hAnsi="宋体" w:cs="宋体"/>
              </w:rPr>
            </w:pPr>
          </w:p>
        </w:tc>
      </w:tr>
      <w:tr w14:paraId="1C7C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restart"/>
            <w:vAlign w:val="center"/>
          </w:tcPr>
          <w:p w14:paraId="0617B1A4">
            <w:pPr>
              <w:spacing w:line="560" w:lineRule="exact"/>
              <w:jc w:val="center"/>
              <w:rPr>
                <w:rFonts w:ascii="宋体" w:hAnsi="宋体" w:cs="宋体"/>
              </w:rPr>
            </w:pPr>
            <w:r>
              <w:rPr>
                <w:rFonts w:hint="eastAsia" w:ascii="宋体" w:hAnsi="宋体" w:cs="宋体"/>
              </w:rPr>
              <w:t>磋商报价（元）</w:t>
            </w:r>
          </w:p>
        </w:tc>
        <w:tc>
          <w:tcPr>
            <w:tcW w:w="7674" w:type="dxa"/>
            <w:vAlign w:val="center"/>
          </w:tcPr>
          <w:p w14:paraId="2B9B9149">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564E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9" w:hRule="exact"/>
        </w:trPr>
        <w:tc>
          <w:tcPr>
            <w:tcW w:w="1765" w:type="dxa"/>
            <w:vMerge w:val="continue"/>
            <w:vAlign w:val="center"/>
          </w:tcPr>
          <w:p w14:paraId="6142AB8B">
            <w:pPr>
              <w:spacing w:line="560" w:lineRule="exact"/>
              <w:jc w:val="center"/>
              <w:rPr>
                <w:rFonts w:ascii="宋体" w:hAnsi="宋体" w:cs="宋体"/>
              </w:rPr>
            </w:pPr>
          </w:p>
        </w:tc>
        <w:tc>
          <w:tcPr>
            <w:tcW w:w="7674" w:type="dxa"/>
            <w:vAlign w:val="center"/>
          </w:tcPr>
          <w:p w14:paraId="3A0300D9">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466BF555">
            <w:pPr>
              <w:spacing w:line="560" w:lineRule="exact"/>
              <w:rPr>
                <w:rFonts w:ascii="宋体" w:hAnsi="宋体" w:cs="宋体"/>
              </w:rPr>
            </w:pPr>
          </w:p>
        </w:tc>
      </w:tr>
      <w:tr w14:paraId="4F00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94" w:hRule="exact"/>
        </w:trPr>
        <w:tc>
          <w:tcPr>
            <w:tcW w:w="1765" w:type="dxa"/>
            <w:vAlign w:val="center"/>
          </w:tcPr>
          <w:p w14:paraId="47EC171F">
            <w:pPr>
              <w:spacing w:line="560" w:lineRule="exact"/>
              <w:jc w:val="center"/>
              <w:rPr>
                <w:rFonts w:hint="eastAsia" w:ascii="宋体" w:hAnsi="宋体" w:eastAsia="宋体" w:cs="宋体"/>
                <w:lang w:eastAsia="zh-CN"/>
              </w:rPr>
            </w:pPr>
            <w:r>
              <w:rPr>
                <w:rFonts w:hint="eastAsia" w:ascii="宋体" w:hAnsi="宋体" w:cs="宋体"/>
                <w:lang w:eastAsia="zh-CN"/>
              </w:rPr>
              <w:t>监理服务期</w:t>
            </w:r>
          </w:p>
        </w:tc>
        <w:tc>
          <w:tcPr>
            <w:tcW w:w="7674" w:type="dxa"/>
            <w:vAlign w:val="center"/>
          </w:tcPr>
          <w:p w14:paraId="0AC4CB82">
            <w:pPr>
              <w:spacing w:line="560" w:lineRule="exact"/>
              <w:rPr>
                <w:rFonts w:ascii="宋体" w:hAnsi="宋体" w:cs="宋体"/>
              </w:rPr>
            </w:pPr>
          </w:p>
        </w:tc>
      </w:tr>
    </w:tbl>
    <w:p w14:paraId="1C828E90">
      <w:pPr>
        <w:widowControl/>
        <w:spacing w:line="360" w:lineRule="auto"/>
        <w:jc w:val="left"/>
        <w:rPr>
          <w:rFonts w:ascii="宋体" w:hAnsi="宋体" w:cs="宋体"/>
          <w:b/>
          <w:szCs w:val="21"/>
        </w:rPr>
      </w:pPr>
      <w:r>
        <w:rPr>
          <w:rFonts w:hint="eastAsia" w:ascii="宋体" w:hAnsi="宋体" w:cs="宋体"/>
          <w:b/>
          <w:szCs w:val="21"/>
        </w:rPr>
        <w:t>注：1、本表价格应按磋商报价填写，同时应保证竞争性磋商响应文件的正、副本中仍有此表且一致。</w:t>
      </w:r>
    </w:p>
    <w:p w14:paraId="1E5B147A">
      <w:pPr>
        <w:widowControl/>
        <w:spacing w:line="360" w:lineRule="auto"/>
        <w:ind w:firstLine="422" w:firstLineChars="200"/>
        <w:jc w:val="left"/>
        <w:rPr>
          <w:rFonts w:ascii="宋体" w:hAnsi="宋体" w:cs="宋体"/>
          <w:b/>
          <w:szCs w:val="21"/>
        </w:rPr>
      </w:pPr>
      <w:r>
        <w:rPr>
          <w:rFonts w:hint="eastAsia" w:ascii="宋体" w:hAnsi="宋体" w:cs="宋体"/>
          <w:b/>
          <w:szCs w:val="21"/>
        </w:rPr>
        <w:t>2、报价精确到元，保留小数点后两位。</w:t>
      </w:r>
    </w:p>
    <w:p w14:paraId="115F50C4">
      <w:pPr>
        <w:widowControl/>
        <w:spacing w:line="360" w:lineRule="auto"/>
        <w:ind w:firstLine="422" w:firstLineChars="200"/>
        <w:jc w:val="left"/>
        <w:rPr>
          <w:rFonts w:ascii="宋体" w:hAnsi="宋体" w:cs="宋体"/>
          <w:b/>
          <w:szCs w:val="21"/>
        </w:rPr>
      </w:pPr>
      <w:r>
        <w:rPr>
          <w:rFonts w:hint="eastAsia" w:ascii="宋体" w:hAnsi="宋体" w:cs="宋体"/>
          <w:b/>
          <w:szCs w:val="21"/>
        </w:rPr>
        <w:t>3、此表中任何信息与响应文件其它处不一致时以此表为准。</w:t>
      </w:r>
    </w:p>
    <w:p w14:paraId="5415BA86">
      <w:pPr>
        <w:widowControl/>
        <w:spacing w:line="360" w:lineRule="auto"/>
        <w:jc w:val="left"/>
        <w:rPr>
          <w:rFonts w:ascii="宋体" w:hAnsi="宋体" w:cs="宋体"/>
          <w:sz w:val="24"/>
        </w:rPr>
      </w:pPr>
    </w:p>
    <w:p w14:paraId="33393E13">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7"/>
          <w:rFonts w:hint="eastAsia" w:ascii="宋体" w:hAnsi="宋体" w:cs="宋体"/>
          <w:sz w:val="24"/>
        </w:rPr>
        <w:t>（全称并加盖公章）</w:t>
      </w:r>
    </w:p>
    <w:p w14:paraId="45A33C7D">
      <w:pPr>
        <w:pStyle w:val="5"/>
        <w:rPr>
          <w:rFonts w:ascii="宋体" w:hAnsi="宋体" w:cs="宋体"/>
        </w:rPr>
      </w:pPr>
    </w:p>
    <w:p w14:paraId="65A50DDD">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540B69EF">
      <w:pPr>
        <w:pStyle w:val="5"/>
        <w:rPr>
          <w:rFonts w:ascii="宋体" w:hAnsi="宋体" w:cs="宋体"/>
        </w:rPr>
      </w:pPr>
    </w:p>
    <w:p w14:paraId="65830B1D">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692C8B3">
      <w:pPr>
        <w:ind w:left="97" w:leftChars="46"/>
        <w:rPr>
          <w:rFonts w:ascii="宋体" w:hAnsi="宋体" w:cs="宋体"/>
          <w:b/>
          <w:szCs w:val="21"/>
        </w:rPr>
      </w:pPr>
      <w:r>
        <w:rPr>
          <w:rFonts w:hint="eastAsia" w:ascii="宋体" w:hAnsi="宋体" w:cs="宋体"/>
          <w:b/>
          <w:szCs w:val="21"/>
        </w:rPr>
        <w:t>注： 填写此表时不得改变表格的形式。</w:t>
      </w:r>
    </w:p>
    <w:p w14:paraId="19C1C865">
      <w:pPr>
        <w:ind w:left="97" w:leftChars="46"/>
        <w:rPr>
          <w:rFonts w:ascii="宋体" w:hAnsi="宋体" w:cs="宋体"/>
          <w:b/>
          <w:szCs w:val="21"/>
        </w:rPr>
        <w:sectPr>
          <w:footerReference r:id="rId22" w:type="default"/>
          <w:pgSz w:w="11906" w:h="16838"/>
          <w:pgMar w:top="1304" w:right="1361" w:bottom="1304" w:left="1361" w:header="510" w:footer="510" w:gutter="0"/>
          <w:pgNumType w:fmt="decimal"/>
          <w:cols w:space="720" w:num="1"/>
          <w:docGrid w:type="lines" w:linePitch="326" w:charSpace="0"/>
        </w:sectPr>
      </w:pPr>
    </w:p>
    <w:p w14:paraId="16308F99">
      <w:pPr>
        <w:jc w:val="center"/>
        <w:outlineLvl w:val="0"/>
        <w:rPr>
          <w:rFonts w:ascii="宋体" w:hAnsi="宋体" w:cs="宋体"/>
          <w:b/>
          <w:sz w:val="36"/>
          <w:szCs w:val="36"/>
        </w:rPr>
      </w:pPr>
      <w:bookmarkStart w:id="186" w:name="_Toc8570_WPSOffice_Level1"/>
      <w:bookmarkStart w:id="187" w:name="_Toc18989_WPSOffice_Level1"/>
      <w:bookmarkStart w:id="188" w:name="_Toc17667_WPSOffice_Level1"/>
      <w:bookmarkStart w:id="189" w:name="_Toc286591018"/>
      <w:bookmarkStart w:id="190" w:name="_Toc324413766"/>
      <w:bookmarkStart w:id="191" w:name="_Toc236544980"/>
      <w:bookmarkStart w:id="192" w:name="_Toc245632488"/>
      <w:r>
        <w:rPr>
          <w:rStyle w:val="37"/>
          <w:rFonts w:hint="eastAsia" w:ascii="宋体" w:hAnsi="宋体" w:cs="宋体"/>
          <w:lang w:val="zh-CN"/>
        </w:rPr>
        <w:t>磋商最后报价表</w:t>
      </w:r>
    </w:p>
    <w:p w14:paraId="0B3DCF5C">
      <w:pPr>
        <w:spacing w:line="360" w:lineRule="auto"/>
        <w:rPr>
          <w:rFonts w:ascii="宋体" w:hAnsi="宋体" w:cs="宋体"/>
        </w:rPr>
      </w:pPr>
    </w:p>
    <w:tbl>
      <w:tblPr>
        <w:tblStyle w:val="22"/>
        <w:tblW w:w="906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3"/>
        <w:gridCol w:w="7295"/>
      </w:tblGrid>
      <w:tr w14:paraId="28DE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323EED51">
            <w:pPr>
              <w:spacing w:line="560" w:lineRule="exact"/>
              <w:jc w:val="center"/>
              <w:rPr>
                <w:rFonts w:ascii="宋体" w:hAnsi="宋体" w:cs="宋体"/>
              </w:rPr>
            </w:pPr>
            <w:r>
              <w:rPr>
                <w:rFonts w:hint="eastAsia" w:ascii="宋体" w:hAnsi="宋体" w:cs="宋体"/>
              </w:rPr>
              <w:t>项目名称</w:t>
            </w:r>
          </w:p>
        </w:tc>
        <w:tc>
          <w:tcPr>
            <w:tcW w:w="7295" w:type="dxa"/>
            <w:vAlign w:val="center"/>
          </w:tcPr>
          <w:p w14:paraId="12AB0E58">
            <w:pPr>
              <w:spacing w:line="560" w:lineRule="exact"/>
              <w:jc w:val="left"/>
              <w:rPr>
                <w:rFonts w:ascii="宋体" w:hAnsi="宋体" w:cs="宋体"/>
              </w:rPr>
            </w:pPr>
          </w:p>
        </w:tc>
      </w:tr>
      <w:tr w14:paraId="45CEF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exact"/>
        </w:trPr>
        <w:tc>
          <w:tcPr>
            <w:tcW w:w="1773" w:type="dxa"/>
            <w:vAlign w:val="center"/>
          </w:tcPr>
          <w:p w14:paraId="5C4174E1">
            <w:pPr>
              <w:spacing w:line="560" w:lineRule="exact"/>
              <w:jc w:val="center"/>
              <w:rPr>
                <w:rFonts w:ascii="宋体" w:hAnsi="宋体" w:cs="宋体"/>
              </w:rPr>
            </w:pPr>
            <w:r>
              <w:rPr>
                <w:rFonts w:hint="eastAsia" w:ascii="宋体" w:hAnsi="宋体" w:cs="宋体"/>
              </w:rPr>
              <w:t>项目编号</w:t>
            </w:r>
          </w:p>
        </w:tc>
        <w:tc>
          <w:tcPr>
            <w:tcW w:w="7295" w:type="dxa"/>
            <w:vAlign w:val="center"/>
          </w:tcPr>
          <w:p w14:paraId="4874BF08">
            <w:pPr>
              <w:spacing w:line="560" w:lineRule="exact"/>
              <w:jc w:val="left"/>
              <w:rPr>
                <w:rFonts w:ascii="宋体" w:hAnsi="宋体" w:cs="宋体"/>
              </w:rPr>
            </w:pPr>
          </w:p>
        </w:tc>
      </w:tr>
      <w:tr w14:paraId="4019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Align w:val="center"/>
          </w:tcPr>
          <w:p w14:paraId="24341DBA">
            <w:pPr>
              <w:spacing w:line="560" w:lineRule="exact"/>
              <w:jc w:val="center"/>
              <w:rPr>
                <w:rFonts w:ascii="宋体" w:hAnsi="宋体" w:cs="宋体"/>
              </w:rPr>
            </w:pPr>
            <w:r>
              <w:rPr>
                <w:rFonts w:hint="eastAsia" w:ascii="宋体" w:hAnsi="宋体" w:cs="宋体"/>
              </w:rPr>
              <w:t>供应商名称</w:t>
            </w:r>
          </w:p>
        </w:tc>
        <w:tc>
          <w:tcPr>
            <w:tcW w:w="7295" w:type="dxa"/>
            <w:vAlign w:val="center"/>
          </w:tcPr>
          <w:p w14:paraId="6952B8F8">
            <w:pPr>
              <w:spacing w:line="560" w:lineRule="exact"/>
              <w:rPr>
                <w:rFonts w:ascii="宋体" w:hAnsi="宋体" w:cs="宋体"/>
              </w:rPr>
            </w:pPr>
          </w:p>
        </w:tc>
      </w:tr>
      <w:tr w14:paraId="0F50E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restart"/>
            <w:vAlign w:val="center"/>
          </w:tcPr>
          <w:p w14:paraId="464FE7A0">
            <w:pPr>
              <w:spacing w:line="560" w:lineRule="exact"/>
              <w:jc w:val="center"/>
              <w:rPr>
                <w:rFonts w:ascii="宋体" w:hAnsi="宋体" w:cs="宋体"/>
              </w:rPr>
            </w:pPr>
            <w:r>
              <w:rPr>
                <w:rFonts w:hint="eastAsia" w:ascii="宋体" w:hAnsi="宋体" w:cs="宋体"/>
              </w:rPr>
              <w:t>磋商报价（元）</w:t>
            </w:r>
          </w:p>
        </w:tc>
        <w:tc>
          <w:tcPr>
            <w:tcW w:w="7295" w:type="dxa"/>
            <w:vAlign w:val="center"/>
          </w:tcPr>
          <w:p w14:paraId="0C2F43B2">
            <w:pPr>
              <w:spacing w:line="560" w:lineRule="exact"/>
              <w:rPr>
                <w:rFonts w:ascii="宋体" w:hAnsi="宋体" w:cs="宋体"/>
              </w:rPr>
            </w:pPr>
            <w:r>
              <w:rPr>
                <w:rFonts w:hint="eastAsia" w:ascii="宋体" w:hAnsi="宋体" w:cs="宋体"/>
              </w:rPr>
              <w:t>大写：</w:t>
            </w:r>
            <w:r>
              <w:rPr>
                <w:rFonts w:hint="eastAsia" w:ascii="宋体" w:hAnsi="宋体" w:cs="宋体"/>
                <w:u w:val="single"/>
              </w:rPr>
              <w:t xml:space="preserve">                             </w:t>
            </w:r>
          </w:p>
        </w:tc>
      </w:tr>
      <w:tr w14:paraId="0923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exact"/>
        </w:trPr>
        <w:tc>
          <w:tcPr>
            <w:tcW w:w="1773" w:type="dxa"/>
            <w:vMerge w:val="continue"/>
            <w:vAlign w:val="center"/>
          </w:tcPr>
          <w:p w14:paraId="2E2AA66C">
            <w:pPr>
              <w:spacing w:line="560" w:lineRule="exact"/>
              <w:jc w:val="center"/>
              <w:rPr>
                <w:rFonts w:ascii="宋体" w:hAnsi="宋体" w:cs="宋体"/>
              </w:rPr>
            </w:pPr>
          </w:p>
        </w:tc>
        <w:tc>
          <w:tcPr>
            <w:tcW w:w="7295" w:type="dxa"/>
            <w:vAlign w:val="center"/>
          </w:tcPr>
          <w:p w14:paraId="7AC540BE">
            <w:pPr>
              <w:spacing w:line="560" w:lineRule="exact"/>
              <w:rPr>
                <w:rFonts w:ascii="宋体" w:hAnsi="宋体" w:cs="宋体"/>
              </w:rPr>
            </w:pPr>
            <w:r>
              <w:rPr>
                <w:rFonts w:hint="eastAsia" w:ascii="宋体" w:hAnsi="宋体" w:cs="宋体"/>
              </w:rPr>
              <w:t>小写：</w:t>
            </w:r>
            <w:r>
              <w:rPr>
                <w:rFonts w:hint="eastAsia" w:ascii="宋体" w:hAnsi="宋体" w:cs="宋体"/>
                <w:u w:val="single"/>
              </w:rPr>
              <w:t xml:space="preserve">                             </w:t>
            </w:r>
          </w:p>
          <w:p w14:paraId="7178BED4">
            <w:pPr>
              <w:spacing w:line="560" w:lineRule="exact"/>
              <w:rPr>
                <w:rFonts w:ascii="宋体" w:hAnsi="宋体" w:cs="宋体"/>
              </w:rPr>
            </w:pPr>
          </w:p>
        </w:tc>
      </w:tr>
      <w:tr w14:paraId="28A6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exact"/>
        </w:trPr>
        <w:tc>
          <w:tcPr>
            <w:tcW w:w="1773" w:type="dxa"/>
            <w:vAlign w:val="center"/>
          </w:tcPr>
          <w:p w14:paraId="7F0CD37A">
            <w:pPr>
              <w:spacing w:line="560" w:lineRule="exact"/>
              <w:jc w:val="center"/>
              <w:rPr>
                <w:rFonts w:hint="eastAsia" w:ascii="宋体" w:hAnsi="宋体" w:eastAsia="宋体" w:cs="宋体"/>
                <w:lang w:eastAsia="zh-CN"/>
              </w:rPr>
            </w:pPr>
            <w:r>
              <w:rPr>
                <w:rFonts w:hint="eastAsia" w:ascii="宋体" w:hAnsi="宋体" w:cs="宋体"/>
                <w:lang w:eastAsia="zh-CN"/>
              </w:rPr>
              <w:t>监理服务期</w:t>
            </w:r>
          </w:p>
        </w:tc>
        <w:tc>
          <w:tcPr>
            <w:tcW w:w="7295" w:type="dxa"/>
            <w:vAlign w:val="center"/>
          </w:tcPr>
          <w:p w14:paraId="121B2BBE">
            <w:pPr>
              <w:spacing w:line="560" w:lineRule="exact"/>
              <w:rPr>
                <w:rFonts w:ascii="宋体" w:hAnsi="宋体" w:cs="宋体"/>
              </w:rPr>
            </w:pPr>
          </w:p>
        </w:tc>
      </w:tr>
    </w:tbl>
    <w:p w14:paraId="5632FF3F">
      <w:pPr>
        <w:rPr>
          <w:rFonts w:ascii="宋体" w:hAnsi="宋体" w:cs="宋体"/>
        </w:rPr>
      </w:pPr>
    </w:p>
    <w:p w14:paraId="6BB069C6">
      <w:pPr>
        <w:widowControl/>
        <w:spacing w:line="360" w:lineRule="auto"/>
        <w:jc w:val="left"/>
        <w:rPr>
          <w:rFonts w:ascii="宋体" w:hAnsi="宋体" w:cs="宋体"/>
          <w:b/>
          <w:szCs w:val="21"/>
        </w:rPr>
      </w:pPr>
      <w:r>
        <w:rPr>
          <w:rFonts w:hint="eastAsia" w:ascii="宋体" w:hAnsi="宋体" w:cs="宋体"/>
          <w:b/>
          <w:szCs w:val="21"/>
        </w:rPr>
        <w:t>注：本表为竞争性磋商供应商</w:t>
      </w:r>
      <w:r>
        <w:rPr>
          <w:rFonts w:hint="eastAsia" w:ascii="宋体" w:hAnsi="宋体" w:cs="宋体"/>
          <w:b/>
          <w:szCs w:val="21"/>
          <w:lang w:val="en-US" w:eastAsia="zh-CN"/>
        </w:rPr>
        <w:t>最后</w:t>
      </w:r>
      <w:r>
        <w:rPr>
          <w:rFonts w:hint="eastAsia" w:ascii="宋体" w:hAnsi="宋体" w:cs="宋体"/>
          <w:b/>
          <w:szCs w:val="21"/>
        </w:rPr>
        <w:t>报价手持格式，不得装订在响应文件中。</w:t>
      </w:r>
    </w:p>
    <w:p w14:paraId="0B270776">
      <w:pPr>
        <w:widowControl/>
        <w:spacing w:line="360" w:lineRule="auto"/>
        <w:jc w:val="left"/>
        <w:rPr>
          <w:rFonts w:ascii="宋体" w:hAnsi="宋体" w:cs="宋体"/>
          <w:b/>
          <w:szCs w:val="21"/>
        </w:rPr>
      </w:pPr>
    </w:p>
    <w:p w14:paraId="705F5DB5">
      <w:pPr>
        <w:widowControl/>
        <w:spacing w:line="360" w:lineRule="auto"/>
        <w:jc w:val="left"/>
        <w:rPr>
          <w:rFonts w:ascii="宋体" w:hAnsi="宋体" w:cs="宋体"/>
          <w:b/>
          <w:szCs w:val="21"/>
        </w:rPr>
      </w:pPr>
    </w:p>
    <w:p w14:paraId="4B9F6D75">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7"/>
          <w:rFonts w:hint="eastAsia" w:ascii="宋体" w:hAnsi="宋体" w:cs="宋体"/>
          <w:sz w:val="24"/>
        </w:rPr>
        <w:t>（全称并加盖公章）</w:t>
      </w:r>
    </w:p>
    <w:p w14:paraId="45B0D35A">
      <w:pPr>
        <w:pStyle w:val="5"/>
        <w:rPr>
          <w:rFonts w:ascii="宋体" w:hAnsi="宋体" w:cs="宋体"/>
        </w:rPr>
      </w:pPr>
    </w:p>
    <w:p w14:paraId="658E179A">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300DABE5">
      <w:pPr>
        <w:pStyle w:val="5"/>
        <w:rPr>
          <w:rFonts w:ascii="宋体" w:hAnsi="宋体" w:cs="宋体"/>
        </w:rPr>
      </w:pPr>
    </w:p>
    <w:p w14:paraId="659C9DBC">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0552FEC4">
      <w:pPr>
        <w:rPr>
          <w:rFonts w:ascii="宋体" w:hAnsi="宋体" w:cs="宋体"/>
          <w:b/>
          <w:szCs w:val="21"/>
        </w:rPr>
      </w:pPr>
    </w:p>
    <w:p w14:paraId="2242ECDE">
      <w:pPr>
        <w:keepNext/>
        <w:keepLines/>
        <w:widowControl/>
        <w:spacing w:line="500" w:lineRule="exact"/>
        <w:jc w:val="center"/>
        <w:rPr>
          <w:rFonts w:ascii="宋体" w:hAnsi="宋体" w:cs="宋体"/>
          <w:b/>
          <w:sz w:val="32"/>
          <w:szCs w:val="32"/>
        </w:rPr>
        <w:sectPr>
          <w:pgSz w:w="11910" w:h="16840"/>
          <w:pgMar w:top="1304" w:right="1361" w:bottom="1304" w:left="1361" w:header="850" w:footer="639" w:gutter="0"/>
          <w:pgNumType w:fmt="decimal"/>
          <w:cols w:space="720" w:num="1"/>
        </w:sectPr>
      </w:pPr>
      <w:bookmarkStart w:id="193" w:name="_Toc19175_WPSOffice_Level1"/>
      <w:bookmarkStart w:id="194" w:name="_Toc24047"/>
      <w:bookmarkStart w:id="195" w:name="_Toc3559"/>
    </w:p>
    <w:bookmarkEnd w:id="186"/>
    <w:bookmarkEnd w:id="187"/>
    <w:bookmarkEnd w:id="188"/>
    <w:bookmarkEnd w:id="193"/>
    <w:bookmarkEnd w:id="194"/>
    <w:bookmarkEnd w:id="195"/>
    <w:p w14:paraId="7F2C8903">
      <w:pPr>
        <w:keepNext/>
        <w:keepLines/>
        <w:widowControl/>
        <w:spacing w:line="500" w:lineRule="exact"/>
        <w:jc w:val="center"/>
        <w:outlineLvl w:val="0"/>
        <w:rPr>
          <w:rFonts w:ascii="宋体" w:hAnsi="宋体" w:cs="宋体"/>
          <w:b/>
          <w:kern w:val="0"/>
          <w:sz w:val="28"/>
          <w:szCs w:val="28"/>
        </w:rPr>
      </w:pPr>
      <w:bookmarkStart w:id="196" w:name="_Toc3045"/>
      <w:bookmarkStart w:id="197" w:name="_Toc6181"/>
      <w:r>
        <w:rPr>
          <w:rFonts w:hint="eastAsia" w:ascii="宋体" w:hAnsi="宋体" w:cs="宋体"/>
          <w:b/>
          <w:sz w:val="32"/>
          <w:szCs w:val="32"/>
        </w:rPr>
        <w:t xml:space="preserve"> </w:t>
      </w:r>
      <w:bookmarkStart w:id="198" w:name="_Toc22355"/>
      <w:bookmarkStart w:id="199" w:name="_Toc12710"/>
      <w:bookmarkStart w:id="200" w:name="_Toc26960"/>
      <w:r>
        <w:rPr>
          <w:rFonts w:hint="eastAsia" w:ascii="宋体" w:hAnsi="宋体" w:cs="宋体"/>
          <w:b/>
          <w:sz w:val="32"/>
          <w:szCs w:val="32"/>
        </w:rPr>
        <w:t xml:space="preserve">第四部分 </w:t>
      </w:r>
      <w:r>
        <w:rPr>
          <w:rFonts w:hint="eastAsia" w:ascii="宋体" w:hAnsi="宋体" w:cs="宋体"/>
          <w:b/>
          <w:bCs/>
          <w:kern w:val="0"/>
          <w:sz w:val="32"/>
          <w:szCs w:val="32"/>
        </w:rPr>
        <w:t>分项报价表</w:t>
      </w:r>
      <w:bookmarkEnd w:id="198"/>
      <w:bookmarkEnd w:id="199"/>
      <w:bookmarkEnd w:id="200"/>
    </w:p>
    <w:p w14:paraId="2CAC255B">
      <w:pPr>
        <w:pStyle w:val="2"/>
        <w:tabs>
          <w:tab w:val="left" w:pos="4071"/>
          <w:tab w:val="left" w:pos="8771"/>
          <w:tab w:val="left" w:pos="11241"/>
          <w:tab w:val="left" w:pos="12206"/>
          <w:tab w:val="left" w:pos="13410"/>
        </w:tabs>
        <w:kinsoku w:val="0"/>
        <w:overflowPunct w:val="0"/>
        <w:spacing w:line="480" w:lineRule="auto"/>
        <w:ind w:right="63" w:firstLine="482" w:firstLineChars="200"/>
        <w:rPr>
          <w:rFonts w:ascii="宋体" w:hAnsi="宋体" w:cs="宋体"/>
          <w:b/>
          <w:bCs/>
          <w:sz w:val="24"/>
        </w:rPr>
      </w:pPr>
    </w:p>
    <w:p w14:paraId="6EF44FB1">
      <w:pPr>
        <w:pStyle w:val="2"/>
        <w:tabs>
          <w:tab w:val="left" w:pos="4071"/>
          <w:tab w:val="left" w:pos="8771"/>
          <w:tab w:val="left" w:pos="11241"/>
          <w:tab w:val="left" w:pos="12206"/>
          <w:tab w:val="left" w:pos="13410"/>
        </w:tabs>
        <w:kinsoku w:val="0"/>
        <w:overflowPunct w:val="0"/>
        <w:spacing w:line="480" w:lineRule="auto"/>
        <w:ind w:right="63" w:firstLine="482" w:firstLineChars="200"/>
        <w:rPr>
          <w:rFonts w:hint="eastAsia" w:ascii="宋体" w:hAnsi="宋体" w:cs="宋体"/>
          <w:b/>
          <w:bCs/>
          <w:sz w:val="24"/>
        </w:rPr>
      </w:pPr>
      <w:r>
        <w:rPr>
          <w:rFonts w:hint="eastAsia" w:ascii="宋体" w:hAnsi="宋体" w:cs="宋体"/>
          <w:b/>
          <w:bCs/>
          <w:sz w:val="24"/>
        </w:rPr>
        <w:t>根据本项目磋商文件的服务内容及要求列明分项报价，格式自拟。（供应商应列明提供相关各项价格明细）。</w:t>
      </w:r>
    </w:p>
    <w:p w14:paraId="38214734">
      <w:pPr>
        <w:rPr>
          <w:rFonts w:hint="eastAsia" w:ascii="宋体" w:hAnsi="宋体" w:cs="宋体"/>
          <w:b/>
          <w:bCs/>
          <w:sz w:val="24"/>
        </w:rPr>
      </w:pPr>
    </w:p>
    <w:p w14:paraId="3E32B65E">
      <w:pPr>
        <w:rPr>
          <w:rFonts w:hint="eastAsia" w:ascii="宋体" w:hAnsi="宋体" w:cs="宋体"/>
          <w:b/>
          <w:bCs/>
          <w:sz w:val="24"/>
        </w:rPr>
      </w:pPr>
    </w:p>
    <w:p w14:paraId="36B3396E">
      <w:pPr>
        <w:rPr>
          <w:rFonts w:hint="eastAsia" w:ascii="宋体" w:hAnsi="宋体" w:cs="宋体"/>
          <w:b/>
          <w:bCs/>
          <w:sz w:val="24"/>
        </w:rPr>
      </w:pPr>
    </w:p>
    <w:p w14:paraId="767FCF98">
      <w:pPr>
        <w:rPr>
          <w:rFonts w:hint="eastAsia" w:ascii="宋体" w:hAnsi="宋体" w:cs="宋体"/>
          <w:b/>
          <w:bCs/>
          <w:sz w:val="24"/>
        </w:rPr>
      </w:pPr>
    </w:p>
    <w:p w14:paraId="0F266A3C">
      <w:pPr>
        <w:rPr>
          <w:rFonts w:hint="eastAsia" w:ascii="宋体" w:hAnsi="宋体" w:cs="宋体"/>
          <w:b/>
          <w:bCs/>
          <w:sz w:val="24"/>
        </w:rPr>
      </w:pPr>
    </w:p>
    <w:p w14:paraId="1045F77F">
      <w:pPr>
        <w:rPr>
          <w:rFonts w:hint="eastAsia" w:ascii="宋体" w:hAnsi="宋体" w:cs="宋体"/>
          <w:b/>
          <w:bCs/>
          <w:sz w:val="24"/>
        </w:rPr>
      </w:pPr>
    </w:p>
    <w:p w14:paraId="21DB744A">
      <w:pPr>
        <w:rPr>
          <w:rFonts w:hint="eastAsia" w:ascii="宋体" w:hAnsi="宋体" w:cs="宋体"/>
          <w:b/>
          <w:bCs/>
          <w:sz w:val="24"/>
        </w:rPr>
      </w:pPr>
    </w:p>
    <w:p w14:paraId="4876D322">
      <w:pPr>
        <w:rPr>
          <w:rFonts w:hint="eastAsia" w:ascii="宋体" w:hAnsi="宋体" w:cs="宋体"/>
          <w:b/>
          <w:bCs/>
          <w:sz w:val="24"/>
        </w:rPr>
      </w:pPr>
    </w:p>
    <w:p w14:paraId="2D37DFE1">
      <w:pPr>
        <w:rPr>
          <w:rFonts w:hint="eastAsia" w:ascii="宋体" w:hAnsi="宋体" w:cs="宋体"/>
          <w:b/>
          <w:bCs/>
          <w:sz w:val="24"/>
        </w:rPr>
      </w:pPr>
    </w:p>
    <w:p w14:paraId="015FE187">
      <w:pPr>
        <w:rPr>
          <w:rFonts w:hint="eastAsia" w:ascii="宋体" w:hAnsi="宋体" w:cs="宋体"/>
          <w:b/>
          <w:bCs/>
          <w:sz w:val="24"/>
        </w:rPr>
      </w:pPr>
    </w:p>
    <w:p w14:paraId="2B95E609">
      <w:pPr>
        <w:rPr>
          <w:rFonts w:hint="eastAsia" w:ascii="宋体" w:hAnsi="宋体" w:cs="宋体"/>
          <w:b/>
          <w:bCs/>
          <w:sz w:val="24"/>
        </w:rPr>
      </w:pPr>
    </w:p>
    <w:p w14:paraId="464DA787">
      <w:pPr>
        <w:rPr>
          <w:rFonts w:hint="eastAsia" w:ascii="宋体" w:hAnsi="宋体" w:cs="宋体"/>
          <w:b/>
          <w:bCs/>
          <w:sz w:val="24"/>
        </w:rPr>
      </w:pPr>
    </w:p>
    <w:p w14:paraId="1551A4D3">
      <w:pPr>
        <w:rPr>
          <w:rFonts w:hint="eastAsia" w:ascii="宋体" w:hAnsi="宋体" w:cs="宋体"/>
          <w:b/>
          <w:bCs/>
          <w:sz w:val="24"/>
        </w:rPr>
      </w:pPr>
    </w:p>
    <w:p w14:paraId="1584486F">
      <w:pPr>
        <w:rPr>
          <w:rFonts w:hint="eastAsia" w:ascii="宋体" w:hAnsi="宋体" w:cs="宋体"/>
          <w:b/>
          <w:bCs/>
          <w:sz w:val="24"/>
        </w:rPr>
      </w:pPr>
    </w:p>
    <w:p w14:paraId="7255B51B">
      <w:pPr>
        <w:rPr>
          <w:rFonts w:hint="eastAsia" w:ascii="宋体" w:hAnsi="宋体" w:cs="宋体"/>
          <w:b/>
          <w:bCs/>
          <w:sz w:val="24"/>
        </w:rPr>
      </w:pPr>
    </w:p>
    <w:p w14:paraId="60EC85AB">
      <w:pPr>
        <w:rPr>
          <w:rFonts w:hint="eastAsia" w:ascii="宋体" w:hAnsi="宋体" w:cs="宋体"/>
          <w:b/>
          <w:bCs/>
          <w:sz w:val="24"/>
        </w:rPr>
      </w:pPr>
    </w:p>
    <w:p w14:paraId="591B78BC">
      <w:pPr>
        <w:rPr>
          <w:rFonts w:hint="eastAsia" w:ascii="宋体" w:hAnsi="宋体" w:cs="宋体"/>
          <w:b/>
          <w:bCs/>
          <w:sz w:val="24"/>
        </w:rPr>
      </w:pPr>
    </w:p>
    <w:p w14:paraId="6C4C4AFC">
      <w:pPr>
        <w:rPr>
          <w:rFonts w:hint="eastAsia" w:ascii="宋体" w:hAnsi="宋体" w:cs="宋体"/>
          <w:b/>
          <w:bCs/>
          <w:sz w:val="24"/>
        </w:rPr>
      </w:pPr>
    </w:p>
    <w:p w14:paraId="51D9299E">
      <w:pPr>
        <w:rPr>
          <w:rFonts w:hint="eastAsia" w:ascii="宋体" w:hAnsi="宋体" w:cs="宋体"/>
          <w:b/>
          <w:bCs/>
          <w:sz w:val="24"/>
        </w:rPr>
      </w:pPr>
    </w:p>
    <w:p w14:paraId="696A383B">
      <w:pPr>
        <w:rPr>
          <w:rFonts w:hint="eastAsia" w:ascii="宋体" w:hAnsi="宋体" w:cs="宋体"/>
          <w:b/>
          <w:bCs/>
          <w:sz w:val="24"/>
        </w:rPr>
      </w:pPr>
    </w:p>
    <w:p w14:paraId="539AE194">
      <w:pPr>
        <w:rPr>
          <w:rFonts w:hint="eastAsia" w:ascii="宋体" w:hAnsi="宋体" w:cs="宋体"/>
          <w:b/>
          <w:bCs/>
          <w:sz w:val="24"/>
        </w:rPr>
      </w:pPr>
    </w:p>
    <w:p w14:paraId="756F9936">
      <w:pPr>
        <w:rPr>
          <w:rFonts w:hint="eastAsia" w:ascii="宋体" w:hAnsi="宋体" w:cs="宋体"/>
          <w:b/>
          <w:bCs/>
          <w:sz w:val="24"/>
        </w:rPr>
      </w:pPr>
    </w:p>
    <w:p w14:paraId="08E089A4">
      <w:pPr>
        <w:rPr>
          <w:rFonts w:hint="eastAsia" w:ascii="宋体" w:hAnsi="宋体" w:cs="宋体"/>
          <w:b/>
          <w:bCs/>
          <w:sz w:val="24"/>
        </w:rPr>
      </w:pPr>
    </w:p>
    <w:p w14:paraId="73EB1789">
      <w:pPr>
        <w:rPr>
          <w:rFonts w:hint="eastAsia" w:ascii="宋体" w:hAnsi="宋体" w:cs="宋体"/>
          <w:b/>
          <w:bCs/>
          <w:sz w:val="24"/>
        </w:rPr>
      </w:pPr>
    </w:p>
    <w:p w14:paraId="0CA2892D">
      <w:pPr>
        <w:rPr>
          <w:rFonts w:hint="eastAsia" w:ascii="宋体" w:hAnsi="宋体" w:cs="宋体"/>
          <w:b/>
          <w:bCs/>
          <w:sz w:val="24"/>
        </w:rPr>
      </w:pPr>
    </w:p>
    <w:p w14:paraId="6672EEBF">
      <w:pPr>
        <w:rPr>
          <w:rFonts w:hint="eastAsia" w:ascii="宋体" w:hAnsi="宋体" w:cs="宋体"/>
          <w:b/>
          <w:bCs/>
          <w:sz w:val="24"/>
        </w:rPr>
      </w:pPr>
    </w:p>
    <w:p w14:paraId="6BD1141C">
      <w:pPr>
        <w:rPr>
          <w:rFonts w:hint="eastAsia" w:ascii="宋体" w:hAnsi="宋体" w:cs="宋体"/>
          <w:b/>
          <w:bCs/>
          <w:sz w:val="24"/>
        </w:rPr>
      </w:pPr>
    </w:p>
    <w:p w14:paraId="0DF8BDA5">
      <w:pPr>
        <w:rPr>
          <w:rFonts w:hint="eastAsia" w:ascii="宋体" w:hAnsi="宋体" w:cs="宋体"/>
          <w:b/>
          <w:bCs/>
          <w:sz w:val="24"/>
        </w:rPr>
      </w:pPr>
    </w:p>
    <w:p w14:paraId="180180C1">
      <w:pPr>
        <w:rPr>
          <w:rFonts w:hint="eastAsia" w:ascii="宋体" w:hAnsi="宋体" w:cs="宋体"/>
          <w:b/>
          <w:bCs/>
          <w:sz w:val="24"/>
        </w:rPr>
      </w:pPr>
    </w:p>
    <w:p w14:paraId="4D06C0CC">
      <w:pPr>
        <w:rPr>
          <w:rFonts w:hint="eastAsia" w:ascii="宋体" w:hAnsi="宋体" w:cs="宋体"/>
          <w:b/>
          <w:bCs/>
          <w:sz w:val="24"/>
        </w:rPr>
      </w:pPr>
    </w:p>
    <w:p w14:paraId="3279A94C">
      <w:pPr>
        <w:rPr>
          <w:rFonts w:hint="eastAsia" w:ascii="宋体" w:hAnsi="宋体" w:cs="宋体"/>
          <w:b/>
          <w:bCs/>
          <w:sz w:val="24"/>
        </w:rPr>
      </w:pPr>
    </w:p>
    <w:p w14:paraId="06619910">
      <w:pPr>
        <w:rPr>
          <w:rFonts w:hint="eastAsia" w:ascii="宋体" w:hAnsi="宋体" w:cs="宋体"/>
          <w:b/>
          <w:bCs/>
          <w:sz w:val="24"/>
        </w:rPr>
      </w:pPr>
    </w:p>
    <w:p w14:paraId="02F620E8">
      <w:pPr>
        <w:rPr>
          <w:rFonts w:hint="eastAsia" w:ascii="宋体" w:hAnsi="宋体" w:cs="宋体"/>
          <w:b/>
          <w:bCs/>
          <w:sz w:val="24"/>
        </w:rPr>
      </w:pPr>
    </w:p>
    <w:p w14:paraId="6815972F">
      <w:pPr>
        <w:rPr>
          <w:rFonts w:hint="eastAsia" w:ascii="宋体" w:hAnsi="宋体" w:cs="宋体"/>
          <w:b/>
          <w:bCs/>
          <w:sz w:val="24"/>
        </w:rPr>
      </w:pPr>
    </w:p>
    <w:p w14:paraId="63BAA62A">
      <w:pPr>
        <w:rPr>
          <w:rFonts w:hint="eastAsia" w:ascii="宋体" w:hAnsi="宋体" w:cs="宋体"/>
          <w:b/>
          <w:bCs/>
          <w:sz w:val="24"/>
        </w:rPr>
      </w:pPr>
    </w:p>
    <w:p w14:paraId="4B7EE1F8">
      <w:pPr>
        <w:rPr>
          <w:rFonts w:hint="eastAsia" w:ascii="宋体" w:hAnsi="宋体" w:cs="宋体"/>
          <w:b/>
          <w:bCs/>
          <w:sz w:val="24"/>
        </w:rPr>
      </w:pPr>
    </w:p>
    <w:p w14:paraId="66376858">
      <w:pPr>
        <w:rPr>
          <w:rFonts w:hint="eastAsia" w:ascii="宋体" w:hAnsi="宋体" w:cs="宋体"/>
          <w:b/>
          <w:bCs/>
          <w:sz w:val="24"/>
        </w:rPr>
      </w:pPr>
    </w:p>
    <w:p w14:paraId="2C0D26A1">
      <w:pPr>
        <w:numPr>
          <w:ilvl w:val="0"/>
          <w:numId w:val="0"/>
        </w:numPr>
        <w:kinsoku w:val="0"/>
        <w:overflowPunct w:val="0"/>
        <w:jc w:val="center"/>
        <w:rPr>
          <w:rFonts w:ascii="宋体" w:hAnsi="宋体" w:cs="宋体"/>
          <w:b/>
          <w:bCs/>
          <w:sz w:val="28"/>
          <w:szCs w:val="28"/>
        </w:rPr>
      </w:pPr>
      <w:r>
        <w:rPr>
          <w:rFonts w:hint="eastAsia" w:ascii="宋体" w:hAnsi="宋体" w:cs="宋体"/>
          <w:b/>
          <w:bCs/>
          <w:kern w:val="0"/>
          <w:sz w:val="32"/>
          <w:szCs w:val="32"/>
          <w:lang w:eastAsia="zh-CN"/>
        </w:rPr>
        <w:t>第五部分</w:t>
      </w:r>
      <w:r>
        <w:rPr>
          <w:rFonts w:hint="eastAsia" w:ascii="宋体" w:hAnsi="宋体" w:cs="宋体"/>
          <w:b/>
          <w:bCs/>
          <w:kern w:val="0"/>
          <w:sz w:val="32"/>
          <w:szCs w:val="32"/>
          <w:lang w:val="en-US" w:eastAsia="zh-CN"/>
        </w:rPr>
        <w:t xml:space="preserve"> </w:t>
      </w:r>
      <w:r>
        <w:rPr>
          <w:rFonts w:hint="eastAsia" w:ascii="宋体" w:hAnsi="宋体" w:cs="宋体"/>
          <w:b/>
          <w:bCs/>
          <w:kern w:val="0"/>
          <w:sz w:val="32"/>
          <w:szCs w:val="32"/>
        </w:rPr>
        <w:t>服务内容及要求响应偏离表</w:t>
      </w:r>
    </w:p>
    <w:p w14:paraId="305A40FF">
      <w:pPr>
        <w:kinsoku w:val="0"/>
        <w:overflowPunct w:val="0"/>
        <w:spacing w:before="7" w:line="170" w:lineRule="exact"/>
        <w:rPr>
          <w:rFonts w:ascii="宋体" w:hAnsi="宋体" w:cs="宋体"/>
          <w:b/>
          <w:bCs/>
          <w:sz w:val="24"/>
        </w:rPr>
      </w:pPr>
    </w:p>
    <w:p w14:paraId="34C61256">
      <w:pPr>
        <w:pStyle w:val="2"/>
        <w:ind w:right="63"/>
        <w:rPr>
          <w:rFonts w:hint="eastAsia"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 xml:space="preserve">  </w:t>
      </w:r>
    </w:p>
    <w:p w14:paraId="0F100336">
      <w:pPr>
        <w:pStyle w:val="2"/>
        <w:ind w:right="63"/>
        <w:rPr>
          <w:rFonts w:ascii="宋体" w:hAnsi="宋体" w:cs="宋体"/>
          <w:sz w:val="24"/>
          <w:u w:val="single"/>
        </w:rPr>
      </w:pPr>
      <w:r>
        <w:rPr>
          <w:rFonts w:hint="eastAsia" w:ascii="宋体" w:hAnsi="宋体" w:cs="宋体"/>
          <w:sz w:val="24"/>
          <w:lang w:val="en-US" w:eastAsia="zh-CN"/>
        </w:rPr>
        <w:t>合 同 包：</w:t>
      </w:r>
      <w:r>
        <w:rPr>
          <w:rFonts w:hint="eastAsia" w:ascii="宋体" w:hAnsi="宋体" w:cs="宋体"/>
          <w:sz w:val="24"/>
          <w:u w:val="single"/>
        </w:rPr>
        <w:t xml:space="preserve">                  </w:t>
      </w:r>
      <w:r>
        <w:rPr>
          <w:rFonts w:hint="eastAsia" w:ascii="宋体" w:hAnsi="宋体" w:cs="宋体"/>
          <w:sz w:val="24"/>
        </w:rPr>
        <w:t xml:space="preserve">       </w:t>
      </w:r>
    </w:p>
    <w:p w14:paraId="0029D776">
      <w:pPr>
        <w:pStyle w:val="2"/>
        <w:tabs>
          <w:tab w:val="left" w:pos="4015"/>
          <w:tab w:val="left" w:pos="5095"/>
          <w:tab w:val="left" w:pos="9055"/>
        </w:tabs>
        <w:kinsoku w:val="0"/>
        <w:overflowPunct w:val="0"/>
        <w:ind w:right="63"/>
        <w:jc w:val="left"/>
        <w:rPr>
          <w:rFonts w:ascii="宋体" w:hAnsi="宋体" w:cs="宋体"/>
          <w:b/>
          <w:bCs/>
          <w:sz w:val="24"/>
        </w:rPr>
      </w:pPr>
      <w:r>
        <w:rPr>
          <w:rFonts w:hint="eastAsia" w:ascii="宋体" w:hAnsi="宋体" w:cs="宋体"/>
          <w:sz w:val="24"/>
        </w:rPr>
        <w:t>项目编号：</w:t>
      </w:r>
      <w:r>
        <w:rPr>
          <w:rFonts w:hint="eastAsia" w:ascii="宋体" w:hAnsi="宋体" w:cs="宋体"/>
          <w:sz w:val="24"/>
          <w:u w:val="single"/>
        </w:rPr>
        <w:t xml:space="preserve">                  </w:t>
      </w:r>
    </w:p>
    <w:p w14:paraId="03BE7125">
      <w:pPr>
        <w:kinsoku w:val="0"/>
        <w:overflowPunct w:val="0"/>
        <w:spacing w:line="200" w:lineRule="exact"/>
        <w:rPr>
          <w:rFonts w:ascii="宋体" w:hAnsi="宋体" w:cs="宋体"/>
          <w:b/>
          <w:bCs/>
          <w:sz w:val="24"/>
        </w:rPr>
      </w:pPr>
    </w:p>
    <w:tbl>
      <w:tblPr>
        <w:tblStyle w:val="22"/>
        <w:tblW w:w="9359" w:type="dxa"/>
        <w:tblInd w:w="109" w:type="dxa"/>
        <w:tblLayout w:type="fixed"/>
        <w:tblCellMar>
          <w:top w:w="0" w:type="dxa"/>
          <w:left w:w="0" w:type="dxa"/>
          <w:bottom w:w="0" w:type="dxa"/>
          <w:right w:w="0" w:type="dxa"/>
        </w:tblCellMar>
      </w:tblPr>
      <w:tblGrid>
        <w:gridCol w:w="1091"/>
        <w:gridCol w:w="2734"/>
        <w:gridCol w:w="2673"/>
        <w:gridCol w:w="1519"/>
        <w:gridCol w:w="1342"/>
      </w:tblGrid>
      <w:tr w14:paraId="17DBC5BC">
        <w:tblPrEx>
          <w:tblCellMar>
            <w:top w:w="0" w:type="dxa"/>
            <w:left w:w="0" w:type="dxa"/>
            <w:bottom w:w="0" w:type="dxa"/>
            <w:right w:w="0" w:type="dxa"/>
          </w:tblCellMar>
        </w:tblPrEx>
        <w:trPr>
          <w:trHeight w:val="1698"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169A7DA8">
            <w:pPr>
              <w:pStyle w:val="38"/>
              <w:widowControl/>
              <w:snapToGrid w:val="0"/>
              <w:ind w:left="98"/>
              <w:jc w:val="center"/>
              <w:rPr>
                <w:rStyle w:val="27"/>
                <w:rFonts w:ascii="宋体" w:hAnsi="宋体" w:cs="宋体"/>
                <w:sz w:val="24"/>
              </w:rPr>
            </w:pPr>
            <w:r>
              <w:rPr>
                <w:rStyle w:val="27"/>
                <w:rFonts w:hint="eastAsia" w:ascii="宋体" w:hAnsi="宋体" w:cs="宋体"/>
                <w:sz w:val="24"/>
              </w:rPr>
              <w:t>序号</w:t>
            </w:r>
          </w:p>
        </w:tc>
        <w:tc>
          <w:tcPr>
            <w:tcW w:w="2734" w:type="dxa"/>
            <w:tcBorders>
              <w:top w:val="single" w:color="000000" w:sz="4" w:space="0"/>
              <w:left w:val="single" w:color="000000" w:sz="4" w:space="0"/>
              <w:bottom w:val="single" w:color="000000" w:sz="4" w:space="0"/>
              <w:right w:val="single" w:color="000000" w:sz="4" w:space="0"/>
            </w:tcBorders>
            <w:vAlign w:val="center"/>
          </w:tcPr>
          <w:p w14:paraId="26541C42">
            <w:pPr>
              <w:pStyle w:val="38"/>
              <w:widowControl/>
              <w:snapToGrid w:val="0"/>
              <w:spacing w:line="343" w:lineRule="exact"/>
              <w:ind w:left="212"/>
              <w:jc w:val="center"/>
              <w:rPr>
                <w:rFonts w:ascii="宋体" w:hAnsi="宋体" w:cs="宋体"/>
              </w:rPr>
            </w:pPr>
            <w:r>
              <w:rPr>
                <w:rFonts w:hint="eastAsia" w:ascii="宋体" w:hAnsi="宋体" w:cs="宋体"/>
              </w:rPr>
              <w:t>☆1磋商文件</w:t>
            </w:r>
          </w:p>
          <w:p w14:paraId="3B1F0052">
            <w:pPr>
              <w:pStyle w:val="38"/>
              <w:widowControl/>
              <w:snapToGrid w:val="0"/>
              <w:spacing w:line="343" w:lineRule="exact"/>
              <w:ind w:left="212"/>
              <w:jc w:val="center"/>
              <w:rPr>
                <w:rStyle w:val="27"/>
                <w:rFonts w:ascii="宋体" w:hAnsi="宋体" w:cs="宋体"/>
                <w:sz w:val="24"/>
              </w:rPr>
            </w:pPr>
            <w:r>
              <w:rPr>
                <w:rStyle w:val="27"/>
                <w:rFonts w:hint="eastAsia" w:ascii="宋体" w:hAnsi="宋体" w:cs="宋体"/>
                <w:sz w:val="24"/>
              </w:rPr>
              <w:t>服务内容及要求</w:t>
            </w:r>
          </w:p>
        </w:tc>
        <w:tc>
          <w:tcPr>
            <w:tcW w:w="2673" w:type="dxa"/>
            <w:tcBorders>
              <w:top w:val="single" w:color="000000" w:sz="4" w:space="0"/>
              <w:left w:val="single" w:color="000000" w:sz="4" w:space="0"/>
              <w:bottom w:val="single" w:color="000000" w:sz="4" w:space="0"/>
              <w:right w:val="single" w:color="000000" w:sz="4" w:space="0"/>
            </w:tcBorders>
            <w:vAlign w:val="center"/>
          </w:tcPr>
          <w:p w14:paraId="34861C85">
            <w:pPr>
              <w:pStyle w:val="38"/>
              <w:widowControl/>
              <w:snapToGrid w:val="0"/>
              <w:spacing w:line="343" w:lineRule="exact"/>
              <w:ind w:left="123"/>
              <w:jc w:val="center"/>
              <w:rPr>
                <w:rFonts w:ascii="宋体" w:hAnsi="宋体" w:cs="宋体"/>
              </w:rPr>
            </w:pPr>
            <w:r>
              <w:rPr>
                <w:rFonts w:hint="eastAsia" w:ascii="宋体" w:hAnsi="宋体" w:cs="宋体"/>
              </w:rPr>
              <w:t>☆2磋商响应文件</w:t>
            </w:r>
          </w:p>
          <w:p w14:paraId="3D0D5219">
            <w:pPr>
              <w:pStyle w:val="38"/>
              <w:widowControl/>
              <w:snapToGrid w:val="0"/>
              <w:spacing w:line="343" w:lineRule="exact"/>
              <w:ind w:left="123"/>
              <w:jc w:val="center"/>
              <w:rPr>
                <w:rStyle w:val="27"/>
                <w:rFonts w:ascii="宋体" w:hAnsi="宋体" w:cs="宋体"/>
                <w:sz w:val="24"/>
              </w:rPr>
            </w:pPr>
            <w:r>
              <w:rPr>
                <w:rFonts w:hint="eastAsia" w:ascii="宋体" w:hAnsi="宋体" w:cs="宋体"/>
              </w:rPr>
              <w:t>服务内容及要求响应</w:t>
            </w:r>
          </w:p>
        </w:tc>
        <w:tc>
          <w:tcPr>
            <w:tcW w:w="1519" w:type="dxa"/>
            <w:tcBorders>
              <w:top w:val="single" w:color="000000" w:sz="4" w:space="0"/>
              <w:left w:val="single" w:color="000000" w:sz="4" w:space="0"/>
              <w:bottom w:val="single" w:color="000000" w:sz="4" w:space="0"/>
              <w:right w:val="single" w:color="000000" w:sz="4" w:space="0"/>
            </w:tcBorders>
            <w:vAlign w:val="center"/>
          </w:tcPr>
          <w:p w14:paraId="0C3ACB53">
            <w:pPr>
              <w:pStyle w:val="38"/>
              <w:widowControl/>
              <w:snapToGrid w:val="0"/>
              <w:jc w:val="center"/>
              <w:rPr>
                <w:rStyle w:val="27"/>
                <w:rFonts w:ascii="宋体" w:hAnsi="宋体" w:cs="宋体"/>
                <w:sz w:val="24"/>
              </w:rPr>
            </w:pPr>
            <w:r>
              <w:rPr>
                <w:rStyle w:val="27"/>
                <w:rFonts w:hint="eastAsia" w:ascii="宋体" w:hAnsi="宋体" w:cs="宋体"/>
                <w:sz w:val="24"/>
              </w:rPr>
              <w:t>偏</w:t>
            </w:r>
            <w:r>
              <w:rPr>
                <w:rStyle w:val="27"/>
                <w:rFonts w:hint="eastAsia" w:ascii="宋体" w:hAnsi="宋体" w:cs="宋体"/>
                <w:spacing w:val="2"/>
                <w:sz w:val="24"/>
              </w:rPr>
              <w:t>离</w:t>
            </w:r>
            <w:r>
              <w:rPr>
                <w:rStyle w:val="27"/>
                <w:rFonts w:hint="eastAsia" w:ascii="宋体" w:hAnsi="宋体" w:cs="宋体"/>
                <w:sz w:val="24"/>
              </w:rPr>
              <w:t>情况</w:t>
            </w:r>
          </w:p>
        </w:tc>
        <w:tc>
          <w:tcPr>
            <w:tcW w:w="1342" w:type="dxa"/>
            <w:tcBorders>
              <w:top w:val="single" w:color="000000" w:sz="4" w:space="0"/>
              <w:left w:val="single" w:color="000000" w:sz="4" w:space="0"/>
              <w:bottom w:val="single" w:color="000000" w:sz="4" w:space="0"/>
              <w:right w:val="single" w:color="000000" w:sz="10" w:space="0"/>
            </w:tcBorders>
            <w:vAlign w:val="center"/>
          </w:tcPr>
          <w:p w14:paraId="15627F67">
            <w:pPr>
              <w:pStyle w:val="38"/>
              <w:widowControl/>
              <w:snapToGrid w:val="0"/>
              <w:jc w:val="center"/>
              <w:rPr>
                <w:rStyle w:val="27"/>
                <w:rFonts w:ascii="宋体" w:hAnsi="宋体" w:cs="宋体"/>
                <w:sz w:val="24"/>
              </w:rPr>
            </w:pPr>
            <w:r>
              <w:rPr>
                <w:rFonts w:hint="eastAsia" w:ascii="宋体" w:hAnsi="宋体" w:cs="宋体"/>
                <w:szCs w:val="22"/>
              </w:rPr>
              <w:t>备 注</w:t>
            </w:r>
          </w:p>
        </w:tc>
      </w:tr>
      <w:tr w14:paraId="7DBF2D5A">
        <w:tblPrEx>
          <w:tblCellMar>
            <w:top w:w="0" w:type="dxa"/>
            <w:left w:w="0" w:type="dxa"/>
            <w:bottom w:w="0" w:type="dxa"/>
            <w:right w:w="0" w:type="dxa"/>
          </w:tblCellMar>
        </w:tblPrEx>
        <w:trPr>
          <w:trHeight w:val="100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29B75395">
            <w:pPr>
              <w:jc w:val="center"/>
              <w:rPr>
                <w:rStyle w:val="27"/>
                <w:rFonts w:ascii="宋体" w:hAnsi="宋体" w:cs="宋体"/>
                <w:sz w:val="24"/>
              </w:rPr>
            </w:pPr>
            <w:r>
              <w:rPr>
                <w:rFonts w:hint="eastAsia" w:ascii="宋体" w:hAnsi="宋体" w:cs="宋体"/>
                <w:sz w:val="24"/>
              </w:rPr>
              <w:t>1</w:t>
            </w:r>
          </w:p>
        </w:tc>
        <w:tc>
          <w:tcPr>
            <w:tcW w:w="2734" w:type="dxa"/>
            <w:tcBorders>
              <w:top w:val="single" w:color="000000" w:sz="4" w:space="0"/>
              <w:left w:val="single" w:color="000000" w:sz="4" w:space="0"/>
              <w:bottom w:val="single" w:color="000000" w:sz="4" w:space="0"/>
              <w:right w:val="single" w:color="000000" w:sz="4" w:space="0"/>
            </w:tcBorders>
          </w:tcPr>
          <w:p w14:paraId="78F734F4">
            <w:pPr>
              <w:snapToGrid w:val="0"/>
              <w:textAlignment w:val="baseline"/>
              <w:rPr>
                <w:rStyle w:val="27"/>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63D590EF">
            <w:pPr>
              <w:snapToGrid w:val="0"/>
              <w:textAlignment w:val="baseline"/>
              <w:rPr>
                <w:rStyle w:val="27"/>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7DEF940C">
            <w:pPr>
              <w:snapToGrid w:val="0"/>
              <w:textAlignment w:val="baseline"/>
              <w:rPr>
                <w:rStyle w:val="27"/>
                <w:rFonts w:ascii="宋体" w:hAnsi="宋体" w:cs="宋体"/>
                <w:sz w:val="24"/>
              </w:rPr>
            </w:pPr>
          </w:p>
        </w:tc>
        <w:tc>
          <w:tcPr>
            <w:tcW w:w="1342" w:type="dxa"/>
            <w:tcBorders>
              <w:top w:val="single" w:color="000000" w:sz="4" w:space="0"/>
              <w:left w:val="single" w:color="000000" w:sz="4" w:space="0"/>
              <w:bottom w:val="single" w:color="000000" w:sz="4" w:space="0"/>
              <w:right w:val="single" w:color="000000" w:sz="10" w:space="0"/>
            </w:tcBorders>
          </w:tcPr>
          <w:p w14:paraId="792A2C9C">
            <w:pPr>
              <w:snapToGrid w:val="0"/>
              <w:textAlignment w:val="baseline"/>
              <w:rPr>
                <w:rStyle w:val="27"/>
                <w:rFonts w:ascii="宋体" w:hAnsi="宋体" w:cs="宋体"/>
                <w:sz w:val="24"/>
              </w:rPr>
            </w:pPr>
          </w:p>
        </w:tc>
      </w:tr>
      <w:tr w14:paraId="59BBD523">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22008305">
            <w:pPr>
              <w:jc w:val="center"/>
              <w:rPr>
                <w:rStyle w:val="27"/>
                <w:rFonts w:ascii="宋体" w:hAnsi="宋体" w:cs="宋体"/>
                <w:sz w:val="24"/>
              </w:rPr>
            </w:pPr>
            <w:r>
              <w:rPr>
                <w:rFonts w:hint="eastAsia" w:ascii="宋体" w:hAnsi="宋体" w:cs="宋体"/>
                <w:sz w:val="24"/>
              </w:rPr>
              <w:t>2</w:t>
            </w:r>
          </w:p>
        </w:tc>
        <w:tc>
          <w:tcPr>
            <w:tcW w:w="2734" w:type="dxa"/>
            <w:tcBorders>
              <w:top w:val="single" w:color="000000" w:sz="4" w:space="0"/>
              <w:left w:val="single" w:color="000000" w:sz="4" w:space="0"/>
              <w:bottom w:val="single" w:color="000000" w:sz="4" w:space="0"/>
              <w:right w:val="single" w:color="000000" w:sz="4" w:space="0"/>
            </w:tcBorders>
          </w:tcPr>
          <w:p w14:paraId="2C3FB4BB">
            <w:pPr>
              <w:snapToGrid w:val="0"/>
              <w:textAlignment w:val="baseline"/>
              <w:rPr>
                <w:rStyle w:val="27"/>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2BF0AF6B">
            <w:pPr>
              <w:snapToGrid w:val="0"/>
              <w:textAlignment w:val="baseline"/>
              <w:rPr>
                <w:rStyle w:val="27"/>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2D2A6954">
            <w:pPr>
              <w:snapToGrid w:val="0"/>
              <w:textAlignment w:val="baseline"/>
              <w:rPr>
                <w:rStyle w:val="27"/>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0B11FE06">
            <w:pPr>
              <w:snapToGrid w:val="0"/>
              <w:textAlignment w:val="baseline"/>
              <w:rPr>
                <w:rStyle w:val="27"/>
                <w:rFonts w:ascii="宋体" w:hAnsi="宋体" w:cs="宋体"/>
                <w:sz w:val="24"/>
              </w:rPr>
            </w:pPr>
          </w:p>
        </w:tc>
      </w:tr>
      <w:tr w14:paraId="5A4DF229">
        <w:tblPrEx>
          <w:tblCellMar>
            <w:top w:w="0" w:type="dxa"/>
            <w:left w:w="0" w:type="dxa"/>
            <w:bottom w:w="0" w:type="dxa"/>
            <w:right w:w="0" w:type="dxa"/>
          </w:tblCellMar>
        </w:tblPrEx>
        <w:trPr>
          <w:trHeight w:val="925"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4846F291">
            <w:pPr>
              <w:jc w:val="center"/>
              <w:rPr>
                <w:rStyle w:val="27"/>
                <w:rFonts w:ascii="宋体" w:hAnsi="宋体" w:cs="宋体"/>
                <w:sz w:val="24"/>
              </w:rPr>
            </w:pPr>
            <w:r>
              <w:rPr>
                <w:rFonts w:hint="eastAsia" w:ascii="宋体" w:hAnsi="宋体" w:cs="宋体"/>
                <w:sz w:val="24"/>
              </w:rPr>
              <w:t>3</w:t>
            </w:r>
          </w:p>
        </w:tc>
        <w:tc>
          <w:tcPr>
            <w:tcW w:w="2734" w:type="dxa"/>
            <w:tcBorders>
              <w:top w:val="single" w:color="000000" w:sz="4" w:space="0"/>
              <w:left w:val="single" w:color="000000" w:sz="4" w:space="0"/>
              <w:bottom w:val="single" w:color="000000" w:sz="4" w:space="0"/>
              <w:right w:val="single" w:color="000000" w:sz="4" w:space="0"/>
            </w:tcBorders>
          </w:tcPr>
          <w:p w14:paraId="3898E5AE">
            <w:pPr>
              <w:snapToGrid w:val="0"/>
              <w:textAlignment w:val="baseline"/>
              <w:rPr>
                <w:rStyle w:val="27"/>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1C79C84D">
            <w:pPr>
              <w:snapToGrid w:val="0"/>
              <w:textAlignment w:val="baseline"/>
              <w:rPr>
                <w:rStyle w:val="27"/>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7253FBD7">
            <w:pPr>
              <w:snapToGrid w:val="0"/>
              <w:textAlignment w:val="baseline"/>
              <w:rPr>
                <w:rStyle w:val="27"/>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462C8498">
            <w:pPr>
              <w:snapToGrid w:val="0"/>
              <w:textAlignment w:val="baseline"/>
              <w:rPr>
                <w:rStyle w:val="27"/>
                <w:rFonts w:ascii="宋体" w:hAnsi="宋体" w:cs="宋体"/>
                <w:sz w:val="24"/>
              </w:rPr>
            </w:pPr>
          </w:p>
        </w:tc>
      </w:tr>
      <w:tr w14:paraId="1D1BA4D9">
        <w:tblPrEx>
          <w:tblCellMar>
            <w:top w:w="0" w:type="dxa"/>
            <w:left w:w="0" w:type="dxa"/>
            <w:bottom w:w="0" w:type="dxa"/>
            <w:right w:w="0" w:type="dxa"/>
          </w:tblCellMar>
        </w:tblPrEx>
        <w:trPr>
          <w:trHeight w:val="950" w:hRule="exact"/>
        </w:trPr>
        <w:tc>
          <w:tcPr>
            <w:tcW w:w="1091" w:type="dxa"/>
            <w:tcBorders>
              <w:top w:val="single" w:color="000000" w:sz="4" w:space="0"/>
              <w:left w:val="single" w:color="000000" w:sz="4" w:space="0"/>
              <w:bottom w:val="single" w:color="000000" w:sz="4" w:space="0"/>
              <w:right w:val="single" w:color="000000" w:sz="4" w:space="0"/>
            </w:tcBorders>
            <w:vAlign w:val="center"/>
          </w:tcPr>
          <w:p w14:paraId="7D30CB00">
            <w:pPr>
              <w:jc w:val="center"/>
              <w:rPr>
                <w:rStyle w:val="27"/>
                <w:rFonts w:ascii="宋体" w:hAnsi="宋体" w:cs="宋体"/>
                <w:sz w:val="24"/>
              </w:rPr>
            </w:pPr>
            <w:r>
              <w:rPr>
                <w:rFonts w:hint="eastAsia" w:ascii="宋体" w:hAnsi="宋体" w:cs="宋体"/>
                <w:sz w:val="24"/>
              </w:rPr>
              <w:t>......</w:t>
            </w:r>
          </w:p>
        </w:tc>
        <w:tc>
          <w:tcPr>
            <w:tcW w:w="2734" w:type="dxa"/>
            <w:tcBorders>
              <w:top w:val="single" w:color="000000" w:sz="4" w:space="0"/>
              <w:left w:val="single" w:color="000000" w:sz="4" w:space="0"/>
              <w:bottom w:val="single" w:color="000000" w:sz="4" w:space="0"/>
              <w:right w:val="single" w:color="000000" w:sz="4" w:space="0"/>
            </w:tcBorders>
          </w:tcPr>
          <w:p w14:paraId="04AF5AB7">
            <w:pPr>
              <w:snapToGrid w:val="0"/>
              <w:textAlignment w:val="baseline"/>
              <w:rPr>
                <w:rStyle w:val="27"/>
                <w:rFonts w:ascii="宋体" w:hAnsi="宋体" w:cs="宋体"/>
                <w:sz w:val="24"/>
              </w:rPr>
            </w:pPr>
          </w:p>
        </w:tc>
        <w:tc>
          <w:tcPr>
            <w:tcW w:w="2673" w:type="dxa"/>
            <w:tcBorders>
              <w:top w:val="single" w:color="000000" w:sz="4" w:space="0"/>
              <w:left w:val="single" w:color="000000" w:sz="4" w:space="0"/>
              <w:bottom w:val="single" w:color="000000" w:sz="4" w:space="0"/>
              <w:right w:val="single" w:color="000000" w:sz="4" w:space="0"/>
            </w:tcBorders>
          </w:tcPr>
          <w:p w14:paraId="2C267403">
            <w:pPr>
              <w:snapToGrid w:val="0"/>
              <w:textAlignment w:val="baseline"/>
              <w:rPr>
                <w:rStyle w:val="27"/>
                <w:rFonts w:ascii="宋体" w:hAnsi="宋体" w:cs="宋体"/>
                <w:sz w:val="24"/>
              </w:rPr>
            </w:pPr>
          </w:p>
        </w:tc>
        <w:tc>
          <w:tcPr>
            <w:tcW w:w="1519" w:type="dxa"/>
            <w:tcBorders>
              <w:top w:val="single" w:color="000000" w:sz="4" w:space="0"/>
              <w:left w:val="single" w:color="000000" w:sz="4" w:space="0"/>
              <w:bottom w:val="single" w:color="000000" w:sz="4" w:space="0"/>
              <w:right w:val="single" w:color="000000" w:sz="4" w:space="0"/>
            </w:tcBorders>
          </w:tcPr>
          <w:p w14:paraId="730164F7">
            <w:pPr>
              <w:snapToGrid w:val="0"/>
              <w:textAlignment w:val="baseline"/>
              <w:rPr>
                <w:rStyle w:val="27"/>
                <w:rFonts w:ascii="宋体" w:hAnsi="宋体" w:cs="宋体"/>
                <w:sz w:val="24"/>
              </w:rPr>
            </w:pPr>
          </w:p>
        </w:tc>
        <w:tc>
          <w:tcPr>
            <w:tcW w:w="1342" w:type="dxa"/>
            <w:tcBorders>
              <w:top w:val="single" w:color="000000" w:sz="4" w:space="0"/>
              <w:left w:val="single" w:color="000000" w:sz="4" w:space="0"/>
              <w:bottom w:val="single" w:color="000000" w:sz="4" w:space="0"/>
              <w:right w:val="single" w:color="000000" w:sz="4" w:space="0"/>
            </w:tcBorders>
          </w:tcPr>
          <w:p w14:paraId="787CDF6F">
            <w:pPr>
              <w:snapToGrid w:val="0"/>
              <w:textAlignment w:val="baseline"/>
              <w:rPr>
                <w:rStyle w:val="27"/>
                <w:rFonts w:ascii="宋体" w:hAnsi="宋体" w:cs="宋体"/>
                <w:sz w:val="24"/>
              </w:rPr>
            </w:pPr>
          </w:p>
        </w:tc>
      </w:tr>
    </w:tbl>
    <w:p w14:paraId="1187C8B9">
      <w:pPr>
        <w:snapToGrid w:val="0"/>
        <w:spacing w:before="14" w:line="200" w:lineRule="exact"/>
        <w:textAlignment w:val="baseline"/>
        <w:rPr>
          <w:rStyle w:val="27"/>
          <w:rFonts w:ascii="宋体" w:hAnsi="宋体" w:cs="宋体"/>
          <w:sz w:val="24"/>
        </w:rPr>
      </w:pPr>
    </w:p>
    <w:p w14:paraId="0CBC2810">
      <w:pPr>
        <w:pStyle w:val="2"/>
        <w:tabs>
          <w:tab w:val="left" w:pos="4071"/>
          <w:tab w:val="left" w:pos="8771"/>
          <w:tab w:val="left" w:pos="11241"/>
          <w:tab w:val="left" w:pos="12206"/>
          <w:tab w:val="left" w:pos="13410"/>
        </w:tabs>
        <w:kinsoku w:val="0"/>
        <w:overflowPunct w:val="0"/>
        <w:spacing w:line="480" w:lineRule="auto"/>
        <w:ind w:right="63"/>
        <w:rPr>
          <w:rFonts w:ascii="宋体" w:hAnsi="宋体" w:cs="宋体"/>
          <w:b/>
          <w:bCs/>
          <w:sz w:val="24"/>
        </w:rPr>
      </w:pPr>
      <w:r>
        <w:rPr>
          <w:rFonts w:hint="eastAsia" w:ascii="宋体" w:hAnsi="宋体" w:cs="宋体"/>
          <w:b/>
          <w:bCs/>
          <w:sz w:val="24"/>
        </w:rPr>
        <w:t>注：☆1 指磋商文件中的服务内容及要求,☆2指供应商磋商响应文件响应内容。供应商应逐条如实填写，如未填写则视为全部响应，但须提交空白表格。</w:t>
      </w:r>
    </w:p>
    <w:p w14:paraId="6F1A7F64">
      <w:pPr>
        <w:kinsoku w:val="0"/>
        <w:overflowPunct w:val="0"/>
        <w:spacing w:before="6" w:line="200" w:lineRule="exact"/>
        <w:rPr>
          <w:rFonts w:ascii="宋体" w:hAnsi="宋体" w:cs="宋体"/>
          <w:b/>
          <w:bCs/>
          <w:sz w:val="24"/>
        </w:rPr>
      </w:pPr>
    </w:p>
    <w:p w14:paraId="0C957B84">
      <w:pPr>
        <w:kinsoku w:val="0"/>
        <w:overflowPunct w:val="0"/>
        <w:spacing w:before="4" w:line="110" w:lineRule="exact"/>
        <w:rPr>
          <w:rFonts w:ascii="宋体" w:hAnsi="宋体" w:cs="宋体"/>
          <w:sz w:val="24"/>
        </w:rPr>
      </w:pPr>
    </w:p>
    <w:p w14:paraId="0E8D7C1C">
      <w:pPr>
        <w:widowControl/>
        <w:spacing w:line="360" w:lineRule="auto"/>
        <w:jc w:val="left"/>
        <w:rPr>
          <w:rFonts w:ascii="宋体" w:hAnsi="宋体" w:cs="宋体"/>
          <w:sz w:val="24"/>
        </w:rPr>
      </w:pPr>
    </w:p>
    <w:p w14:paraId="766FC389">
      <w:pPr>
        <w:widowControl/>
        <w:spacing w:line="360" w:lineRule="auto"/>
        <w:jc w:val="left"/>
        <w:rPr>
          <w:rFonts w:ascii="宋体" w:hAnsi="宋体" w:cs="宋体"/>
          <w:sz w:val="24"/>
        </w:rPr>
      </w:pPr>
      <w:r>
        <w:rPr>
          <w:rFonts w:hint="eastAsia" w:ascii="宋体" w:hAnsi="宋体" w:cs="宋体"/>
          <w:sz w:val="24"/>
        </w:rPr>
        <w:t>供应商名称：</w:t>
      </w:r>
      <w:r>
        <w:rPr>
          <w:rFonts w:hint="eastAsia" w:ascii="宋体" w:hAnsi="宋体" w:cs="宋体"/>
          <w:sz w:val="24"/>
          <w:u w:val="single"/>
        </w:rPr>
        <w:t xml:space="preserve">                                </w:t>
      </w:r>
      <w:r>
        <w:rPr>
          <w:rStyle w:val="27"/>
          <w:rFonts w:hint="eastAsia" w:ascii="宋体" w:hAnsi="宋体" w:cs="宋体"/>
          <w:sz w:val="24"/>
        </w:rPr>
        <w:t>（全称并加盖公章）</w:t>
      </w:r>
    </w:p>
    <w:p w14:paraId="1FCEF7A9">
      <w:pPr>
        <w:pStyle w:val="5"/>
        <w:rPr>
          <w:rFonts w:ascii="宋体" w:hAnsi="宋体" w:cs="宋体"/>
        </w:rPr>
      </w:pPr>
    </w:p>
    <w:p w14:paraId="18F2918E">
      <w:pPr>
        <w:spacing w:line="360" w:lineRule="auto"/>
        <w:rPr>
          <w:rFonts w:ascii="宋体" w:hAnsi="宋体" w:cs="宋体"/>
          <w:sz w:val="24"/>
        </w:rPr>
      </w:pPr>
      <w:r>
        <w:rPr>
          <w:rFonts w:hint="eastAsia" w:ascii="宋体" w:hAnsi="宋体" w:cs="宋体"/>
          <w:sz w:val="24"/>
        </w:rPr>
        <w:t>法定代表人或委托代理人：</w:t>
      </w:r>
      <w:r>
        <w:rPr>
          <w:rFonts w:hint="eastAsia" w:ascii="宋体" w:hAnsi="宋体" w:cs="宋体"/>
          <w:sz w:val="24"/>
          <w:u w:val="single"/>
        </w:rPr>
        <w:t xml:space="preserve">              </w:t>
      </w:r>
      <w:r>
        <w:rPr>
          <w:rFonts w:hint="eastAsia" w:ascii="宋体" w:hAnsi="宋体" w:cs="宋体"/>
          <w:sz w:val="24"/>
        </w:rPr>
        <w:t>（签字或盖章）</w:t>
      </w:r>
    </w:p>
    <w:p w14:paraId="08017FB9">
      <w:pPr>
        <w:pStyle w:val="5"/>
        <w:rPr>
          <w:rFonts w:ascii="宋体" w:hAnsi="宋体" w:cs="宋体"/>
        </w:rPr>
      </w:pPr>
    </w:p>
    <w:p w14:paraId="6C7B4F34">
      <w:pPr>
        <w:spacing w:line="360" w:lineRule="auto"/>
        <w:ind w:right="9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7D5975D">
      <w:pPr>
        <w:pStyle w:val="7"/>
        <w:kinsoku w:val="0"/>
        <w:overflowPunct w:val="0"/>
        <w:spacing w:line="404" w:lineRule="exact"/>
        <w:rPr>
          <w:rFonts w:ascii="宋体" w:hAnsi="宋体" w:eastAsia="宋体" w:cs="宋体"/>
        </w:rPr>
        <w:sectPr>
          <w:footerReference r:id="rId23" w:type="default"/>
          <w:pgSz w:w="11906" w:h="16840"/>
          <w:pgMar w:top="1304" w:right="1361" w:bottom="1304" w:left="1361" w:header="0" w:footer="543" w:gutter="0"/>
          <w:pgNumType w:fmt="decimal"/>
          <w:cols w:space="720" w:num="1"/>
        </w:sectPr>
      </w:pPr>
    </w:p>
    <w:p w14:paraId="5B626E8B">
      <w:pPr>
        <w:autoSpaceDE w:val="0"/>
        <w:autoSpaceDN w:val="0"/>
        <w:adjustRightInd w:val="0"/>
        <w:snapToGrid w:val="0"/>
        <w:spacing w:line="360" w:lineRule="auto"/>
        <w:jc w:val="center"/>
        <w:outlineLvl w:val="0"/>
        <w:rPr>
          <w:rFonts w:ascii="宋体" w:hAnsi="宋体" w:cs="宋体"/>
          <w:b/>
          <w:bCs/>
          <w:sz w:val="32"/>
          <w:szCs w:val="32"/>
        </w:rPr>
      </w:pPr>
      <w:bookmarkStart w:id="201" w:name="_Toc25648"/>
      <w:bookmarkStart w:id="202" w:name="_Toc4147"/>
      <w:bookmarkStart w:id="203" w:name="_Toc16082"/>
      <w:r>
        <w:rPr>
          <w:rFonts w:hint="eastAsia" w:ascii="宋体" w:hAnsi="宋体" w:cs="宋体"/>
          <w:b/>
          <w:bCs/>
          <w:sz w:val="32"/>
          <w:szCs w:val="32"/>
        </w:rPr>
        <w:t>第</w:t>
      </w:r>
      <w:r>
        <w:rPr>
          <w:rFonts w:hint="eastAsia" w:ascii="宋体" w:hAnsi="宋体" w:cs="宋体"/>
          <w:b/>
          <w:bCs/>
          <w:sz w:val="32"/>
          <w:szCs w:val="32"/>
          <w:lang w:eastAsia="zh-CN"/>
        </w:rPr>
        <w:t>六</w:t>
      </w:r>
      <w:r>
        <w:rPr>
          <w:rFonts w:hint="eastAsia" w:ascii="宋体" w:hAnsi="宋体" w:cs="宋体"/>
          <w:b/>
          <w:bCs/>
          <w:sz w:val="32"/>
          <w:szCs w:val="32"/>
        </w:rPr>
        <w:t>部分  合同条款响应偏离表</w:t>
      </w:r>
      <w:bookmarkEnd w:id="201"/>
      <w:bookmarkEnd w:id="202"/>
    </w:p>
    <w:p w14:paraId="7AC410B2">
      <w:pPr>
        <w:pStyle w:val="2"/>
        <w:ind w:right="63"/>
        <w:rPr>
          <w:rFonts w:hint="eastAsia" w:ascii="宋体" w:hAnsi="宋体" w:cs="宋体"/>
          <w:sz w:val="24"/>
          <w:u w:val="single"/>
        </w:rPr>
      </w:pPr>
      <w:r>
        <w:rPr>
          <w:rFonts w:hint="eastAsia" w:ascii="宋体" w:hAnsi="宋体" w:cs="宋体"/>
          <w:sz w:val="24"/>
        </w:rPr>
        <w:t>项目名称：</w:t>
      </w:r>
      <w:r>
        <w:rPr>
          <w:rFonts w:hint="eastAsia" w:ascii="宋体" w:hAnsi="宋体" w:cs="宋体"/>
          <w:sz w:val="24"/>
          <w:u w:val="single"/>
        </w:rPr>
        <w:t xml:space="preserve">                  </w:t>
      </w:r>
    </w:p>
    <w:p w14:paraId="0ED65912">
      <w:pPr>
        <w:pStyle w:val="2"/>
        <w:ind w:right="63"/>
        <w:rPr>
          <w:rFonts w:ascii="宋体" w:hAnsi="宋体" w:cs="宋体"/>
          <w:sz w:val="24"/>
          <w:u w:val="single"/>
        </w:rPr>
      </w:pPr>
      <w:r>
        <w:rPr>
          <w:rFonts w:hint="eastAsia" w:ascii="宋体" w:hAnsi="宋体" w:cs="宋体"/>
          <w:sz w:val="24"/>
          <w:lang w:val="en-US" w:eastAsia="zh-CN"/>
        </w:rPr>
        <w:t>合 同 包：</w:t>
      </w:r>
      <w:r>
        <w:rPr>
          <w:rFonts w:hint="eastAsia" w:ascii="宋体" w:hAnsi="宋体" w:cs="宋体"/>
          <w:sz w:val="24"/>
          <w:u w:val="single"/>
        </w:rPr>
        <w:t xml:space="preserve">                  </w:t>
      </w:r>
      <w:r>
        <w:rPr>
          <w:rFonts w:hint="eastAsia" w:ascii="宋体" w:hAnsi="宋体" w:cs="宋体"/>
          <w:sz w:val="24"/>
        </w:rPr>
        <w:t xml:space="preserve">           </w:t>
      </w:r>
    </w:p>
    <w:p w14:paraId="03A3F2EE">
      <w:pPr>
        <w:pStyle w:val="2"/>
        <w:tabs>
          <w:tab w:val="left" w:pos="4015"/>
          <w:tab w:val="left" w:pos="5095"/>
          <w:tab w:val="left" w:pos="9055"/>
        </w:tabs>
        <w:kinsoku w:val="0"/>
        <w:overflowPunct w:val="0"/>
        <w:ind w:right="63"/>
        <w:jc w:val="left"/>
        <w:rPr>
          <w:rFonts w:ascii="宋体" w:hAnsi="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2"/>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2545"/>
        <w:gridCol w:w="3067"/>
        <w:gridCol w:w="1462"/>
        <w:gridCol w:w="1451"/>
      </w:tblGrid>
      <w:tr w14:paraId="59E0B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72" w:hRule="atLeast"/>
          <w:jc w:val="center"/>
        </w:trPr>
        <w:tc>
          <w:tcPr>
            <w:tcW w:w="912" w:type="dxa"/>
            <w:vAlign w:val="center"/>
          </w:tcPr>
          <w:p w14:paraId="4F52BF2A">
            <w:pPr>
              <w:tabs>
                <w:tab w:val="left" w:pos="720"/>
              </w:tabs>
              <w:spacing w:line="440" w:lineRule="exact"/>
              <w:jc w:val="center"/>
              <w:rPr>
                <w:rFonts w:ascii="宋体" w:hAnsi="宋体"/>
                <w:sz w:val="24"/>
              </w:rPr>
            </w:pPr>
            <w:r>
              <w:rPr>
                <w:rFonts w:hint="eastAsia" w:ascii="宋体" w:hAnsi="宋体"/>
                <w:sz w:val="24"/>
              </w:rPr>
              <w:t>序号</w:t>
            </w:r>
          </w:p>
        </w:tc>
        <w:tc>
          <w:tcPr>
            <w:tcW w:w="2545" w:type="dxa"/>
            <w:vAlign w:val="center"/>
          </w:tcPr>
          <w:p w14:paraId="39C93A53">
            <w:pPr>
              <w:tabs>
                <w:tab w:val="left" w:pos="720"/>
              </w:tabs>
              <w:spacing w:line="440" w:lineRule="exact"/>
              <w:jc w:val="center"/>
              <w:rPr>
                <w:rFonts w:ascii="宋体" w:hAnsi="宋体"/>
                <w:sz w:val="24"/>
              </w:rPr>
            </w:pPr>
            <w:r>
              <w:rPr>
                <w:rFonts w:hint="eastAsia" w:ascii="宋体" w:hAnsi="宋体"/>
                <w:sz w:val="24"/>
              </w:rPr>
              <w:t>磋商文件合同条款要求</w:t>
            </w:r>
          </w:p>
        </w:tc>
        <w:tc>
          <w:tcPr>
            <w:tcW w:w="3067" w:type="dxa"/>
            <w:vAlign w:val="center"/>
          </w:tcPr>
          <w:p w14:paraId="237EB745">
            <w:pPr>
              <w:tabs>
                <w:tab w:val="left" w:pos="720"/>
              </w:tabs>
              <w:spacing w:line="440" w:lineRule="exact"/>
              <w:jc w:val="center"/>
              <w:rPr>
                <w:rFonts w:ascii="宋体" w:hAnsi="宋体"/>
                <w:sz w:val="24"/>
              </w:rPr>
            </w:pPr>
            <w:r>
              <w:rPr>
                <w:rFonts w:hint="eastAsia" w:ascii="宋体" w:hAnsi="宋体" w:cs="Times New Roman"/>
                <w:sz w:val="24"/>
              </w:rPr>
              <w:t>磋商响应文件合同条款响应</w:t>
            </w:r>
          </w:p>
        </w:tc>
        <w:tc>
          <w:tcPr>
            <w:tcW w:w="1462" w:type="dxa"/>
            <w:vAlign w:val="center"/>
          </w:tcPr>
          <w:p w14:paraId="24AF15B1">
            <w:pPr>
              <w:tabs>
                <w:tab w:val="left" w:pos="720"/>
              </w:tabs>
              <w:spacing w:line="440" w:lineRule="exact"/>
              <w:jc w:val="center"/>
              <w:rPr>
                <w:rFonts w:ascii="宋体" w:hAnsi="宋体"/>
                <w:sz w:val="24"/>
              </w:rPr>
            </w:pPr>
            <w:r>
              <w:rPr>
                <w:rFonts w:hint="eastAsia" w:ascii="宋体" w:hAnsi="宋体"/>
                <w:sz w:val="24"/>
              </w:rPr>
              <w:t>偏离情况</w:t>
            </w:r>
          </w:p>
        </w:tc>
        <w:tc>
          <w:tcPr>
            <w:tcW w:w="1451" w:type="dxa"/>
            <w:vAlign w:val="center"/>
          </w:tcPr>
          <w:p w14:paraId="3FC8121C">
            <w:pPr>
              <w:tabs>
                <w:tab w:val="left" w:pos="720"/>
              </w:tabs>
              <w:spacing w:line="440" w:lineRule="exact"/>
              <w:jc w:val="center"/>
              <w:rPr>
                <w:rFonts w:ascii="宋体" w:hAnsi="宋体"/>
                <w:sz w:val="24"/>
              </w:rPr>
            </w:pPr>
            <w:r>
              <w:rPr>
                <w:rFonts w:hint="eastAsia" w:ascii="宋体" w:hAnsi="宋体" w:cs="宋体"/>
                <w:sz w:val="24"/>
                <w:szCs w:val="22"/>
              </w:rPr>
              <w:t>备 注</w:t>
            </w:r>
          </w:p>
        </w:tc>
      </w:tr>
      <w:tr w14:paraId="4F9EB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5FF7B481">
            <w:pPr>
              <w:jc w:val="center"/>
              <w:rPr>
                <w:rFonts w:ascii="宋体" w:hAnsi="宋体" w:cs="宋体"/>
                <w:sz w:val="24"/>
              </w:rPr>
            </w:pPr>
            <w:r>
              <w:rPr>
                <w:rFonts w:hint="eastAsia" w:ascii="宋体" w:hAnsi="宋体" w:cs="宋体"/>
                <w:sz w:val="24"/>
              </w:rPr>
              <w:t>1</w:t>
            </w:r>
          </w:p>
        </w:tc>
        <w:tc>
          <w:tcPr>
            <w:tcW w:w="2545" w:type="dxa"/>
            <w:vAlign w:val="center"/>
          </w:tcPr>
          <w:p w14:paraId="4280DFC4">
            <w:pPr>
              <w:jc w:val="center"/>
              <w:rPr>
                <w:rFonts w:ascii="宋体" w:hAnsi="宋体" w:cs="宋体"/>
                <w:sz w:val="24"/>
              </w:rPr>
            </w:pPr>
          </w:p>
        </w:tc>
        <w:tc>
          <w:tcPr>
            <w:tcW w:w="3067" w:type="dxa"/>
            <w:vAlign w:val="center"/>
          </w:tcPr>
          <w:p w14:paraId="4CD8DDFA">
            <w:pPr>
              <w:jc w:val="center"/>
              <w:rPr>
                <w:rFonts w:ascii="宋体" w:hAnsi="宋体" w:cs="宋体"/>
                <w:sz w:val="24"/>
              </w:rPr>
            </w:pPr>
          </w:p>
        </w:tc>
        <w:tc>
          <w:tcPr>
            <w:tcW w:w="1462" w:type="dxa"/>
            <w:vAlign w:val="center"/>
          </w:tcPr>
          <w:p w14:paraId="6B7DEF58">
            <w:pPr>
              <w:jc w:val="center"/>
              <w:rPr>
                <w:rFonts w:ascii="宋体" w:hAnsi="宋体" w:cs="宋体"/>
                <w:sz w:val="24"/>
              </w:rPr>
            </w:pPr>
          </w:p>
        </w:tc>
        <w:tc>
          <w:tcPr>
            <w:tcW w:w="1451" w:type="dxa"/>
            <w:vAlign w:val="center"/>
          </w:tcPr>
          <w:p w14:paraId="76AD5563">
            <w:pPr>
              <w:jc w:val="center"/>
              <w:rPr>
                <w:rFonts w:ascii="宋体" w:hAnsi="宋体" w:cs="宋体"/>
                <w:sz w:val="24"/>
              </w:rPr>
            </w:pPr>
          </w:p>
        </w:tc>
      </w:tr>
      <w:tr w14:paraId="27124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41A050E6">
            <w:pPr>
              <w:jc w:val="center"/>
              <w:rPr>
                <w:rFonts w:ascii="宋体" w:hAnsi="宋体" w:cs="宋体"/>
                <w:sz w:val="24"/>
              </w:rPr>
            </w:pPr>
            <w:r>
              <w:rPr>
                <w:rFonts w:hint="eastAsia" w:ascii="宋体" w:hAnsi="宋体" w:cs="宋体"/>
                <w:sz w:val="24"/>
              </w:rPr>
              <w:t>2</w:t>
            </w:r>
          </w:p>
        </w:tc>
        <w:tc>
          <w:tcPr>
            <w:tcW w:w="2545" w:type="dxa"/>
            <w:vAlign w:val="center"/>
          </w:tcPr>
          <w:p w14:paraId="16016DFE">
            <w:pPr>
              <w:jc w:val="center"/>
              <w:rPr>
                <w:rFonts w:ascii="宋体" w:hAnsi="宋体" w:cs="宋体"/>
                <w:sz w:val="24"/>
              </w:rPr>
            </w:pPr>
          </w:p>
        </w:tc>
        <w:tc>
          <w:tcPr>
            <w:tcW w:w="3067" w:type="dxa"/>
            <w:vAlign w:val="center"/>
          </w:tcPr>
          <w:p w14:paraId="13DF6DDF">
            <w:pPr>
              <w:jc w:val="center"/>
              <w:rPr>
                <w:rFonts w:ascii="宋体" w:hAnsi="宋体" w:cs="宋体"/>
                <w:sz w:val="24"/>
              </w:rPr>
            </w:pPr>
          </w:p>
        </w:tc>
        <w:tc>
          <w:tcPr>
            <w:tcW w:w="1462" w:type="dxa"/>
            <w:vAlign w:val="center"/>
          </w:tcPr>
          <w:p w14:paraId="6C97E5F2">
            <w:pPr>
              <w:jc w:val="center"/>
              <w:rPr>
                <w:rFonts w:ascii="宋体" w:hAnsi="宋体" w:cs="宋体"/>
                <w:sz w:val="24"/>
              </w:rPr>
            </w:pPr>
          </w:p>
        </w:tc>
        <w:tc>
          <w:tcPr>
            <w:tcW w:w="1451" w:type="dxa"/>
            <w:vAlign w:val="center"/>
          </w:tcPr>
          <w:p w14:paraId="76F370B0">
            <w:pPr>
              <w:jc w:val="center"/>
              <w:rPr>
                <w:rFonts w:ascii="宋体" w:hAnsi="宋体" w:cs="宋体"/>
                <w:sz w:val="24"/>
              </w:rPr>
            </w:pPr>
          </w:p>
        </w:tc>
      </w:tr>
      <w:tr w14:paraId="4D3D8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72" w:hRule="atLeast"/>
          <w:jc w:val="center"/>
        </w:trPr>
        <w:tc>
          <w:tcPr>
            <w:tcW w:w="912" w:type="dxa"/>
            <w:vAlign w:val="center"/>
          </w:tcPr>
          <w:p w14:paraId="16ADADF3">
            <w:pPr>
              <w:jc w:val="center"/>
              <w:rPr>
                <w:rFonts w:ascii="宋体" w:hAnsi="宋体" w:cs="宋体"/>
                <w:sz w:val="24"/>
              </w:rPr>
            </w:pPr>
            <w:r>
              <w:rPr>
                <w:rFonts w:hint="eastAsia" w:ascii="宋体" w:hAnsi="宋体" w:cs="宋体"/>
                <w:sz w:val="24"/>
              </w:rPr>
              <w:t>3</w:t>
            </w:r>
          </w:p>
        </w:tc>
        <w:tc>
          <w:tcPr>
            <w:tcW w:w="2545" w:type="dxa"/>
            <w:vAlign w:val="center"/>
          </w:tcPr>
          <w:p w14:paraId="0F703B6F">
            <w:pPr>
              <w:jc w:val="center"/>
              <w:rPr>
                <w:rFonts w:ascii="宋体" w:hAnsi="宋体" w:cs="宋体"/>
                <w:sz w:val="24"/>
              </w:rPr>
            </w:pPr>
          </w:p>
        </w:tc>
        <w:tc>
          <w:tcPr>
            <w:tcW w:w="3067" w:type="dxa"/>
            <w:vAlign w:val="center"/>
          </w:tcPr>
          <w:p w14:paraId="1FDD81DE">
            <w:pPr>
              <w:jc w:val="center"/>
              <w:rPr>
                <w:rFonts w:ascii="宋体" w:hAnsi="宋体" w:cs="宋体"/>
                <w:sz w:val="24"/>
              </w:rPr>
            </w:pPr>
          </w:p>
        </w:tc>
        <w:tc>
          <w:tcPr>
            <w:tcW w:w="1462" w:type="dxa"/>
            <w:vAlign w:val="center"/>
          </w:tcPr>
          <w:p w14:paraId="68C64E84">
            <w:pPr>
              <w:jc w:val="center"/>
              <w:rPr>
                <w:rFonts w:ascii="宋体" w:hAnsi="宋体" w:cs="宋体"/>
                <w:sz w:val="24"/>
              </w:rPr>
            </w:pPr>
          </w:p>
        </w:tc>
        <w:tc>
          <w:tcPr>
            <w:tcW w:w="1451" w:type="dxa"/>
            <w:vAlign w:val="center"/>
          </w:tcPr>
          <w:p w14:paraId="51E87CDA">
            <w:pPr>
              <w:jc w:val="center"/>
              <w:rPr>
                <w:rFonts w:ascii="宋体" w:hAnsi="宋体" w:cs="宋体"/>
                <w:sz w:val="24"/>
              </w:rPr>
            </w:pPr>
          </w:p>
        </w:tc>
      </w:tr>
      <w:tr w14:paraId="0B2EE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790" w:hRule="atLeast"/>
          <w:jc w:val="center"/>
        </w:trPr>
        <w:tc>
          <w:tcPr>
            <w:tcW w:w="912" w:type="dxa"/>
            <w:vAlign w:val="center"/>
          </w:tcPr>
          <w:p w14:paraId="5D419F30">
            <w:pPr>
              <w:jc w:val="center"/>
              <w:rPr>
                <w:rFonts w:ascii="宋体" w:hAnsi="宋体" w:cs="宋体"/>
                <w:sz w:val="24"/>
              </w:rPr>
            </w:pPr>
            <w:r>
              <w:rPr>
                <w:rFonts w:hint="eastAsia" w:ascii="宋体" w:hAnsi="宋体" w:cs="宋体"/>
                <w:sz w:val="24"/>
              </w:rPr>
              <w:t>......</w:t>
            </w:r>
          </w:p>
        </w:tc>
        <w:tc>
          <w:tcPr>
            <w:tcW w:w="2545" w:type="dxa"/>
            <w:vAlign w:val="center"/>
          </w:tcPr>
          <w:p w14:paraId="0C90E6D2">
            <w:pPr>
              <w:jc w:val="center"/>
              <w:rPr>
                <w:rFonts w:ascii="宋体" w:hAnsi="宋体" w:cs="宋体"/>
                <w:sz w:val="24"/>
              </w:rPr>
            </w:pPr>
          </w:p>
        </w:tc>
        <w:tc>
          <w:tcPr>
            <w:tcW w:w="3067" w:type="dxa"/>
            <w:vAlign w:val="center"/>
          </w:tcPr>
          <w:p w14:paraId="4360F77B">
            <w:pPr>
              <w:jc w:val="center"/>
              <w:rPr>
                <w:rFonts w:ascii="宋体" w:hAnsi="宋体" w:cs="宋体"/>
                <w:sz w:val="24"/>
              </w:rPr>
            </w:pPr>
          </w:p>
        </w:tc>
        <w:tc>
          <w:tcPr>
            <w:tcW w:w="1462" w:type="dxa"/>
            <w:vAlign w:val="center"/>
          </w:tcPr>
          <w:p w14:paraId="1AE9A75F">
            <w:pPr>
              <w:jc w:val="center"/>
              <w:rPr>
                <w:rFonts w:ascii="宋体" w:hAnsi="宋体" w:cs="宋体"/>
                <w:sz w:val="24"/>
              </w:rPr>
            </w:pPr>
          </w:p>
        </w:tc>
        <w:tc>
          <w:tcPr>
            <w:tcW w:w="1451" w:type="dxa"/>
            <w:vAlign w:val="center"/>
          </w:tcPr>
          <w:p w14:paraId="272279A1">
            <w:pPr>
              <w:jc w:val="center"/>
              <w:rPr>
                <w:rFonts w:ascii="宋体" w:hAnsi="宋体" w:cs="宋体"/>
                <w:sz w:val="24"/>
              </w:rPr>
            </w:pPr>
          </w:p>
        </w:tc>
      </w:tr>
    </w:tbl>
    <w:p w14:paraId="77032FD4">
      <w:pPr>
        <w:widowControl/>
        <w:jc w:val="left"/>
        <w:rPr>
          <w:rFonts w:ascii="宋体" w:hAnsi="宋体"/>
          <w:sz w:val="24"/>
        </w:rPr>
      </w:pPr>
    </w:p>
    <w:p w14:paraId="7A394D3B">
      <w:pPr>
        <w:spacing w:line="360" w:lineRule="auto"/>
        <w:ind w:firstLine="241" w:firstLineChars="100"/>
        <w:rPr>
          <w:rFonts w:ascii="宋体" w:hAnsi="宋体" w:cs="宋体"/>
          <w:b/>
          <w:bCs/>
          <w:sz w:val="24"/>
          <w:szCs w:val="22"/>
        </w:rPr>
      </w:pPr>
      <w:r>
        <w:rPr>
          <w:rFonts w:hint="eastAsia" w:ascii="宋体" w:hAnsi="宋体" w:cs="宋体"/>
          <w:b/>
          <w:bCs/>
          <w:sz w:val="24"/>
          <w:szCs w:val="22"/>
        </w:rPr>
        <w:t>注: 1、本表只填写磋商响应文件中与《磋商文件第三章合同条款及格式》有偏离（包括正偏离和负偏离）的内容，响应文件中条款响应与磋商文件要求完全一致的，不用在此表中列出，但必须提交空白表。</w:t>
      </w:r>
    </w:p>
    <w:p w14:paraId="67776C30">
      <w:pPr>
        <w:spacing w:line="360" w:lineRule="auto"/>
        <w:ind w:firstLine="723" w:firstLineChars="300"/>
        <w:rPr>
          <w:rFonts w:ascii="宋体" w:hAnsi="宋体" w:cs="宋体"/>
          <w:b/>
          <w:bCs/>
          <w:sz w:val="24"/>
          <w:szCs w:val="22"/>
        </w:rPr>
      </w:pPr>
      <w:r>
        <w:rPr>
          <w:rFonts w:hint="eastAsia" w:ascii="宋体" w:hAnsi="宋体" w:cs="宋体"/>
          <w:b/>
          <w:bCs/>
          <w:sz w:val="24"/>
          <w:szCs w:val="22"/>
        </w:rPr>
        <w:t>2、供应商必须据实填写，不得虚假响应，否则将取消投标或中标资格，并按有关规定进行处罚。</w:t>
      </w:r>
    </w:p>
    <w:p w14:paraId="67AC6594">
      <w:pPr>
        <w:pStyle w:val="20"/>
        <w:spacing w:beforeAutospacing="0" w:afterAutospacing="0" w:line="500" w:lineRule="exact"/>
        <w:ind w:firstLine="480" w:firstLineChars="200"/>
        <w:rPr>
          <w:rFonts w:ascii="仿宋" w:hAnsi="仿宋" w:eastAsia="仿宋" w:cs="仿宋"/>
        </w:rPr>
      </w:pPr>
    </w:p>
    <w:p w14:paraId="23307C96">
      <w:pPr>
        <w:pStyle w:val="2"/>
        <w:rPr>
          <w:sz w:val="24"/>
        </w:rPr>
      </w:pPr>
    </w:p>
    <w:p w14:paraId="79FFD673"/>
    <w:p w14:paraId="72FC23EB">
      <w:pPr>
        <w:widowControl/>
        <w:spacing w:line="360" w:lineRule="auto"/>
        <w:jc w:val="left"/>
        <w:rPr>
          <w:rStyle w:val="27"/>
          <w:rFonts w:ascii="宋体" w:hAnsi="宋体" w:cs="宋体"/>
          <w:sz w:val="24"/>
        </w:rPr>
      </w:pPr>
      <w:r>
        <w:rPr>
          <w:rFonts w:hint="eastAsia" w:ascii="宋体" w:hAnsi="宋体"/>
          <w:sz w:val="24"/>
        </w:rPr>
        <w:t>供 应 商：</w:t>
      </w:r>
      <w:r>
        <w:rPr>
          <w:rFonts w:hint="eastAsia" w:ascii="宋体" w:hAnsi="宋体"/>
          <w:sz w:val="24"/>
          <w:u w:val="single"/>
        </w:rPr>
        <w:t xml:space="preserve">                                </w:t>
      </w:r>
      <w:r>
        <w:rPr>
          <w:rStyle w:val="27"/>
          <w:rFonts w:hint="eastAsia" w:ascii="宋体" w:hAnsi="宋体" w:cs="宋体"/>
          <w:sz w:val="24"/>
        </w:rPr>
        <w:t>（全称并加盖公章）</w:t>
      </w:r>
    </w:p>
    <w:p w14:paraId="01D4640E">
      <w:pPr>
        <w:pStyle w:val="5"/>
      </w:pPr>
    </w:p>
    <w:p w14:paraId="2E8C5547">
      <w:pPr>
        <w:spacing w:line="360" w:lineRule="auto"/>
        <w:rPr>
          <w:rFonts w:ascii="宋体" w:hAnsi="宋体"/>
          <w:sz w:val="24"/>
        </w:rPr>
      </w:pPr>
      <w:r>
        <w:rPr>
          <w:rFonts w:hint="eastAsia" w:ascii="宋体" w:hAnsi="宋体"/>
          <w:sz w:val="24"/>
        </w:rPr>
        <w:t>法定代表人或委托代理人：</w:t>
      </w:r>
      <w:r>
        <w:rPr>
          <w:rFonts w:hint="eastAsia" w:ascii="宋体" w:hAnsi="宋体"/>
          <w:sz w:val="24"/>
          <w:u w:val="single"/>
        </w:rPr>
        <w:t xml:space="preserve">                    </w:t>
      </w:r>
      <w:r>
        <w:rPr>
          <w:rFonts w:hint="eastAsia" w:ascii="宋体" w:hAnsi="宋体"/>
          <w:sz w:val="24"/>
        </w:rPr>
        <w:t>（签字或盖章）</w:t>
      </w:r>
    </w:p>
    <w:p w14:paraId="61742DB5">
      <w:pPr>
        <w:pStyle w:val="5"/>
      </w:pPr>
    </w:p>
    <w:p w14:paraId="24D63195">
      <w:pPr>
        <w:spacing w:line="360" w:lineRule="auto"/>
        <w:ind w:right="900"/>
      </w:pPr>
      <w:r>
        <w:rPr>
          <w:rFonts w:hint="eastAsia" w:ascii="宋体" w:hAnsi="宋体"/>
          <w:sz w:val="24"/>
        </w:rPr>
        <w:t>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33AC1E5">
      <w:pPr>
        <w:numPr>
          <w:ilvl w:val="0"/>
          <w:numId w:val="4"/>
        </w:numPr>
        <w:autoSpaceDE w:val="0"/>
        <w:autoSpaceDN w:val="0"/>
        <w:adjustRightInd w:val="0"/>
        <w:snapToGrid w:val="0"/>
        <w:spacing w:line="360" w:lineRule="auto"/>
        <w:jc w:val="center"/>
        <w:outlineLvl w:val="0"/>
        <w:rPr>
          <w:rFonts w:ascii="宋体" w:hAnsi="宋体" w:cs="宋体"/>
          <w:b/>
          <w:bCs/>
          <w:sz w:val="32"/>
          <w:szCs w:val="32"/>
        </w:rPr>
        <w:sectPr>
          <w:footerReference r:id="rId24" w:type="default"/>
          <w:pgSz w:w="11906" w:h="16840"/>
          <w:pgMar w:top="1304" w:right="1361" w:bottom="1304" w:left="1361" w:header="0" w:footer="543" w:gutter="0"/>
          <w:pgNumType w:fmt="decimal"/>
          <w:cols w:space="720" w:num="1"/>
        </w:sectPr>
      </w:pPr>
      <w:bookmarkStart w:id="204" w:name="_Toc20569"/>
    </w:p>
    <w:p w14:paraId="3AF160D2">
      <w:pPr>
        <w:autoSpaceDE w:val="0"/>
        <w:autoSpaceDN w:val="0"/>
        <w:adjustRightInd w:val="0"/>
        <w:snapToGrid w:val="0"/>
        <w:spacing w:line="360" w:lineRule="auto"/>
        <w:jc w:val="center"/>
        <w:outlineLvl w:val="0"/>
        <w:rPr>
          <w:rFonts w:ascii="宋体" w:hAnsi="宋体" w:cs="宋体"/>
          <w:b/>
          <w:bCs/>
          <w:sz w:val="32"/>
          <w:szCs w:val="32"/>
        </w:rPr>
      </w:pPr>
      <w:bookmarkStart w:id="205" w:name="_Toc16788"/>
      <w:r>
        <w:rPr>
          <w:rFonts w:hint="eastAsia" w:ascii="宋体" w:hAnsi="宋体" w:cs="宋体"/>
          <w:b/>
          <w:bCs/>
          <w:sz w:val="32"/>
          <w:szCs w:val="32"/>
        </w:rPr>
        <w:t>第</w:t>
      </w:r>
      <w:r>
        <w:rPr>
          <w:rFonts w:hint="eastAsia" w:ascii="宋体" w:hAnsi="宋体" w:cs="宋体"/>
          <w:b/>
          <w:bCs/>
          <w:sz w:val="32"/>
          <w:szCs w:val="32"/>
          <w:lang w:eastAsia="zh-CN"/>
        </w:rPr>
        <w:t>七</w:t>
      </w:r>
      <w:r>
        <w:rPr>
          <w:rFonts w:hint="eastAsia" w:ascii="宋体" w:hAnsi="宋体" w:cs="宋体"/>
          <w:b/>
          <w:bCs/>
          <w:sz w:val="32"/>
          <w:szCs w:val="32"/>
        </w:rPr>
        <w:t xml:space="preserve">部分  </w:t>
      </w:r>
      <w:r>
        <w:rPr>
          <w:rFonts w:hint="eastAsia" w:ascii="宋体" w:hAnsi="宋体" w:cs="宋体"/>
          <w:b/>
          <w:bCs/>
          <w:sz w:val="32"/>
          <w:szCs w:val="32"/>
          <w:lang w:val="en-US" w:eastAsia="zh-CN"/>
        </w:rPr>
        <w:t>实施</w:t>
      </w:r>
      <w:r>
        <w:rPr>
          <w:rFonts w:hint="eastAsia" w:ascii="宋体" w:hAnsi="宋体" w:cs="宋体"/>
          <w:b/>
          <w:bCs/>
          <w:sz w:val="32"/>
          <w:szCs w:val="32"/>
        </w:rPr>
        <w:t>方案</w:t>
      </w:r>
      <w:bookmarkEnd w:id="196"/>
      <w:bookmarkEnd w:id="197"/>
      <w:bookmarkEnd w:id="203"/>
      <w:bookmarkEnd w:id="204"/>
      <w:bookmarkEnd w:id="205"/>
    </w:p>
    <w:p w14:paraId="082C4327">
      <w:pPr>
        <w:autoSpaceDE w:val="0"/>
        <w:autoSpaceDN w:val="0"/>
        <w:adjustRightInd w:val="0"/>
        <w:spacing w:line="360" w:lineRule="auto"/>
        <w:jc w:val="left"/>
        <w:rPr>
          <w:rFonts w:ascii="宋体" w:hAnsi="宋体" w:cs="宋体"/>
          <w:b/>
          <w:bCs/>
          <w:sz w:val="24"/>
        </w:rPr>
      </w:pPr>
      <w:bookmarkStart w:id="206" w:name="_Toc4967_WPSOffice_Level1"/>
      <w:bookmarkStart w:id="207" w:name="_Toc24884_WPSOffice_Level1"/>
      <w:bookmarkStart w:id="208" w:name="_Toc24888_WPSOffice_Level1"/>
      <w:bookmarkStart w:id="209" w:name="_Toc10135"/>
      <w:bookmarkStart w:id="210" w:name="_Toc23609_WPSOffice_Level1"/>
      <w:bookmarkStart w:id="211" w:name="_Toc18938"/>
      <w:bookmarkStart w:id="212" w:name="_Toc29953_WPSOffice_Level1"/>
      <w:bookmarkStart w:id="213" w:name="_Toc7205_WPSOffice_Level1"/>
      <w:bookmarkStart w:id="214" w:name="_Toc15739_WPSOffice_Level1"/>
      <w:bookmarkStart w:id="215" w:name="_Toc9362_WPSOffice_Level1"/>
    </w:p>
    <w:p w14:paraId="10957A44">
      <w:pPr>
        <w:pageBreakBefore w:val="0"/>
        <w:kinsoku/>
        <w:overflowPunct/>
        <w:topLinePunct w:val="0"/>
        <w:bidi w:val="0"/>
        <w:spacing w:beforeAutospacing="0" w:afterAutospacing="0" w:line="360" w:lineRule="auto"/>
        <w:ind w:firstLine="562" w:firstLineChars="200"/>
        <w:jc w:val="left"/>
        <w:rPr>
          <w:rFonts w:hint="eastAsia"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供应商按竞争性磋商文件的要求，依据评标方法“评标因素及权重分值表”相关内容在磋商响应方案中必须逐项对应编制</w:t>
      </w:r>
      <w:r>
        <w:rPr>
          <w:rFonts w:hint="eastAsia" w:cs="Times New Roman"/>
          <w:b/>
          <w:bCs/>
          <w:color w:val="000000"/>
          <w:sz w:val="28"/>
          <w:szCs w:val="28"/>
          <w:lang w:val="en-US" w:eastAsia="zh-CN"/>
        </w:rPr>
        <w:t>，包括但不限于：</w:t>
      </w:r>
    </w:p>
    <w:p w14:paraId="090BE93D">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1、监理工作目标及监理依据</w:t>
      </w:r>
    </w:p>
    <w:p w14:paraId="77A5C1B0">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2、质量控制措施</w:t>
      </w:r>
    </w:p>
    <w:p w14:paraId="64902D56">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3、进度控制措施</w:t>
      </w:r>
    </w:p>
    <w:p w14:paraId="7631E05F">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4、投资控制措施</w:t>
      </w:r>
    </w:p>
    <w:p w14:paraId="62E60B81">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5、合同管理及信息管理</w:t>
      </w:r>
    </w:p>
    <w:p w14:paraId="2E25D2A7">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6、安全文明施工保障措施</w:t>
      </w:r>
    </w:p>
    <w:p w14:paraId="0037CC36">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7、重点部位及关键工序的控制方法</w:t>
      </w:r>
    </w:p>
    <w:p w14:paraId="5CA4288A">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8、监理工作流程</w:t>
      </w:r>
    </w:p>
    <w:p w14:paraId="2AFB0E44">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9、监理工作制度</w:t>
      </w:r>
    </w:p>
    <w:p w14:paraId="70CB9C8C">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10、监理资料的管理及保修阶段的服务工作</w:t>
      </w:r>
    </w:p>
    <w:p w14:paraId="2C49A9C6">
      <w:pPr>
        <w:pStyle w:val="4"/>
        <w:adjustRightInd w:val="0"/>
        <w:spacing w:line="360" w:lineRule="auto"/>
        <w:jc w:val="both"/>
        <w:textAlignment w:val="baseline"/>
        <w:outlineLvl w:val="9"/>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11、业绩</w:t>
      </w:r>
    </w:p>
    <w:p w14:paraId="7A35B9FC">
      <w:pPr>
        <w:autoSpaceDE w:val="0"/>
        <w:autoSpaceDN w:val="0"/>
        <w:adjustRightInd w:val="0"/>
        <w:spacing w:line="360" w:lineRule="auto"/>
        <w:jc w:val="left"/>
        <w:rPr>
          <w:rFonts w:hint="eastAsia" w:ascii="宋体" w:hAnsi="宋体" w:cs="宋体"/>
          <w:b/>
          <w:bCs/>
          <w:sz w:val="24"/>
        </w:rPr>
      </w:pPr>
    </w:p>
    <w:p w14:paraId="395162FE">
      <w:pPr>
        <w:autoSpaceDE w:val="0"/>
        <w:autoSpaceDN w:val="0"/>
        <w:adjustRightInd w:val="0"/>
        <w:snapToGrid w:val="0"/>
        <w:spacing w:line="360" w:lineRule="auto"/>
        <w:jc w:val="center"/>
        <w:rPr>
          <w:rFonts w:ascii="宋体" w:hAnsi="宋体" w:cs="宋体"/>
          <w:b/>
          <w:sz w:val="32"/>
          <w:szCs w:val="32"/>
        </w:rPr>
        <w:sectPr>
          <w:pgSz w:w="11906" w:h="16840"/>
          <w:pgMar w:top="1304" w:right="1361" w:bottom="1304" w:left="1361" w:header="0" w:footer="543" w:gutter="0"/>
          <w:pgNumType w:fmt="decimal"/>
          <w:cols w:space="720" w:num="1"/>
        </w:sectPr>
      </w:pPr>
    </w:p>
    <w:p w14:paraId="1A729489">
      <w:pPr>
        <w:autoSpaceDE w:val="0"/>
        <w:autoSpaceDN w:val="0"/>
        <w:adjustRightInd w:val="0"/>
        <w:snapToGrid w:val="0"/>
        <w:spacing w:line="360" w:lineRule="auto"/>
        <w:jc w:val="center"/>
        <w:outlineLvl w:val="0"/>
        <w:rPr>
          <w:rFonts w:ascii="宋体" w:hAnsi="宋体" w:cs="宋体"/>
          <w:sz w:val="28"/>
          <w:szCs w:val="28"/>
        </w:rPr>
      </w:pPr>
      <w:bookmarkStart w:id="216" w:name="_Toc30150"/>
      <w:bookmarkStart w:id="217" w:name="_Toc26288"/>
      <w:bookmarkStart w:id="218" w:name="_Toc9716"/>
      <w:r>
        <w:rPr>
          <w:rFonts w:hint="eastAsia" w:ascii="宋体" w:hAnsi="宋体" w:cs="宋体"/>
          <w:b/>
          <w:sz w:val="32"/>
          <w:szCs w:val="32"/>
        </w:rPr>
        <w:t>第</w:t>
      </w:r>
      <w:r>
        <w:rPr>
          <w:rFonts w:hint="eastAsia" w:ascii="宋体" w:hAnsi="宋体" w:cs="宋体"/>
          <w:b/>
          <w:sz w:val="32"/>
          <w:szCs w:val="32"/>
          <w:lang w:eastAsia="zh-CN"/>
        </w:rPr>
        <w:t>八</w:t>
      </w:r>
      <w:r>
        <w:rPr>
          <w:rFonts w:hint="eastAsia" w:ascii="宋体" w:hAnsi="宋体" w:cs="宋体"/>
          <w:b/>
          <w:sz w:val="32"/>
          <w:szCs w:val="32"/>
        </w:rPr>
        <w:t xml:space="preserve">部分 </w:t>
      </w:r>
      <w:r>
        <w:rPr>
          <w:rFonts w:hint="eastAsia" w:ascii="宋体" w:hAnsi="宋体" w:cs="宋体"/>
          <w:b/>
          <w:bCs/>
          <w:sz w:val="32"/>
          <w:szCs w:val="32"/>
          <w:lang w:val="zh-CN"/>
        </w:rPr>
        <w:t>资格证明文件</w:t>
      </w:r>
      <w:bookmarkEnd w:id="206"/>
      <w:bookmarkEnd w:id="207"/>
      <w:bookmarkEnd w:id="208"/>
      <w:bookmarkEnd w:id="209"/>
      <w:bookmarkEnd w:id="210"/>
      <w:bookmarkEnd w:id="211"/>
      <w:bookmarkEnd w:id="216"/>
      <w:bookmarkEnd w:id="217"/>
      <w:bookmarkEnd w:id="218"/>
      <w:bookmarkStart w:id="219" w:name="_Toc27060"/>
      <w:bookmarkStart w:id="220" w:name="_Toc18663"/>
    </w:p>
    <w:bookmarkEnd w:id="219"/>
    <w:bookmarkEnd w:id="220"/>
    <w:p w14:paraId="2CCF6B0E">
      <w:pPr>
        <w:pStyle w:val="26"/>
        <w:spacing w:before="0" w:line="480" w:lineRule="auto"/>
        <w:rPr>
          <w:rFonts w:hint="eastAsia" w:ascii="宋体" w:hAnsi="宋体" w:cs="宋体"/>
          <w:b w:val="0"/>
          <w:bCs w:val="0"/>
          <w:color w:val="auto"/>
          <w:sz w:val="24"/>
          <w:szCs w:val="24"/>
        </w:rPr>
      </w:pPr>
      <w:bookmarkStart w:id="221" w:name="_Toc543_WPSOffice_Level1"/>
      <w:bookmarkStart w:id="222" w:name="_Toc29711"/>
      <w:bookmarkStart w:id="223" w:name="_Toc32681"/>
      <w:bookmarkStart w:id="224" w:name="_Toc5513_WPSOffice_Level1"/>
      <w:bookmarkStart w:id="225" w:name="_Toc20954_WPSOffice_Level1"/>
      <w:bookmarkStart w:id="226" w:name="_Toc22102"/>
      <w:bookmarkStart w:id="227" w:name="_Toc25086_WPSOffice_Level1"/>
      <w:bookmarkStart w:id="228" w:name="_Toc21500"/>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营业执照等主体资格证明文件：供应商应具有独立承担民事责任能力的法人或其他组织或自然人（法人或其他组织提供营业执照或事业单位法人证书等国家规定的相关证明，自然人提供身份证件）；</w:t>
      </w:r>
    </w:p>
    <w:p w14:paraId="46448E7F">
      <w:pPr>
        <w:pStyle w:val="26"/>
        <w:spacing w:before="0" w:line="48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br w:type="textWrapping"/>
      </w:r>
      <w:r>
        <w:rPr>
          <w:rFonts w:hint="eastAsia" w:ascii="宋体" w:hAnsi="宋体" w:cs="宋体"/>
          <w:b w:val="0"/>
          <w:bCs w:val="0"/>
          <w:color w:val="auto"/>
          <w:sz w:val="24"/>
          <w:szCs w:val="24"/>
        </w:rPr>
        <w:t>（</w:t>
      </w: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rPr>
        <w:t>）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497333A7">
      <w:pPr>
        <w:pStyle w:val="26"/>
        <w:spacing w:before="0" w:line="480" w:lineRule="auto"/>
        <w:rPr>
          <w:rFonts w:hint="eastAsia" w:ascii="宋体" w:hAnsi="宋体" w:cs="宋体"/>
          <w:b w:val="0"/>
          <w:bCs w:val="0"/>
          <w:color w:val="auto"/>
          <w:sz w:val="24"/>
          <w:szCs w:val="24"/>
        </w:rPr>
      </w:pPr>
    </w:p>
    <w:p w14:paraId="732BFD54">
      <w:pPr>
        <w:pStyle w:val="26"/>
        <w:numPr>
          <w:ilvl w:val="0"/>
          <w:numId w:val="5"/>
        </w:numPr>
        <w:spacing w:before="0" w:line="480" w:lineRule="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供应商资质：</w:t>
      </w:r>
      <w:r>
        <w:rPr>
          <w:rFonts w:hint="eastAsia" w:ascii="宋体" w:hAnsi="宋体" w:cs="宋体"/>
          <w:b w:val="0"/>
          <w:bCs w:val="0"/>
          <w:color w:val="auto"/>
          <w:sz w:val="24"/>
          <w:szCs w:val="24"/>
        </w:rPr>
        <w:t>须具备工程监理综合资质或市政公用工程监理乙级及以上资质</w:t>
      </w:r>
      <w:r>
        <w:rPr>
          <w:rFonts w:hint="eastAsia" w:ascii="宋体" w:hAnsi="宋体" w:cs="宋体"/>
          <w:b w:val="0"/>
          <w:bCs w:val="0"/>
          <w:color w:val="auto"/>
          <w:sz w:val="24"/>
          <w:szCs w:val="24"/>
          <w:lang w:eastAsia="zh-CN"/>
        </w:rPr>
        <w:t>；</w:t>
      </w:r>
    </w:p>
    <w:p w14:paraId="21CCDCAE">
      <w:pPr>
        <w:pStyle w:val="26"/>
        <w:numPr>
          <w:ilvl w:val="0"/>
          <w:numId w:val="0"/>
        </w:numPr>
        <w:spacing w:before="0" w:line="480" w:lineRule="auto"/>
        <w:rPr>
          <w:rFonts w:hint="eastAsia" w:ascii="宋体" w:hAnsi="宋体" w:cs="宋体"/>
          <w:b w:val="0"/>
          <w:bCs w:val="0"/>
          <w:color w:val="auto"/>
          <w:sz w:val="24"/>
          <w:szCs w:val="24"/>
          <w:lang w:eastAsia="zh-CN"/>
        </w:rPr>
      </w:pPr>
    </w:p>
    <w:p w14:paraId="403BBA13">
      <w:pPr>
        <w:pStyle w:val="26"/>
        <w:spacing w:before="0" w:line="48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(4)拟派总监理工程师</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rPr>
        <w:t>须具备【市政公用工程注册监理工程师】执业资格，且未担任其他在建工程项目的总监理工程师</w:t>
      </w:r>
      <w:r>
        <w:rPr>
          <w:rFonts w:hint="eastAsia" w:ascii="宋体" w:hAnsi="宋体" w:cs="宋体"/>
          <w:b w:val="0"/>
          <w:bCs w:val="0"/>
          <w:color w:val="auto"/>
          <w:sz w:val="24"/>
          <w:szCs w:val="24"/>
          <w:lang w:eastAsia="zh-CN"/>
        </w:rPr>
        <w:t>；</w:t>
      </w:r>
    </w:p>
    <w:p w14:paraId="67C25F37">
      <w:pPr>
        <w:pStyle w:val="26"/>
        <w:spacing w:before="0" w:line="480" w:lineRule="auto"/>
        <w:rPr>
          <w:rFonts w:hint="eastAsia" w:ascii="宋体" w:hAnsi="宋体" w:cs="宋体"/>
          <w:b w:val="0"/>
          <w:bCs w:val="0"/>
          <w:color w:val="auto"/>
          <w:sz w:val="24"/>
          <w:szCs w:val="24"/>
        </w:rPr>
      </w:pPr>
    </w:p>
    <w:p w14:paraId="2406670D">
      <w:pPr>
        <w:pStyle w:val="20"/>
        <w:widowControl/>
        <w:wordWrap w:val="0"/>
        <w:spacing w:beforeAutospacing="0" w:afterAutospacing="0" w:line="620" w:lineRule="atLeast"/>
        <w:jc w:val="both"/>
        <w:rPr>
          <w:rFonts w:hint="eastAsia" w:ascii="宋体" w:hAnsi="宋体" w:eastAsia="宋体" w:cs="宋体"/>
          <w:i w:val="0"/>
          <w:iCs w:val="0"/>
          <w:caps w:val="0"/>
          <w:color w:val="auto"/>
          <w:spacing w:val="0"/>
          <w:sz w:val="24"/>
          <w:szCs w:val="24"/>
          <w:shd w:val="clear" w:fill="FFFFFF"/>
          <w:lang w:val="en-US" w:eastAsia="zh-CN"/>
        </w:rPr>
        <w:sectPr>
          <w:pgSz w:w="11906" w:h="16838"/>
          <w:pgMar w:top="1474" w:right="1474" w:bottom="1474" w:left="1474" w:header="851" w:footer="851" w:gutter="0"/>
          <w:pgNumType w:fmt="decimal"/>
          <w:cols w:space="720" w:num="1"/>
          <w:titlePg/>
          <w:docGrid w:linePitch="312" w:charSpace="0"/>
        </w:sectPr>
      </w:pPr>
      <w:r>
        <w:rPr>
          <w:rFonts w:hint="eastAsia" w:ascii="宋体" w:hAnsi="宋体" w:cs="宋体"/>
          <w:b w:val="0"/>
          <w:bCs w:val="0"/>
          <w:color w:val="auto"/>
          <w:sz w:val="24"/>
          <w:szCs w:val="24"/>
        </w:rPr>
        <w:br w:type="textWrapping"/>
      </w:r>
    </w:p>
    <w:p w14:paraId="084BB22B">
      <w:pPr>
        <w:pStyle w:val="20"/>
        <w:widowControl/>
        <w:wordWrap w:val="0"/>
        <w:spacing w:beforeAutospacing="0" w:afterAutospacing="0" w:line="620" w:lineRule="atLeast"/>
        <w:jc w:val="both"/>
        <w:rPr>
          <w:rFonts w:ascii="宋体" w:hAnsi="宋体"/>
          <w:b/>
          <w:bCs/>
          <w:szCs w:val="24"/>
        </w:rPr>
      </w:pPr>
      <w:r>
        <w:rPr>
          <w:rFonts w:hint="eastAsia" w:ascii="宋体" w:hAnsi="宋体" w:eastAsia="宋体" w:cs="宋体"/>
          <w:i w:val="0"/>
          <w:iCs w:val="0"/>
          <w:caps w:val="0"/>
          <w:color w:val="auto"/>
          <w:spacing w:val="0"/>
          <w:sz w:val="24"/>
          <w:szCs w:val="24"/>
          <w:shd w:val="clear" w:fill="FFFFFF"/>
        </w:rPr>
        <w:t>（</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）书面声明：出具参加本次采购活动前三年内在经营活动中没有重大违法记录的书面声明；</w:t>
      </w:r>
      <w:r>
        <w:rPr>
          <w:rFonts w:hint="eastAsia" w:ascii="宋体" w:hAnsi="宋体"/>
          <w:b/>
          <w:bCs/>
          <w:szCs w:val="24"/>
        </w:rPr>
        <w:t>（提供书面声明，加盖供应商公章）</w:t>
      </w:r>
    </w:p>
    <w:p w14:paraId="79750E4E">
      <w:pPr>
        <w:spacing w:line="440" w:lineRule="exact"/>
        <w:jc w:val="center"/>
        <w:rPr>
          <w:rFonts w:cs="宋体"/>
          <w:b/>
          <w:sz w:val="30"/>
          <w:szCs w:val="30"/>
        </w:rPr>
      </w:pPr>
    </w:p>
    <w:p w14:paraId="1DA557F1">
      <w:pPr>
        <w:spacing w:line="440" w:lineRule="exact"/>
        <w:jc w:val="center"/>
        <w:rPr>
          <w:rFonts w:cs="宋体"/>
          <w:b/>
          <w:sz w:val="30"/>
          <w:szCs w:val="30"/>
        </w:rPr>
      </w:pPr>
      <w:r>
        <w:rPr>
          <w:rFonts w:hint="eastAsia" w:cs="宋体"/>
          <w:b/>
          <w:sz w:val="30"/>
          <w:szCs w:val="30"/>
        </w:rPr>
        <w:t>书面声明</w:t>
      </w:r>
    </w:p>
    <w:p w14:paraId="65C44155">
      <w:pPr>
        <w:pStyle w:val="29"/>
        <w:widowControl w:val="0"/>
        <w:spacing w:line="360" w:lineRule="auto"/>
        <w:ind w:firstLine="0" w:firstLineChars="0"/>
        <w:rPr>
          <w:sz w:val="24"/>
          <w:szCs w:val="24"/>
        </w:rPr>
      </w:pPr>
    </w:p>
    <w:p w14:paraId="59A34A5E">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3ED17467">
      <w:pPr>
        <w:pStyle w:val="29"/>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rPr>
        <w:t>磋商</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3E12D9D8">
      <w:pPr>
        <w:pStyle w:val="29"/>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08297D05">
      <w:pPr>
        <w:pStyle w:val="29"/>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94A19B1">
      <w:pPr>
        <w:pStyle w:val="29"/>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554A48AD">
      <w:pPr>
        <w:pStyle w:val="29"/>
        <w:widowControl w:val="0"/>
        <w:spacing w:line="480" w:lineRule="auto"/>
        <w:ind w:firstLine="530" w:firstLineChars="221"/>
        <w:rPr>
          <w:sz w:val="24"/>
          <w:szCs w:val="24"/>
        </w:rPr>
      </w:pPr>
    </w:p>
    <w:p w14:paraId="31AA0836">
      <w:pPr>
        <w:spacing w:line="360" w:lineRule="auto"/>
        <w:ind w:firstLine="420" w:firstLineChars="200"/>
        <w:jc w:val="left"/>
        <w:rPr>
          <w:rFonts w:cs="宋体"/>
        </w:rPr>
      </w:pPr>
    </w:p>
    <w:p w14:paraId="3B940ED4">
      <w:pPr>
        <w:spacing w:line="480" w:lineRule="auto"/>
        <w:ind w:firstLine="2880" w:firstLineChars="1200"/>
        <w:rPr>
          <w:rStyle w:val="27"/>
          <w:rFonts w:ascii="宋体" w:hAnsi="宋体" w:cs="宋体"/>
          <w:sz w:val="24"/>
        </w:rPr>
      </w:pPr>
      <w:r>
        <w:rPr>
          <w:rFonts w:hint="eastAsia" w:ascii="宋体" w:hAnsi="宋体" w:cs="宋体"/>
          <w:sz w:val="24"/>
        </w:rPr>
        <w:t>供应商</w:t>
      </w:r>
      <w:r>
        <w:rPr>
          <w:rStyle w:val="27"/>
          <w:rFonts w:hint="eastAsia" w:ascii="宋体" w:hAnsi="宋体" w:cs="宋体"/>
          <w:sz w:val="24"/>
        </w:rPr>
        <w:t>名称：</w:t>
      </w:r>
      <w:r>
        <w:rPr>
          <w:rStyle w:val="27"/>
          <w:rFonts w:hint="eastAsia" w:ascii="宋体" w:hAnsi="宋体" w:cs="宋体"/>
          <w:sz w:val="24"/>
          <w:u w:val="single" w:color="000000"/>
        </w:rPr>
        <w:t xml:space="preserve">                  </w:t>
      </w:r>
      <w:r>
        <w:rPr>
          <w:rStyle w:val="27"/>
          <w:rFonts w:hint="eastAsia" w:ascii="宋体" w:hAnsi="宋体" w:cs="宋体"/>
          <w:sz w:val="24"/>
        </w:rPr>
        <w:t>（全称并加盖公章）</w:t>
      </w:r>
    </w:p>
    <w:p w14:paraId="594B4784">
      <w:pPr>
        <w:pStyle w:val="30"/>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038CD40F">
      <w:pPr>
        <w:pStyle w:val="30"/>
        <w:spacing w:line="400" w:lineRule="exact"/>
        <w:ind w:firstLine="2880" w:firstLineChars="1200"/>
        <w:rPr>
          <w:rFonts w:hAnsi="宋体" w:cs="宋体"/>
          <w:sz w:val="24"/>
          <w:szCs w:val="24"/>
        </w:rPr>
      </w:pPr>
    </w:p>
    <w:p w14:paraId="3C44E33D">
      <w:pPr>
        <w:pStyle w:val="2"/>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1CCEB8FD">
      <w:pPr>
        <w:pStyle w:val="20"/>
        <w:widowControl/>
        <w:wordWrap w:val="0"/>
        <w:spacing w:beforeAutospacing="0" w:afterAutospacing="0" w:line="620" w:lineRule="atLeast"/>
        <w:jc w:val="both"/>
        <w:rPr>
          <w:rFonts w:ascii="宋体" w:hAnsi="宋体"/>
          <w:b/>
          <w:bCs/>
          <w:szCs w:val="24"/>
        </w:rPr>
      </w:pPr>
    </w:p>
    <w:p w14:paraId="39FDC32E">
      <w:pPr>
        <w:rPr>
          <w:rFonts w:ascii="宋体" w:hAnsi="宋体" w:cs="宋体"/>
          <w:sz w:val="24"/>
        </w:rPr>
      </w:pPr>
      <w:r>
        <w:rPr>
          <w:rFonts w:hint="eastAsia" w:ascii="宋体" w:hAnsi="宋体" w:cs="宋体"/>
          <w:sz w:val="24"/>
        </w:rPr>
        <w:br w:type="page"/>
      </w:r>
    </w:p>
    <w:p w14:paraId="3A997426">
      <w:pPr>
        <w:pStyle w:val="20"/>
        <w:widowControl/>
        <w:wordWrap w:val="0"/>
        <w:spacing w:beforeAutospacing="0" w:afterAutospacing="0" w:line="620" w:lineRule="atLeast"/>
        <w:jc w:val="both"/>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6</w:t>
      </w:r>
      <w:r>
        <w:rPr>
          <w:rFonts w:hint="eastAsia" w:ascii="宋体" w:hAnsi="宋体" w:cs="宋体"/>
          <w:szCs w:val="24"/>
        </w:rPr>
        <w:t>）供应商须提供具有履行合同所必需的设备和专业技术能力的承诺；</w:t>
      </w:r>
      <w:r>
        <w:rPr>
          <w:rFonts w:hint="eastAsia" w:ascii="宋体" w:hAnsi="宋体"/>
          <w:b/>
          <w:bCs/>
          <w:szCs w:val="24"/>
        </w:rPr>
        <w:t>（提供承诺书，加盖供应商公章）</w:t>
      </w:r>
    </w:p>
    <w:p w14:paraId="4500B4DE">
      <w:pPr>
        <w:spacing w:line="440" w:lineRule="exact"/>
        <w:jc w:val="center"/>
        <w:rPr>
          <w:rFonts w:ascii="宋体" w:hAnsi="宋体" w:cs="宋体"/>
          <w:b/>
          <w:sz w:val="30"/>
          <w:szCs w:val="30"/>
        </w:rPr>
      </w:pPr>
    </w:p>
    <w:p w14:paraId="7910C0FC">
      <w:pPr>
        <w:spacing w:line="440" w:lineRule="exact"/>
        <w:jc w:val="center"/>
      </w:pPr>
      <w:r>
        <w:rPr>
          <w:rFonts w:hint="eastAsia" w:ascii="宋体" w:hAnsi="宋体" w:cs="宋体"/>
          <w:b/>
          <w:sz w:val="30"/>
          <w:szCs w:val="30"/>
        </w:rPr>
        <w:t>具有履行合同所必需的设备和专业技术能力的承诺</w:t>
      </w:r>
    </w:p>
    <w:p w14:paraId="19240FBC">
      <w:pPr>
        <w:pStyle w:val="29"/>
        <w:widowControl w:val="0"/>
        <w:spacing w:line="360" w:lineRule="auto"/>
        <w:ind w:firstLine="0" w:firstLineChars="0"/>
        <w:rPr>
          <w:rFonts w:ascii="宋体" w:hAnsi="宋体" w:cs="宋体"/>
          <w:sz w:val="24"/>
          <w:szCs w:val="24"/>
        </w:rPr>
      </w:pPr>
    </w:p>
    <w:p w14:paraId="61B3BD98">
      <w:pPr>
        <w:pStyle w:val="29"/>
        <w:widowControl w:val="0"/>
        <w:spacing w:line="480" w:lineRule="auto"/>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采购人名称  </w:t>
      </w:r>
    </w:p>
    <w:p w14:paraId="1F17690B">
      <w:pPr>
        <w:pStyle w:val="29"/>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w:t>
      </w:r>
      <w:r>
        <w:rPr>
          <w:rFonts w:hint="eastAsia"/>
          <w:sz w:val="24"/>
          <w:szCs w:val="24"/>
        </w:rPr>
        <w:t>磋商</w:t>
      </w:r>
      <w:r>
        <w:rPr>
          <w:sz w:val="24"/>
          <w:szCs w:val="24"/>
        </w:rPr>
        <w:t>事宜</w:t>
      </w:r>
      <w:r>
        <w:rPr>
          <w:rFonts w:hint="eastAsia" w:ascii="宋体" w:hAnsi="宋体" w:cs="宋体"/>
          <w:sz w:val="24"/>
          <w:szCs w:val="24"/>
        </w:rPr>
        <w:t>，我公司完全理解磋商文件所要求的各项技术商务要求。若我方成交，我方郑重承诺：</w:t>
      </w:r>
    </w:p>
    <w:p w14:paraId="56577919">
      <w:pPr>
        <w:pStyle w:val="29"/>
        <w:widowControl w:val="0"/>
        <w:spacing w:line="480" w:lineRule="auto"/>
        <w:ind w:firstLine="530" w:firstLineChars="221"/>
        <w:rPr>
          <w:rFonts w:ascii="宋体" w:hAnsi="宋体" w:cs="宋体"/>
          <w:sz w:val="24"/>
          <w:szCs w:val="24"/>
        </w:rPr>
      </w:pPr>
      <w:r>
        <w:rPr>
          <w:rFonts w:hint="eastAsia" w:ascii="宋体" w:hAnsi="宋体" w:cs="宋体"/>
          <w:sz w:val="24"/>
          <w:szCs w:val="24"/>
        </w:rPr>
        <w:t>我公司具有履行合同所必需的设备和专业技术能力；</w:t>
      </w:r>
    </w:p>
    <w:p w14:paraId="715DEFA4">
      <w:pPr>
        <w:pStyle w:val="29"/>
        <w:widowControl w:val="0"/>
        <w:spacing w:line="480" w:lineRule="auto"/>
        <w:ind w:firstLine="530" w:firstLineChars="221"/>
        <w:rPr>
          <w:rFonts w:ascii="宋体" w:hAnsi="宋体" w:cs="宋体"/>
          <w:sz w:val="24"/>
          <w:szCs w:val="24"/>
        </w:rPr>
      </w:pPr>
      <w:r>
        <w:rPr>
          <w:rFonts w:hint="eastAsia" w:ascii="宋体" w:hAnsi="宋体" w:cs="宋体"/>
          <w:sz w:val="24"/>
          <w:szCs w:val="24"/>
        </w:rPr>
        <w:t>本承诺真实有效，若经查实存在不实情况。本公司愿意接受政府有关部门的相应处罚，并愿意承担由此带来的法律后果。</w:t>
      </w:r>
    </w:p>
    <w:p w14:paraId="06EFCA5D">
      <w:pPr>
        <w:pStyle w:val="29"/>
        <w:widowControl w:val="0"/>
        <w:spacing w:line="480" w:lineRule="auto"/>
        <w:ind w:firstLine="720" w:firstLineChars="300"/>
        <w:rPr>
          <w:rFonts w:ascii="宋体" w:hAnsi="宋体" w:cs="宋体"/>
          <w:sz w:val="24"/>
          <w:szCs w:val="24"/>
        </w:rPr>
      </w:pPr>
      <w:r>
        <w:rPr>
          <w:rFonts w:hint="eastAsia" w:ascii="宋体" w:hAnsi="宋体" w:cs="宋体"/>
          <w:sz w:val="24"/>
          <w:szCs w:val="24"/>
        </w:rPr>
        <w:t>特此承诺！</w:t>
      </w:r>
    </w:p>
    <w:p w14:paraId="2EC12CD4">
      <w:pPr>
        <w:autoSpaceDE w:val="0"/>
        <w:autoSpaceDN w:val="0"/>
        <w:adjustRightInd w:val="0"/>
        <w:snapToGrid w:val="0"/>
        <w:spacing w:line="700" w:lineRule="exact"/>
        <w:ind w:left="3578" w:leftChars="1704"/>
        <w:jc w:val="left"/>
        <w:rPr>
          <w:rFonts w:cs="宋体"/>
          <w:sz w:val="24"/>
          <w:u w:val="single"/>
        </w:rPr>
      </w:pPr>
      <w:r>
        <w:rPr>
          <w:rFonts w:hint="eastAsia" w:cs="宋体"/>
          <w:sz w:val="24"/>
        </w:rPr>
        <w:t>供应商：</w:t>
      </w:r>
      <w:r>
        <w:rPr>
          <w:rFonts w:hint="eastAsia" w:cs="宋体"/>
          <w:sz w:val="24"/>
          <w:u w:val="single"/>
        </w:rPr>
        <w:t xml:space="preserve">                    </w:t>
      </w:r>
      <w:r>
        <w:rPr>
          <w:rFonts w:hint="eastAsia" w:cs="宋体"/>
          <w:sz w:val="24"/>
        </w:rPr>
        <w:t>（全称并加盖公章）</w:t>
      </w:r>
      <w:r>
        <w:rPr>
          <w:rFonts w:hint="eastAsia" w:cs="宋体"/>
          <w:sz w:val="24"/>
          <w:u w:val="single"/>
        </w:rPr>
        <w:t xml:space="preserve">     </w:t>
      </w:r>
    </w:p>
    <w:p w14:paraId="3D5667F5">
      <w:pPr>
        <w:spacing w:line="700" w:lineRule="exact"/>
        <w:ind w:left="3578" w:leftChars="1704"/>
        <w:rPr>
          <w:rFonts w:cs="宋体"/>
          <w:sz w:val="24"/>
        </w:rPr>
      </w:pPr>
      <w:r>
        <w:rPr>
          <w:rFonts w:hint="eastAsia" w:cs="宋体"/>
          <w:sz w:val="24"/>
        </w:rPr>
        <w:t>法定代表人或其委托代理人：</w:t>
      </w:r>
      <w:r>
        <w:rPr>
          <w:rFonts w:hint="eastAsia" w:cs="宋体"/>
          <w:sz w:val="24"/>
          <w:u w:val="single"/>
        </w:rPr>
        <w:t xml:space="preserve">       </w:t>
      </w:r>
      <w:r>
        <w:rPr>
          <w:rFonts w:hint="eastAsia" w:cs="宋体"/>
          <w:sz w:val="24"/>
        </w:rPr>
        <w:t>（签字或盖章）</w:t>
      </w:r>
      <w:r>
        <w:rPr>
          <w:rFonts w:hint="eastAsia" w:cs="宋体"/>
          <w:sz w:val="24"/>
          <w:u w:val="single"/>
        </w:rPr>
        <w:t xml:space="preserve">    </w:t>
      </w:r>
    </w:p>
    <w:p w14:paraId="4A67428E">
      <w:pPr>
        <w:spacing w:line="700" w:lineRule="exact"/>
        <w:ind w:left="3578" w:leftChars="1704"/>
        <w:rPr>
          <w:rFonts w:cs="宋体"/>
          <w:sz w:val="24"/>
        </w:rPr>
        <w:sectPr>
          <w:pgSz w:w="11906" w:h="16838"/>
          <w:pgMar w:top="1474" w:right="1474" w:bottom="1474" w:left="1474" w:header="851" w:footer="851" w:gutter="0"/>
          <w:pgNumType w:fmt="decimal"/>
          <w:cols w:space="720" w:num="1"/>
          <w:titlePg/>
          <w:docGrid w:linePitch="312" w:charSpace="0"/>
        </w:sectPr>
      </w:pPr>
      <w:r>
        <w:rPr>
          <w:rFonts w:hint="eastAsia" w:cs="宋体"/>
          <w:sz w:val="24"/>
        </w:rPr>
        <w:t>日   期：</w:t>
      </w:r>
      <w:r>
        <w:rPr>
          <w:rFonts w:hint="eastAsia" w:cs="宋体"/>
          <w:sz w:val="24"/>
          <w:u w:val="single"/>
        </w:rPr>
        <w:t xml:space="preserve">      </w:t>
      </w:r>
      <w:r>
        <w:rPr>
          <w:rFonts w:hint="eastAsia" w:cs="宋体"/>
          <w:sz w:val="24"/>
        </w:rPr>
        <w:t>年</w:t>
      </w:r>
      <w:r>
        <w:rPr>
          <w:rFonts w:hint="eastAsia" w:cs="宋体"/>
          <w:sz w:val="24"/>
          <w:u w:val="single"/>
        </w:rPr>
        <w:t xml:space="preserve">    </w:t>
      </w:r>
      <w:r>
        <w:rPr>
          <w:rFonts w:hint="eastAsia" w:cs="宋体"/>
          <w:sz w:val="24"/>
        </w:rPr>
        <w:t>月</w:t>
      </w:r>
      <w:r>
        <w:rPr>
          <w:rFonts w:hint="eastAsia" w:cs="宋体"/>
          <w:sz w:val="24"/>
          <w:u w:val="single"/>
        </w:rPr>
        <w:t xml:space="preserve">     </w:t>
      </w:r>
      <w:r>
        <w:rPr>
          <w:rFonts w:hint="eastAsia" w:cs="宋体"/>
          <w:sz w:val="24"/>
        </w:rPr>
        <w:t>日</w:t>
      </w:r>
    </w:p>
    <w:p w14:paraId="54014903">
      <w:pPr>
        <w:pStyle w:val="20"/>
        <w:widowControl/>
        <w:numPr>
          <w:ilvl w:val="0"/>
          <w:numId w:val="0"/>
        </w:numPr>
        <w:wordWrap w:val="0"/>
        <w:spacing w:beforeAutospacing="0" w:afterAutospacing="0" w:line="620" w:lineRule="atLeast"/>
        <w:jc w:val="both"/>
        <w:rPr>
          <w:rFonts w:hint="eastAsia" w:ascii="宋体" w:hAnsi="宋体" w:cs="宋体"/>
          <w:szCs w:val="24"/>
        </w:rPr>
      </w:pPr>
      <w:r>
        <w:rPr>
          <w:rFonts w:hint="eastAsia" w:ascii="宋体" w:hAnsi="宋体" w:eastAsia="宋体" w:cs="宋体"/>
          <w:kern w:val="0"/>
          <w:sz w:val="24"/>
          <w:szCs w:val="24"/>
          <w:lang w:val="en-US" w:eastAsia="zh-CN" w:bidi="ar-SA"/>
        </w:rPr>
        <w:t>（</w:t>
      </w:r>
      <w:r>
        <w:rPr>
          <w:rFonts w:hint="eastAsia" w:ascii="宋体" w:hAnsi="宋体" w:cs="宋体"/>
          <w:kern w:val="0"/>
          <w:sz w:val="24"/>
          <w:szCs w:val="24"/>
          <w:lang w:val="en-US" w:eastAsia="zh-CN" w:bidi="ar-SA"/>
        </w:rPr>
        <w:t>7</w:t>
      </w:r>
      <w:r>
        <w:rPr>
          <w:rFonts w:hint="eastAsia" w:ascii="宋体" w:hAnsi="宋体" w:eastAsia="宋体" w:cs="宋体"/>
          <w:kern w:val="0"/>
          <w:sz w:val="24"/>
          <w:szCs w:val="24"/>
          <w:lang w:val="en-US" w:eastAsia="zh-CN" w:bidi="ar-SA"/>
        </w:rPr>
        <w:t>）</w:t>
      </w:r>
      <w:r>
        <w:rPr>
          <w:rFonts w:hint="eastAsia" w:ascii="宋体" w:hAnsi="宋体" w:cs="宋体"/>
          <w:szCs w:val="24"/>
        </w:rPr>
        <w:t>财务状况报告：提供</w:t>
      </w:r>
      <w:r>
        <w:rPr>
          <w:rFonts w:hint="eastAsia" w:ascii="宋体" w:hAnsi="宋体" w:cs="宋体"/>
          <w:szCs w:val="24"/>
          <w:lang w:val="en-US" w:eastAsia="zh-CN"/>
        </w:rPr>
        <w:t>2024年度或2025年度</w:t>
      </w:r>
      <w:r>
        <w:rPr>
          <w:rFonts w:hint="eastAsia" w:ascii="宋体" w:hAnsi="宋体" w:cs="宋体"/>
          <w:szCs w:val="24"/>
        </w:rPr>
        <w:t>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62699B79">
      <w:pPr>
        <w:pStyle w:val="20"/>
        <w:widowControl/>
        <w:numPr>
          <w:ilvl w:val="0"/>
          <w:numId w:val="0"/>
        </w:numPr>
        <w:wordWrap w:val="0"/>
        <w:spacing w:beforeAutospacing="0" w:afterAutospacing="0" w:line="620" w:lineRule="atLeast"/>
        <w:jc w:val="both"/>
        <w:rPr>
          <w:rFonts w:hint="eastAsia" w:ascii="宋体" w:hAnsi="宋体" w:cs="宋体"/>
          <w:szCs w:val="24"/>
        </w:rPr>
      </w:pPr>
      <w:r>
        <w:rPr>
          <w:rFonts w:hint="eastAsia" w:ascii="宋体" w:hAnsi="宋体" w:cs="宋体"/>
          <w:szCs w:val="24"/>
        </w:rPr>
        <w:br w:type="textWrapping"/>
      </w:r>
      <w:r>
        <w:rPr>
          <w:rFonts w:hint="eastAsia" w:ascii="宋体" w:hAnsi="宋体" w:cs="宋体"/>
          <w:szCs w:val="24"/>
        </w:rPr>
        <w:t>（</w:t>
      </w:r>
      <w:r>
        <w:rPr>
          <w:rFonts w:hint="eastAsia" w:ascii="宋体" w:hAnsi="宋体" w:cs="宋体"/>
          <w:szCs w:val="24"/>
          <w:lang w:val="en-US" w:eastAsia="zh-CN"/>
        </w:rPr>
        <w:t>8</w:t>
      </w:r>
      <w:r>
        <w:rPr>
          <w:rFonts w:hint="eastAsia" w:ascii="宋体" w:hAnsi="宋体" w:cs="宋体"/>
          <w:szCs w:val="24"/>
        </w:rPr>
        <w:t>）社会保障资金缴纳证明：提供响应文件提交截止时间前6个月内任意一个月已缴纳的社会保障资金缴存单据或社保机构开具的社会保险参保缴费情况证明，依法不需要缴纳社会保障资金的应提供相关文件证明；</w:t>
      </w:r>
    </w:p>
    <w:p w14:paraId="495F7C0D">
      <w:pPr>
        <w:pStyle w:val="20"/>
        <w:widowControl/>
        <w:numPr>
          <w:ilvl w:val="0"/>
          <w:numId w:val="0"/>
        </w:numPr>
        <w:wordWrap w:val="0"/>
        <w:spacing w:beforeAutospacing="0" w:afterAutospacing="0" w:line="620" w:lineRule="atLeast"/>
        <w:jc w:val="both"/>
        <w:rPr>
          <w:rFonts w:hint="eastAsia" w:ascii="宋体" w:hAnsi="宋体" w:cs="宋体"/>
          <w:szCs w:val="24"/>
        </w:rPr>
      </w:pPr>
      <w:r>
        <w:rPr>
          <w:rFonts w:hint="eastAsia" w:ascii="宋体" w:hAnsi="宋体" w:cs="宋体"/>
          <w:szCs w:val="24"/>
        </w:rPr>
        <w:br w:type="textWrapping"/>
      </w:r>
      <w:r>
        <w:rPr>
          <w:rFonts w:hint="eastAsia" w:ascii="宋体" w:hAnsi="宋体" w:cs="宋体"/>
          <w:szCs w:val="24"/>
        </w:rPr>
        <w:t>（</w:t>
      </w:r>
      <w:r>
        <w:rPr>
          <w:rFonts w:hint="eastAsia" w:ascii="宋体" w:hAnsi="宋体" w:cs="宋体"/>
          <w:szCs w:val="24"/>
          <w:lang w:val="en-US" w:eastAsia="zh-CN"/>
        </w:rPr>
        <w:t>9</w:t>
      </w:r>
      <w:r>
        <w:rPr>
          <w:rFonts w:hint="eastAsia" w:ascii="宋体" w:hAnsi="宋体" w:cs="宋体"/>
          <w:szCs w:val="24"/>
        </w:rPr>
        <w:t>）税收缴纳证明：提供响应文件提交截止时间前6个月内任意一个月已缴纳的完税凭证或税务机关开具的完税证明（任意税种），依法免税的应提供相关文件证明；</w:t>
      </w:r>
    </w:p>
    <w:p w14:paraId="12C3F881">
      <w:pPr>
        <w:pStyle w:val="20"/>
        <w:widowControl/>
        <w:wordWrap w:val="0"/>
        <w:spacing w:beforeAutospacing="0" w:afterAutospacing="0" w:line="620" w:lineRule="atLeast"/>
        <w:jc w:val="both"/>
        <w:rPr>
          <w:rFonts w:ascii="宋体" w:hAnsi="宋体" w:cs="宋体"/>
        </w:rPr>
      </w:pPr>
    </w:p>
    <w:p w14:paraId="41388E45">
      <w:pPr>
        <w:pStyle w:val="20"/>
        <w:widowControl/>
        <w:wordWrap w:val="0"/>
        <w:spacing w:beforeAutospacing="0" w:afterAutospacing="0" w:line="620" w:lineRule="atLeast"/>
        <w:jc w:val="both"/>
        <w:rPr>
          <w:rFonts w:ascii="宋体" w:hAnsi="宋体" w:cs="宋体"/>
        </w:rPr>
      </w:pPr>
    </w:p>
    <w:p w14:paraId="0F37A8D3">
      <w:pPr>
        <w:rPr>
          <w:rFonts w:ascii="宋体" w:hAnsi="宋体" w:cs="宋体"/>
          <w:sz w:val="24"/>
        </w:rPr>
      </w:pPr>
      <w:r>
        <w:rPr>
          <w:rFonts w:hint="eastAsia" w:ascii="宋体" w:hAnsi="宋体" w:cs="宋体"/>
          <w:sz w:val="24"/>
        </w:rPr>
        <w:br w:type="page"/>
      </w:r>
    </w:p>
    <w:p w14:paraId="760264D6">
      <w:pPr>
        <w:pStyle w:val="26"/>
        <w:spacing w:before="0" w:line="360" w:lineRule="auto"/>
        <w:rPr>
          <w:rFonts w:ascii="宋体" w:hAnsi="宋体" w:cs="宋体"/>
          <w:b w:val="0"/>
          <w:bCs w:val="0"/>
          <w:sz w:val="24"/>
          <w:szCs w:val="24"/>
        </w:rPr>
      </w:pPr>
      <w:bookmarkStart w:id="229" w:name="_Toc901"/>
      <w:r>
        <w:rPr>
          <w:rFonts w:hint="eastAsia" w:ascii="宋体" w:hAnsi="宋体" w:eastAsia="宋体" w:cs="宋体"/>
          <w:b w:val="0"/>
          <w:bCs w:val="0"/>
          <w:i w:val="0"/>
          <w:iCs w:val="0"/>
          <w:caps w:val="0"/>
          <w:color w:val="auto"/>
          <w:spacing w:val="0"/>
          <w:sz w:val="24"/>
          <w:szCs w:val="24"/>
          <w:shd w:val="clear" w:fill="FFFFFF"/>
        </w:rPr>
        <w:t>（</w:t>
      </w:r>
      <w:r>
        <w:rPr>
          <w:rFonts w:hint="eastAsia" w:ascii="宋体" w:hAnsi="宋体" w:cs="宋体"/>
          <w:b w:val="0"/>
          <w:bCs w:val="0"/>
          <w:i w:val="0"/>
          <w:iCs w:val="0"/>
          <w:caps w:val="0"/>
          <w:color w:val="auto"/>
          <w:spacing w:val="0"/>
          <w:sz w:val="24"/>
          <w:szCs w:val="24"/>
          <w:shd w:val="clear" w:fill="FFFFFF"/>
          <w:lang w:val="en-US" w:eastAsia="zh-CN"/>
        </w:rPr>
        <w:t>10</w:t>
      </w:r>
      <w:r>
        <w:rPr>
          <w:rFonts w:hint="eastAsia" w:ascii="宋体" w:hAnsi="宋体" w:eastAsia="宋体" w:cs="宋体"/>
          <w:b w:val="0"/>
          <w:bCs w:val="0"/>
          <w:i w:val="0"/>
          <w:iCs w:val="0"/>
          <w:caps w:val="0"/>
          <w:color w:val="auto"/>
          <w:spacing w:val="0"/>
          <w:sz w:val="24"/>
          <w:szCs w:val="24"/>
          <w:shd w:val="clear" w:fill="FFFFFF"/>
        </w:rPr>
        <w:t>）信誉要求：供应商不得被列入“中国执行信息公开网”（http://zxgk.court.gov.cn）失信被执行人，不得被列入“信用中国”网站（www.creditchina.gov.cn）重大税收违法失信主体，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4"/>
          <w:szCs w:val="24"/>
          <w:shd w:val="clear" w:fill="FFFFFF"/>
        </w:rPr>
        <w:br w:type="textWrapping"/>
      </w:r>
    </w:p>
    <w:p w14:paraId="7FFBCD8C">
      <w:pPr>
        <w:pStyle w:val="15"/>
        <w:adjustRightInd w:val="0"/>
        <w:snapToGrid w:val="0"/>
        <w:spacing w:line="360" w:lineRule="auto"/>
        <w:ind w:firstLine="601"/>
        <w:jc w:val="center"/>
        <w:rPr>
          <w:rFonts w:hAnsi="宋体" w:cs="宋体"/>
          <w:b/>
          <w:sz w:val="30"/>
          <w:szCs w:val="30"/>
        </w:rPr>
      </w:pPr>
      <w:r>
        <w:rPr>
          <w:rFonts w:hint="eastAsia" w:hAnsi="宋体" w:cs="宋体"/>
          <w:b/>
          <w:sz w:val="30"/>
          <w:szCs w:val="30"/>
        </w:rPr>
        <w:t xml:space="preserve">供应商信用记录书面声明函 </w:t>
      </w:r>
    </w:p>
    <w:p w14:paraId="2C89141D">
      <w:pPr>
        <w:pStyle w:val="29"/>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42347A9A">
      <w:pPr>
        <w:pStyle w:val="29"/>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17855AF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2、我方_____（填“未被列入”或“被列入”）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8E5DBD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3、我方_____（填“未被列入”或“被列入”）“信用中国”网站重大税收违法失信主体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EA5158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4、我方_____（填“未被列入”或“被列入”）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网站政府采购严重违法失信行为记录名单。 </w:t>
      </w:r>
    </w:p>
    <w:p w14:paraId="6F97B763">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A6199AD">
      <w:pPr>
        <w:pStyle w:val="21"/>
        <w:spacing w:line="500" w:lineRule="exact"/>
        <w:ind w:firstLine="0" w:firstLineChars="0"/>
        <w:rPr>
          <w:rFonts w:ascii="宋体" w:hAnsi="宋体" w:cs="宋体"/>
          <w:sz w:val="24"/>
        </w:rPr>
      </w:pPr>
    </w:p>
    <w:p w14:paraId="26F0BD6A">
      <w:pPr>
        <w:spacing w:line="480" w:lineRule="auto"/>
        <w:ind w:firstLine="2880" w:firstLineChars="1200"/>
        <w:rPr>
          <w:rStyle w:val="27"/>
          <w:rFonts w:ascii="宋体" w:hAnsi="宋体" w:cs="宋体"/>
          <w:sz w:val="24"/>
        </w:rPr>
      </w:pPr>
      <w:r>
        <w:rPr>
          <w:rFonts w:hint="eastAsia" w:ascii="宋体" w:hAnsi="宋体" w:cs="宋体"/>
          <w:sz w:val="24"/>
        </w:rPr>
        <w:t>供应商</w:t>
      </w:r>
      <w:r>
        <w:rPr>
          <w:rStyle w:val="27"/>
          <w:rFonts w:hint="eastAsia" w:ascii="宋体" w:hAnsi="宋体" w:cs="宋体"/>
          <w:sz w:val="24"/>
        </w:rPr>
        <w:t>名称：</w:t>
      </w:r>
      <w:r>
        <w:rPr>
          <w:rStyle w:val="27"/>
          <w:rFonts w:hint="eastAsia" w:ascii="宋体" w:hAnsi="宋体" w:cs="宋体"/>
          <w:sz w:val="24"/>
          <w:u w:val="single" w:color="000000"/>
        </w:rPr>
        <w:t xml:space="preserve">                  </w:t>
      </w:r>
      <w:r>
        <w:rPr>
          <w:rStyle w:val="27"/>
          <w:rFonts w:hint="eastAsia" w:ascii="宋体" w:hAnsi="宋体" w:cs="宋体"/>
          <w:sz w:val="24"/>
        </w:rPr>
        <w:t>（全称并加盖公章）</w:t>
      </w:r>
    </w:p>
    <w:p w14:paraId="3373446F">
      <w:pPr>
        <w:pStyle w:val="30"/>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34C947E5">
      <w:pPr>
        <w:pStyle w:val="2"/>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7D55C780">
      <w:pPr>
        <w:pStyle w:val="15"/>
        <w:adjustRightInd w:val="0"/>
        <w:snapToGrid w:val="0"/>
        <w:spacing w:line="360" w:lineRule="auto"/>
        <w:jc w:val="left"/>
        <w:rPr>
          <w:rFonts w:hAnsi="宋体" w:cs="宋体"/>
          <w:sz w:val="24"/>
          <w:szCs w:val="24"/>
        </w:rPr>
      </w:pPr>
    </w:p>
    <w:p w14:paraId="25C3CC1C">
      <w:pPr>
        <w:pStyle w:val="15"/>
        <w:adjustRightInd w:val="0"/>
        <w:snapToGrid w:val="0"/>
        <w:spacing w:line="360" w:lineRule="auto"/>
        <w:jc w:val="left"/>
        <w:rPr>
          <w:rFonts w:hAnsi="宋体" w:cs="宋体"/>
          <w:sz w:val="24"/>
          <w:szCs w:val="24"/>
        </w:rPr>
      </w:pPr>
    </w:p>
    <w:p w14:paraId="345FE11A">
      <w:pPr>
        <w:pStyle w:val="15"/>
        <w:adjustRightInd w:val="0"/>
        <w:snapToGrid w:val="0"/>
        <w:spacing w:line="360" w:lineRule="auto"/>
        <w:jc w:val="left"/>
        <w:rPr>
          <w:rFonts w:hAnsi="宋体" w:cs="宋体"/>
          <w:sz w:val="24"/>
          <w:szCs w:val="24"/>
        </w:rPr>
      </w:pPr>
    </w:p>
    <w:p w14:paraId="4B94E42E">
      <w:pPr>
        <w:pStyle w:val="15"/>
        <w:numPr>
          <w:ilvl w:val="0"/>
          <w:numId w:val="0"/>
        </w:numPr>
        <w:adjustRightInd w:val="0"/>
        <w:snapToGrid w:val="0"/>
        <w:spacing w:line="360" w:lineRule="auto"/>
        <w:jc w:val="both"/>
        <w:rPr>
          <w:rFonts w:hint="eastAsia" w:ascii="宋体" w:hAnsi="宋体" w:eastAsia="宋体" w:cs="宋体"/>
          <w:i w:val="0"/>
          <w:iCs w:val="0"/>
          <w:caps w:val="0"/>
          <w:color w:val="auto"/>
          <w:spacing w:val="0"/>
          <w:sz w:val="24"/>
          <w:szCs w:val="24"/>
          <w:shd w:val="clear" w:fill="FFFFFF"/>
        </w:rPr>
      </w:pPr>
      <w:r>
        <w:rPr>
          <w:rFonts w:hint="eastAsia" w:hAnsi="宋体" w:cs="宋体"/>
          <w:i w:val="0"/>
          <w:iCs w:val="0"/>
          <w:caps w:val="0"/>
          <w:color w:val="auto"/>
          <w:spacing w:val="0"/>
          <w:sz w:val="24"/>
          <w:szCs w:val="24"/>
          <w:shd w:val="clear" w:fill="FFFFFF"/>
          <w:lang w:eastAsia="zh-CN"/>
        </w:rPr>
        <w:t>（</w:t>
      </w:r>
      <w:r>
        <w:rPr>
          <w:rFonts w:hint="eastAsia" w:hAnsi="宋体" w:cs="宋体"/>
          <w:i w:val="0"/>
          <w:iCs w:val="0"/>
          <w:caps w:val="0"/>
          <w:color w:val="auto"/>
          <w:spacing w:val="0"/>
          <w:sz w:val="24"/>
          <w:szCs w:val="24"/>
          <w:shd w:val="clear" w:fill="FFFFFF"/>
          <w:lang w:val="en-US" w:eastAsia="zh-CN"/>
        </w:rPr>
        <w:t>11</w:t>
      </w:r>
      <w:r>
        <w:rPr>
          <w:rFonts w:hint="eastAsia" w:hAnsi="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单位负责人为同一人或者存在直接控股、管理关系的不同供应商，不得同时参加同一采购活动；</w:t>
      </w:r>
    </w:p>
    <w:p w14:paraId="5B617C40">
      <w:pPr>
        <w:pStyle w:val="15"/>
        <w:numPr>
          <w:ilvl w:val="0"/>
          <w:numId w:val="0"/>
        </w:numPr>
        <w:adjustRightInd w:val="0"/>
        <w:snapToGrid w:val="0"/>
        <w:spacing w:line="360" w:lineRule="auto"/>
        <w:jc w:val="center"/>
        <w:rPr>
          <w:rFonts w:hAnsi="宋体" w:cs="宋体"/>
          <w:b/>
          <w:sz w:val="30"/>
          <w:szCs w:val="30"/>
        </w:rPr>
      </w:pPr>
      <w:r>
        <w:rPr>
          <w:rFonts w:hint="eastAsia" w:hAnsi="宋体" w:cs="宋体"/>
          <w:b/>
          <w:sz w:val="30"/>
          <w:szCs w:val="30"/>
        </w:rPr>
        <w:t>供应商企业关系关联承诺书</w:t>
      </w:r>
    </w:p>
    <w:p w14:paraId="39941765">
      <w:pPr>
        <w:pStyle w:val="31"/>
        <w:tabs>
          <w:tab w:val="left" w:pos="360"/>
        </w:tabs>
        <w:spacing w:line="400" w:lineRule="exact"/>
        <w:rPr>
          <w:rFonts w:ascii="宋体" w:hAnsi="宋体"/>
          <w:sz w:val="24"/>
          <w:szCs w:val="24"/>
        </w:rPr>
      </w:pPr>
    </w:p>
    <w:p w14:paraId="716A8033">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一、供应商在本项目</w:t>
      </w:r>
      <w:r>
        <w:rPr>
          <w:rFonts w:hint="eastAsia" w:ascii="宋体" w:hAnsi="宋体" w:eastAsia="宋体" w:cs="宋体"/>
          <w:b w:val="0"/>
          <w:sz w:val="24"/>
          <w:szCs w:val="24"/>
        </w:rPr>
        <w:t>采购活动</w:t>
      </w:r>
      <w:r>
        <w:rPr>
          <w:rFonts w:hint="eastAsia" w:ascii="宋体" w:hAnsi="宋体" w:eastAsia="宋体" w:cs="宋体"/>
          <w:b w:val="0"/>
          <w:bCs/>
          <w:sz w:val="24"/>
          <w:szCs w:val="24"/>
        </w:rPr>
        <w:t>中，不存在与其它供应商负责人为同一人，有控股、管理等关联关系承诺。</w:t>
      </w:r>
    </w:p>
    <w:p w14:paraId="0B9763D0">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1.管理关系说明：</w:t>
      </w:r>
    </w:p>
    <w:p w14:paraId="10A1BF1B">
      <w:pPr>
        <w:pStyle w:val="31"/>
        <w:widowControl/>
        <w:tabs>
          <w:tab w:val="left" w:pos="360"/>
        </w:tabs>
        <w:spacing w:line="480" w:lineRule="auto"/>
        <w:ind w:firstLine="480" w:firstLineChars="200"/>
        <w:rPr>
          <w:rFonts w:ascii="宋体" w:hAnsi="宋体" w:eastAsia="宋体" w:cs="宋体"/>
          <w:b w:val="0"/>
          <w:bCs/>
          <w:sz w:val="24"/>
          <w:szCs w:val="24"/>
          <w:u w:val="single"/>
        </w:rPr>
      </w:pPr>
      <w:r>
        <w:rPr>
          <w:rFonts w:hint="eastAsia" w:ascii="宋体" w:hAnsi="宋体" w:eastAsia="宋体" w:cs="宋体"/>
          <w:b w:val="0"/>
          <w:bCs/>
          <w:sz w:val="24"/>
          <w:szCs w:val="24"/>
        </w:rPr>
        <w:t>我单位管理的具有独立法人的下属单位：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w:t>
      </w:r>
    </w:p>
    <w:p w14:paraId="6B466CD8">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 xml:space="preserve">我单位的上级管理单位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17D6368F">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2.股权关系说明：</w:t>
      </w:r>
    </w:p>
    <w:p w14:paraId="0DDC5EA7">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我单位控股的单位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 。</w:t>
      </w:r>
    </w:p>
    <w:p w14:paraId="7DC8D2C3">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(没有填无)被</w:t>
      </w:r>
      <w:r>
        <w:rPr>
          <w:rFonts w:hint="eastAsia" w:ascii="宋体" w:hAnsi="宋体" w:eastAsia="宋体" w:cs="宋体"/>
          <w:b w:val="0"/>
          <w:bCs/>
          <w:sz w:val="24"/>
          <w:szCs w:val="24"/>
          <w:u w:val="single"/>
        </w:rPr>
        <w:t xml:space="preserve">   （控股单位全称）  </w:t>
      </w:r>
      <w:r>
        <w:rPr>
          <w:rFonts w:hint="eastAsia" w:ascii="宋体" w:hAnsi="宋体" w:eastAsia="宋体" w:cs="宋体"/>
          <w:b w:val="0"/>
          <w:bCs/>
          <w:sz w:val="24"/>
          <w:szCs w:val="24"/>
        </w:rPr>
        <w:t>单位控股。</w:t>
      </w:r>
    </w:p>
    <w:p w14:paraId="25A05FE6">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3.单位负责人：</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(没有填无)。</w:t>
      </w:r>
    </w:p>
    <w:p w14:paraId="4F07E46E">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二、我单位</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（是或否）为本采购项目提供过整体设计、规范编制或者项目管理、监理、检测等服务的供应商。</w:t>
      </w:r>
    </w:p>
    <w:p w14:paraId="565F4FCB">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三、其他与本项目有关的利害关系说明。</w:t>
      </w:r>
    </w:p>
    <w:p w14:paraId="37C695BB">
      <w:pPr>
        <w:pStyle w:val="31"/>
        <w:widowControl/>
        <w:tabs>
          <w:tab w:val="left" w:pos="360"/>
        </w:tabs>
        <w:spacing w:line="480" w:lineRule="auto"/>
        <w:ind w:firstLine="480" w:firstLineChars="200"/>
        <w:rPr>
          <w:rFonts w:ascii="宋体" w:hAnsi="宋体" w:eastAsia="宋体" w:cs="宋体"/>
          <w:b w:val="0"/>
          <w:bCs/>
          <w:sz w:val="24"/>
          <w:szCs w:val="24"/>
        </w:rPr>
      </w:pPr>
      <w:r>
        <w:rPr>
          <w:rFonts w:hint="eastAsia" w:ascii="宋体" w:hAnsi="宋体" w:eastAsia="宋体" w:cs="宋体"/>
          <w:b w:val="0"/>
          <w:bCs/>
          <w:sz w:val="24"/>
          <w:szCs w:val="24"/>
        </w:rPr>
        <w:t>我单位承诺以上说明真实有效，无虚假内容或隐瞒。</w:t>
      </w:r>
    </w:p>
    <w:p w14:paraId="3B399985">
      <w:pPr>
        <w:widowControl/>
        <w:spacing w:line="360" w:lineRule="auto"/>
        <w:rPr>
          <w:sz w:val="24"/>
        </w:rPr>
      </w:pPr>
    </w:p>
    <w:p w14:paraId="0BEB563B">
      <w:pPr>
        <w:spacing w:line="440" w:lineRule="exact"/>
        <w:ind w:firstLine="420" w:firstLineChars="200"/>
        <w:rPr>
          <w:szCs w:val="21"/>
        </w:rPr>
      </w:pPr>
    </w:p>
    <w:p w14:paraId="552E8408">
      <w:pPr>
        <w:spacing w:line="480" w:lineRule="auto"/>
        <w:ind w:firstLine="2880" w:firstLineChars="1200"/>
        <w:rPr>
          <w:rStyle w:val="27"/>
          <w:rFonts w:ascii="宋体" w:hAnsi="宋体" w:cs="宋体"/>
          <w:sz w:val="24"/>
        </w:rPr>
      </w:pPr>
      <w:r>
        <w:rPr>
          <w:rFonts w:hint="eastAsia" w:ascii="宋体" w:hAnsi="宋体" w:cs="宋体"/>
          <w:sz w:val="24"/>
        </w:rPr>
        <w:t>供应商</w:t>
      </w:r>
      <w:r>
        <w:rPr>
          <w:rStyle w:val="27"/>
          <w:rFonts w:hint="eastAsia" w:ascii="宋体" w:hAnsi="宋体" w:cs="宋体"/>
          <w:sz w:val="24"/>
        </w:rPr>
        <w:t>名称：</w:t>
      </w:r>
      <w:r>
        <w:rPr>
          <w:rStyle w:val="27"/>
          <w:rFonts w:hint="eastAsia" w:ascii="宋体" w:hAnsi="宋体" w:cs="宋体"/>
          <w:sz w:val="24"/>
          <w:u w:val="single" w:color="000000"/>
        </w:rPr>
        <w:t xml:space="preserve">                  </w:t>
      </w:r>
      <w:r>
        <w:rPr>
          <w:rStyle w:val="27"/>
          <w:rFonts w:hint="eastAsia" w:ascii="宋体" w:hAnsi="宋体" w:cs="宋体"/>
          <w:sz w:val="24"/>
        </w:rPr>
        <w:t>（全称并加盖公章）</w:t>
      </w:r>
    </w:p>
    <w:p w14:paraId="6BCCD09C">
      <w:pPr>
        <w:pStyle w:val="30"/>
        <w:spacing w:line="480" w:lineRule="auto"/>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6A119198">
      <w:pPr>
        <w:pStyle w:val="2"/>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684D604E">
      <w:pPr>
        <w:rPr>
          <w:rFonts w:ascii="宋体" w:hAnsi="宋体" w:cs="宋体"/>
          <w:sz w:val="24"/>
          <w:u w:val="single"/>
        </w:rPr>
      </w:pPr>
    </w:p>
    <w:p w14:paraId="20969D63">
      <w:pPr>
        <w:rPr>
          <w:rFonts w:ascii="宋体" w:hAnsi="宋体" w:cs="宋体"/>
          <w:sz w:val="24"/>
          <w:u w:val="single"/>
        </w:rPr>
      </w:pPr>
    </w:p>
    <w:bookmarkEnd w:id="229"/>
    <w:p w14:paraId="097804D0">
      <w:pPr>
        <w:widowControl/>
        <w:snapToGrid w:val="0"/>
        <w:spacing w:line="360" w:lineRule="auto"/>
        <w:textAlignment w:val="baseline"/>
        <w:rPr>
          <w:rStyle w:val="27"/>
          <w:rFonts w:ascii="宋体" w:hAnsi="宋体" w:cs="宋体"/>
          <w:b/>
          <w:sz w:val="32"/>
          <w:szCs w:val="32"/>
        </w:rPr>
      </w:pPr>
      <w:bookmarkStart w:id="230" w:name="_Toc9584"/>
      <w:r>
        <w:rPr>
          <w:rFonts w:hint="eastAsia" w:ascii="宋体" w:hAnsi="宋体" w:cs="宋体"/>
          <w:sz w:val="24"/>
        </w:rPr>
        <w:t>（1</w:t>
      </w:r>
      <w:r>
        <w:rPr>
          <w:rFonts w:hint="eastAsia" w:ascii="宋体" w:hAnsi="宋体" w:cs="宋体"/>
          <w:sz w:val="24"/>
          <w:lang w:val="en-US" w:eastAsia="zh-CN"/>
        </w:rPr>
        <w:t>2</w:t>
      </w:r>
      <w:r>
        <w:rPr>
          <w:rFonts w:hint="eastAsia" w:ascii="宋体" w:hAnsi="宋体" w:cs="宋体"/>
          <w:sz w:val="24"/>
        </w:rPr>
        <w:t>）</w:t>
      </w:r>
      <w:r>
        <w:rPr>
          <w:rFonts w:hint="eastAsia" w:ascii="宋体" w:hAnsi="宋体" w:eastAsia="宋体" w:cs="宋体"/>
          <w:i w:val="0"/>
          <w:iCs w:val="0"/>
          <w:caps w:val="0"/>
          <w:color w:val="auto"/>
          <w:spacing w:val="0"/>
          <w:sz w:val="24"/>
          <w:szCs w:val="24"/>
          <w:shd w:val="clear" w:fill="FFFFFF"/>
        </w:rPr>
        <w:t>本项目不接受联合体投标,供应商需保证资质文件的真实、合法、有效；</w:t>
      </w:r>
    </w:p>
    <w:p w14:paraId="0D944934">
      <w:pPr>
        <w:widowControl/>
        <w:snapToGrid w:val="0"/>
        <w:spacing w:line="360" w:lineRule="auto"/>
        <w:jc w:val="center"/>
        <w:textAlignment w:val="baseline"/>
        <w:rPr>
          <w:rStyle w:val="27"/>
          <w:rFonts w:ascii="宋体" w:hAnsi="宋体" w:cs="宋体"/>
          <w:b/>
          <w:sz w:val="32"/>
          <w:szCs w:val="32"/>
        </w:rPr>
      </w:pPr>
      <w:bookmarkStart w:id="231" w:name="_Toc18535"/>
      <w:bookmarkStart w:id="232" w:name="_Toc15132"/>
    </w:p>
    <w:p w14:paraId="5994717A">
      <w:pPr>
        <w:widowControl/>
        <w:snapToGrid w:val="0"/>
        <w:spacing w:line="360" w:lineRule="auto"/>
        <w:jc w:val="center"/>
        <w:textAlignment w:val="baseline"/>
        <w:outlineLvl w:val="0"/>
        <w:rPr>
          <w:rStyle w:val="27"/>
          <w:rFonts w:ascii="宋体" w:hAnsi="宋体" w:cs="宋体"/>
          <w:b/>
          <w:sz w:val="32"/>
          <w:szCs w:val="32"/>
        </w:rPr>
      </w:pPr>
      <w:bookmarkStart w:id="233" w:name="_Toc10941"/>
      <w:r>
        <w:rPr>
          <w:rStyle w:val="27"/>
          <w:rFonts w:hint="eastAsia" w:ascii="宋体" w:hAnsi="宋体" w:cs="宋体"/>
          <w:b/>
          <w:sz w:val="32"/>
          <w:szCs w:val="32"/>
        </w:rPr>
        <w:t>非联合体声明</w:t>
      </w:r>
      <w:bookmarkEnd w:id="230"/>
      <w:bookmarkEnd w:id="231"/>
      <w:bookmarkEnd w:id="232"/>
      <w:bookmarkEnd w:id="233"/>
    </w:p>
    <w:p w14:paraId="0E1438EA">
      <w:pPr>
        <w:spacing w:line="640" w:lineRule="exact"/>
        <w:jc w:val="left"/>
        <w:rPr>
          <w:rFonts w:ascii="宋体" w:hAnsi="宋体" w:cs="宋体"/>
          <w:sz w:val="24"/>
          <w:szCs w:val="22"/>
          <w:u w:val="single"/>
        </w:rPr>
      </w:pPr>
      <w:r>
        <w:rPr>
          <w:rFonts w:hint="eastAsia" w:ascii="宋体" w:hAnsi="宋体" w:cs="宋体"/>
          <w:sz w:val="24"/>
          <w:szCs w:val="22"/>
          <w:u w:val="single"/>
        </w:rPr>
        <w:t>（采购人全称）：</w:t>
      </w:r>
    </w:p>
    <w:p w14:paraId="63AF64F7">
      <w:pPr>
        <w:spacing w:line="640" w:lineRule="exact"/>
        <w:jc w:val="left"/>
        <w:rPr>
          <w:rFonts w:ascii="宋体" w:hAnsi="宋体" w:cs="宋体"/>
          <w:sz w:val="24"/>
        </w:rPr>
      </w:pPr>
      <w:r>
        <w:rPr>
          <w:rFonts w:hint="eastAsia" w:ascii="宋体" w:hAnsi="宋体" w:cs="宋体"/>
          <w:sz w:val="24"/>
        </w:rPr>
        <w:t xml:space="preserve">    我方</w:t>
      </w:r>
      <w:r>
        <w:rPr>
          <w:rFonts w:hint="eastAsia" w:ascii="宋体" w:hAnsi="宋体" w:cs="宋体"/>
          <w:sz w:val="24"/>
          <w:u w:val="single"/>
        </w:rPr>
        <w:t xml:space="preserve">                </w:t>
      </w:r>
      <w:r>
        <w:rPr>
          <w:rFonts w:hint="eastAsia" w:ascii="宋体" w:hAnsi="宋体" w:cs="宋体"/>
          <w:sz w:val="24"/>
        </w:rPr>
        <w:t>（供应商名称）郑重声明在参加</w:t>
      </w:r>
      <w:r>
        <w:rPr>
          <w:rFonts w:hint="eastAsia" w:ascii="宋体" w:hAnsi="宋体" w:cs="宋体"/>
          <w:sz w:val="24"/>
          <w:u w:val="single"/>
        </w:rPr>
        <w:tab/>
      </w:r>
      <w:r>
        <w:rPr>
          <w:rFonts w:hint="eastAsia" w:ascii="宋体" w:hAnsi="宋体" w:cs="宋体"/>
          <w:sz w:val="24"/>
          <w:u w:val="single"/>
        </w:rPr>
        <w:t xml:space="preserve">  （采购项目名称） </w:t>
      </w:r>
      <w:r>
        <w:rPr>
          <w:rFonts w:hint="eastAsia" w:ascii="宋体" w:hAnsi="宋体" w:cs="宋体"/>
          <w:sz w:val="24"/>
        </w:rPr>
        <w:t>为非联合体投标。如有不实，我方将无条件地退出本项目的采购活动，并保证资质文件的真实、合法、有效</w:t>
      </w:r>
      <w:r>
        <w:rPr>
          <w:rFonts w:hint="eastAsia" w:ascii="宋体" w:hAnsi="宋体" w:cs="宋体"/>
          <w:sz w:val="24"/>
          <w:lang w:eastAsia="zh-CN"/>
        </w:rPr>
        <w:t>，</w:t>
      </w:r>
      <w:r>
        <w:rPr>
          <w:rFonts w:hint="eastAsia" w:ascii="宋体" w:hAnsi="宋体" w:cs="宋体"/>
          <w:sz w:val="24"/>
        </w:rPr>
        <w:t>如有不实，遵照《政府采购法》有关“提供虚假材料的规定”接受处罚。</w:t>
      </w:r>
      <w:r>
        <w:rPr>
          <w:rFonts w:hint="eastAsia" w:ascii="宋体" w:hAnsi="宋体" w:cs="宋体"/>
          <w:sz w:val="24"/>
        </w:rPr>
        <w:br w:type="textWrapping"/>
      </w:r>
      <w:r>
        <w:rPr>
          <w:rFonts w:hint="eastAsia" w:ascii="宋体" w:hAnsi="宋体" w:cs="宋体"/>
          <w:sz w:val="24"/>
        </w:rPr>
        <w:t xml:space="preserve">     特此声明。</w:t>
      </w:r>
    </w:p>
    <w:p w14:paraId="626AFCBF">
      <w:pPr>
        <w:autoSpaceDE w:val="0"/>
        <w:autoSpaceDN w:val="0"/>
        <w:adjustRightInd w:val="0"/>
        <w:spacing w:line="360" w:lineRule="auto"/>
        <w:ind w:firstLine="480" w:firstLineChars="200"/>
        <w:rPr>
          <w:rFonts w:ascii="宋体" w:hAnsi="宋体" w:cs="宋体"/>
          <w:sz w:val="24"/>
        </w:rPr>
      </w:pPr>
    </w:p>
    <w:p w14:paraId="0F4EB511">
      <w:pPr>
        <w:autoSpaceDE w:val="0"/>
        <w:autoSpaceDN w:val="0"/>
        <w:adjustRightInd w:val="0"/>
        <w:spacing w:line="360" w:lineRule="auto"/>
        <w:ind w:firstLine="480" w:firstLineChars="200"/>
        <w:rPr>
          <w:rFonts w:ascii="宋体" w:hAnsi="宋体" w:cs="宋体"/>
          <w:sz w:val="24"/>
        </w:rPr>
      </w:pPr>
    </w:p>
    <w:p w14:paraId="229EF4AE">
      <w:pPr>
        <w:autoSpaceDE w:val="0"/>
        <w:autoSpaceDN w:val="0"/>
        <w:adjustRightInd w:val="0"/>
        <w:spacing w:line="360" w:lineRule="auto"/>
        <w:ind w:firstLine="480" w:firstLineChars="200"/>
        <w:rPr>
          <w:rFonts w:ascii="宋体" w:hAnsi="宋体" w:cs="宋体"/>
          <w:sz w:val="24"/>
        </w:rPr>
      </w:pPr>
    </w:p>
    <w:p w14:paraId="6CBE16F0">
      <w:pPr>
        <w:spacing w:line="480" w:lineRule="auto"/>
        <w:ind w:firstLine="2880" w:firstLineChars="1200"/>
        <w:rPr>
          <w:rStyle w:val="27"/>
          <w:rFonts w:ascii="宋体" w:hAnsi="宋体" w:cs="宋体"/>
          <w:sz w:val="24"/>
        </w:rPr>
      </w:pPr>
      <w:r>
        <w:rPr>
          <w:rFonts w:hint="eastAsia" w:ascii="宋体" w:hAnsi="宋体" w:cs="宋体"/>
          <w:sz w:val="24"/>
        </w:rPr>
        <w:t>供应商</w:t>
      </w:r>
      <w:r>
        <w:rPr>
          <w:rStyle w:val="27"/>
          <w:rFonts w:hint="eastAsia" w:ascii="宋体" w:hAnsi="宋体" w:cs="宋体"/>
          <w:sz w:val="24"/>
        </w:rPr>
        <w:t>名称：</w:t>
      </w:r>
      <w:r>
        <w:rPr>
          <w:rStyle w:val="27"/>
          <w:rFonts w:hint="eastAsia" w:ascii="宋体" w:hAnsi="宋体" w:cs="宋体"/>
          <w:sz w:val="24"/>
          <w:u w:val="single" w:color="000000"/>
        </w:rPr>
        <w:t xml:space="preserve">                  </w:t>
      </w:r>
      <w:r>
        <w:rPr>
          <w:rStyle w:val="27"/>
          <w:rFonts w:hint="eastAsia" w:ascii="宋体" w:hAnsi="宋体" w:cs="宋体"/>
          <w:sz w:val="24"/>
        </w:rPr>
        <w:t>（全称并加盖公章）</w:t>
      </w:r>
    </w:p>
    <w:p w14:paraId="718502FD">
      <w:pPr>
        <w:pStyle w:val="30"/>
        <w:spacing w:line="400" w:lineRule="exact"/>
        <w:ind w:firstLine="2880" w:firstLineChars="1200"/>
        <w:rPr>
          <w:rFonts w:hAnsi="宋体" w:cs="宋体"/>
          <w:sz w:val="24"/>
          <w:szCs w:val="24"/>
        </w:rPr>
      </w:pPr>
      <w:r>
        <w:rPr>
          <w:rFonts w:hint="eastAsia" w:hAnsi="宋体" w:cs="宋体"/>
          <w:sz w:val="24"/>
          <w:szCs w:val="24"/>
        </w:rPr>
        <w:t>法定代表人或其委托代理人：</w:t>
      </w:r>
      <w:r>
        <w:rPr>
          <w:rFonts w:hint="eastAsia" w:hAnsi="宋体" w:cs="宋体"/>
          <w:sz w:val="24"/>
          <w:szCs w:val="24"/>
          <w:u w:val="single"/>
        </w:rPr>
        <w:t xml:space="preserve">            </w:t>
      </w:r>
      <w:r>
        <w:rPr>
          <w:rFonts w:hint="eastAsia" w:hAnsi="宋体" w:cs="宋体"/>
          <w:sz w:val="24"/>
          <w:szCs w:val="24"/>
        </w:rPr>
        <w:t>（签字或盖章）</w:t>
      </w:r>
    </w:p>
    <w:p w14:paraId="44FBD832">
      <w:pPr>
        <w:pStyle w:val="30"/>
        <w:spacing w:line="400" w:lineRule="exact"/>
        <w:ind w:firstLine="2880" w:firstLineChars="1200"/>
        <w:rPr>
          <w:rFonts w:hAnsi="宋体" w:cs="宋体"/>
          <w:sz w:val="24"/>
          <w:szCs w:val="24"/>
        </w:rPr>
      </w:pPr>
    </w:p>
    <w:p w14:paraId="634AD55E">
      <w:pPr>
        <w:pStyle w:val="2"/>
        <w:spacing w:line="480" w:lineRule="auto"/>
        <w:ind w:firstLine="2880" w:firstLineChars="1200"/>
        <w:rPr>
          <w:rFonts w:ascii="宋体" w:hAnsi="宋体" w:cs="宋体"/>
          <w:sz w:val="24"/>
          <w:u w:val="single"/>
        </w:rPr>
      </w:pPr>
      <w:r>
        <w:rPr>
          <w:rFonts w:hint="eastAsia" w:ascii="宋体" w:hAnsi="宋体" w:cs="宋体"/>
          <w:sz w:val="24"/>
        </w:rPr>
        <w:t>日    期：</w:t>
      </w:r>
      <w:r>
        <w:rPr>
          <w:rFonts w:hint="eastAsia" w:ascii="宋体" w:hAnsi="宋体" w:cs="宋体"/>
          <w:sz w:val="24"/>
          <w:u w:val="single"/>
        </w:rPr>
        <w:t xml:space="preserve">                                </w:t>
      </w:r>
    </w:p>
    <w:p w14:paraId="50447C1B">
      <w:pPr>
        <w:pStyle w:val="2"/>
        <w:spacing w:line="480" w:lineRule="auto"/>
        <w:ind w:firstLine="2880" w:firstLineChars="1200"/>
        <w:rPr>
          <w:rFonts w:ascii="宋体" w:hAnsi="宋体" w:cs="宋体"/>
          <w:sz w:val="24"/>
          <w:u w:val="single"/>
        </w:rPr>
      </w:pPr>
    </w:p>
    <w:p w14:paraId="7BE57E71">
      <w:pPr>
        <w:pStyle w:val="2"/>
        <w:spacing w:line="480" w:lineRule="auto"/>
        <w:ind w:firstLine="2880" w:firstLineChars="1200"/>
        <w:rPr>
          <w:rFonts w:ascii="宋体" w:hAnsi="宋体" w:cs="宋体"/>
          <w:sz w:val="24"/>
          <w:u w:val="single"/>
        </w:rPr>
      </w:pPr>
    </w:p>
    <w:p w14:paraId="386AFD37">
      <w:pPr>
        <w:pStyle w:val="2"/>
        <w:spacing w:line="480" w:lineRule="auto"/>
        <w:ind w:firstLine="2880" w:firstLineChars="1200"/>
        <w:rPr>
          <w:rFonts w:ascii="宋体" w:hAnsi="宋体" w:cs="宋体"/>
          <w:sz w:val="24"/>
          <w:u w:val="single"/>
        </w:rPr>
      </w:pPr>
    </w:p>
    <w:p w14:paraId="5E27DEB3">
      <w:pPr>
        <w:pStyle w:val="2"/>
        <w:spacing w:line="480" w:lineRule="auto"/>
        <w:ind w:firstLine="2880" w:firstLineChars="1200"/>
        <w:rPr>
          <w:rFonts w:ascii="宋体" w:hAnsi="宋体" w:cs="宋体"/>
          <w:sz w:val="24"/>
          <w:u w:val="single"/>
        </w:rPr>
      </w:pPr>
    </w:p>
    <w:p w14:paraId="4527CEEA">
      <w:pPr>
        <w:pStyle w:val="2"/>
        <w:spacing w:line="480" w:lineRule="auto"/>
        <w:ind w:firstLine="2880" w:firstLineChars="1200"/>
        <w:rPr>
          <w:rFonts w:ascii="宋体" w:hAnsi="宋体" w:cs="宋体"/>
          <w:sz w:val="24"/>
          <w:u w:val="single"/>
        </w:rPr>
      </w:pPr>
    </w:p>
    <w:p w14:paraId="5C7A2764">
      <w:pPr>
        <w:pStyle w:val="2"/>
        <w:spacing w:line="480" w:lineRule="auto"/>
        <w:ind w:firstLine="2880" w:firstLineChars="1200"/>
        <w:rPr>
          <w:rFonts w:ascii="宋体" w:hAnsi="宋体" w:cs="宋体"/>
          <w:sz w:val="24"/>
          <w:u w:val="single"/>
        </w:rPr>
      </w:pPr>
    </w:p>
    <w:p w14:paraId="492C80EC">
      <w:pPr>
        <w:pStyle w:val="2"/>
        <w:spacing w:line="480" w:lineRule="auto"/>
        <w:ind w:firstLine="2880" w:firstLineChars="1200"/>
        <w:rPr>
          <w:rFonts w:ascii="宋体" w:hAnsi="宋体" w:cs="宋体"/>
          <w:sz w:val="24"/>
          <w:u w:val="single"/>
        </w:rPr>
      </w:pPr>
    </w:p>
    <w:p w14:paraId="193147D5">
      <w:pPr>
        <w:spacing w:line="520" w:lineRule="exact"/>
        <w:rPr>
          <w:rFonts w:ascii="宋体" w:hAnsi="宋体" w:cs="宋体"/>
          <w:sz w:val="24"/>
        </w:rPr>
      </w:pPr>
      <w:r>
        <w:rPr>
          <w:rFonts w:hint="eastAsia" w:ascii="宋体" w:hAnsi="宋体" w:cs="宋体"/>
          <w:sz w:val="24"/>
        </w:rPr>
        <w:t>（</w:t>
      </w:r>
      <w:r>
        <w:rPr>
          <w:rFonts w:hint="eastAsia" w:ascii="宋体" w:hAnsi="宋体" w:cs="宋体"/>
          <w:sz w:val="24"/>
          <w:lang w:val="en-US" w:eastAsia="zh-CN"/>
        </w:rPr>
        <w:t>13</w:t>
      </w:r>
      <w:r>
        <w:rPr>
          <w:rFonts w:hint="eastAsia" w:ascii="宋体" w:hAnsi="宋体" w:cs="宋体"/>
          <w:sz w:val="24"/>
        </w:rPr>
        <w:t>）</w:t>
      </w:r>
      <w:r>
        <w:rPr>
          <w:rFonts w:hint="eastAsia" w:ascii="宋体" w:hAnsi="宋体" w:eastAsia="宋体" w:cs="宋体"/>
          <w:i w:val="0"/>
          <w:iCs w:val="0"/>
          <w:caps w:val="0"/>
          <w:color w:val="auto"/>
          <w:spacing w:val="0"/>
          <w:sz w:val="24"/>
          <w:szCs w:val="24"/>
          <w:shd w:val="clear" w:fill="FFFFFF"/>
        </w:rPr>
        <w:t>本项目专门面向中小企业采购，须符合《政府采购促进中小企业发展管理办法》（财库〔2020〕46号）规定的中小企业参加。</w:t>
      </w:r>
    </w:p>
    <w:p w14:paraId="061396DB">
      <w:pPr>
        <w:pStyle w:val="20"/>
        <w:widowControl/>
        <w:wordWrap w:val="0"/>
        <w:spacing w:beforeAutospacing="0" w:afterAutospacing="0" w:line="480" w:lineRule="atLeast"/>
        <w:jc w:val="both"/>
        <w:rPr>
          <w:rFonts w:ascii="宋体" w:hAnsi="宋体" w:cs="宋体"/>
          <w:b/>
          <w:bCs/>
        </w:rPr>
      </w:pPr>
    </w:p>
    <w:p w14:paraId="60147E7D">
      <w:pPr>
        <w:spacing w:line="360" w:lineRule="auto"/>
        <w:jc w:val="center"/>
        <w:rPr>
          <w:rFonts w:ascii="宋体" w:hAnsi="宋体"/>
          <w:b/>
          <w:spacing w:val="6"/>
          <w:sz w:val="24"/>
        </w:rPr>
      </w:pPr>
      <w:r>
        <w:rPr>
          <w:rFonts w:hint="eastAsia" w:ascii="宋体" w:hAnsi="宋体"/>
          <w:b/>
          <w:spacing w:val="6"/>
          <w:sz w:val="24"/>
        </w:rPr>
        <w:t>中小企业声明函（工程、服务）</w:t>
      </w:r>
    </w:p>
    <w:p w14:paraId="20639977">
      <w:pPr>
        <w:spacing w:line="500" w:lineRule="exact"/>
        <w:ind w:firstLine="480" w:firstLineChars="200"/>
        <w:jc w:val="left"/>
        <w:rPr>
          <w:rFonts w:ascii="宋体" w:hAnsi="宋体" w:cs="宋体"/>
          <w:sz w:val="24"/>
        </w:rPr>
      </w:pPr>
      <w:r>
        <w:rPr>
          <w:rFonts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w:t>
      </w:r>
      <w:r>
        <w:rPr>
          <w:rFonts w:ascii="宋体" w:hAnsi="宋体" w:cs="宋体"/>
          <w:sz w:val="24"/>
        </w:rPr>
        <w:t>的</w:t>
      </w:r>
      <w:r>
        <w:rPr>
          <w:rFonts w:hint="eastAsia" w:ascii="宋体" w:hAnsi="宋体" w:cs="宋体"/>
          <w:sz w:val="24"/>
          <w:u w:val="single"/>
        </w:rPr>
        <w:t xml:space="preserve"> </w:t>
      </w:r>
      <w:r>
        <w:rPr>
          <w:rStyle w:val="27"/>
          <w:rFonts w:hint="eastAsia" w:ascii="宋体" w:hAnsi="宋体"/>
          <w:sz w:val="24"/>
          <w:u w:val="single" w:color="000000"/>
        </w:rPr>
        <w:t>（采购项目名称）</w:t>
      </w:r>
      <w:r>
        <w:rPr>
          <w:rFonts w:hint="eastAsia" w:ascii="宋体" w:hAnsi="宋体" w:cs="宋体"/>
          <w:sz w:val="24"/>
          <w:u w:val="single"/>
        </w:rPr>
        <w:t xml:space="preserve">  </w:t>
      </w:r>
      <w:r>
        <w:rPr>
          <w:rFonts w:ascii="宋体" w:hAnsi="宋体" w:cs="宋体"/>
          <w:sz w:val="24"/>
        </w:rPr>
        <w:t>采购活动，工程的施工单位全部为符合政策要求的中小企业（或者：服务 全部由符合政策要求的中小企业承接）。相关企业的具体情况如下：</w:t>
      </w:r>
    </w:p>
    <w:p w14:paraId="1DF1784F">
      <w:pPr>
        <w:spacing w:line="500" w:lineRule="exact"/>
        <w:ind w:firstLine="480" w:firstLineChars="200"/>
        <w:jc w:val="left"/>
        <w:rPr>
          <w:rFonts w:ascii="宋体" w:hAnsi="宋体" w:cs="宋体"/>
          <w:sz w:val="24"/>
        </w:rPr>
      </w:pPr>
      <w:r>
        <w:rPr>
          <w:rStyle w:val="27"/>
          <w:rFonts w:ascii="宋体" w:hAnsi="宋体"/>
          <w:sz w:val="24"/>
          <w:u w:val="single" w:color="000000"/>
        </w:rPr>
        <w:t>（</w:t>
      </w:r>
      <w:r>
        <w:rPr>
          <w:rStyle w:val="27"/>
          <w:rFonts w:hint="eastAsia" w:ascii="宋体" w:hAnsi="宋体"/>
          <w:sz w:val="24"/>
          <w:u w:val="single" w:color="000000"/>
        </w:rPr>
        <w:t>标的名称</w:t>
      </w:r>
      <w:r>
        <w:rPr>
          <w:rStyle w:val="27"/>
          <w:rFonts w:ascii="宋体" w:hAnsi="宋体"/>
          <w:sz w:val="24"/>
          <w:u w:val="single" w:color="000000"/>
        </w:rPr>
        <w:t>）</w:t>
      </w:r>
      <w:r>
        <w:rPr>
          <w:rFonts w:hint="eastAsia" w:ascii="宋体" w:hAnsi="宋体" w:cs="宋体"/>
          <w:sz w:val="24"/>
          <w:u w:val="single"/>
        </w:rPr>
        <w:t xml:space="preserve"> </w:t>
      </w:r>
      <w:r>
        <w:rPr>
          <w:rFonts w:ascii="宋体" w:hAnsi="宋体" w:cs="宋体"/>
          <w:sz w:val="24"/>
        </w:rPr>
        <w:t>，属于</w:t>
      </w:r>
      <w:r>
        <w:rPr>
          <w:rFonts w:hint="eastAsia" w:ascii="宋体" w:hAnsi="宋体" w:cs="宋体"/>
          <w:sz w:val="24"/>
          <w:u w:val="single"/>
        </w:rPr>
        <w:t xml:space="preserve">   </w:t>
      </w:r>
      <w:r>
        <w:rPr>
          <w:rFonts w:ascii="宋体" w:hAnsi="宋体" w:cs="宋体"/>
          <w:sz w:val="24"/>
          <w:u w:val="single"/>
        </w:rPr>
        <w:t>（</w:t>
      </w:r>
      <w:r>
        <w:rPr>
          <w:rFonts w:hint="eastAsia" w:ascii="宋体" w:hAnsi="宋体" w:cs="宋体"/>
          <w:sz w:val="24"/>
          <w:u w:val="single"/>
        </w:rPr>
        <w:t>磋商</w:t>
      </w:r>
      <w:r>
        <w:rPr>
          <w:rFonts w:ascii="宋体" w:hAnsi="宋体" w:cs="宋体"/>
          <w:sz w:val="24"/>
          <w:u w:val="single"/>
        </w:rPr>
        <w:t>文件中明确的所属行业）</w:t>
      </w:r>
      <w:r>
        <w:rPr>
          <w:rFonts w:ascii="宋体" w:hAnsi="宋体" w:cs="宋体"/>
          <w:sz w:val="24"/>
        </w:rPr>
        <w:t>； 承建（承接）企业为</w:t>
      </w:r>
      <w:r>
        <w:rPr>
          <w:rFonts w:ascii="宋体" w:hAnsi="宋体" w:cs="宋体"/>
          <w:sz w:val="24"/>
          <w:u w:val="single"/>
        </w:rPr>
        <w:t>（企业名称）</w:t>
      </w:r>
      <w:r>
        <w:rPr>
          <w:rFonts w:ascii="宋体" w:hAnsi="宋体" w:cs="宋体"/>
          <w:sz w:val="24"/>
        </w:rPr>
        <w:t>，从业人员</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万元，资产总额为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万元，属于</w:t>
      </w:r>
      <w:r>
        <w:rPr>
          <w:rFonts w:hint="eastAsia" w:ascii="宋体" w:hAnsi="宋体" w:cs="宋体"/>
          <w:sz w:val="24"/>
          <w:u w:val="single"/>
        </w:rPr>
        <w:t xml:space="preserve">              </w:t>
      </w:r>
      <w:r>
        <w:rPr>
          <w:rFonts w:ascii="宋体" w:hAnsi="宋体" w:cs="宋体"/>
          <w:sz w:val="24"/>
          <w:u w:val="single"/>
        </w:rPr>
        <w:t>（中型企业、 小型企业、微型企业）</w:t>
      </w:r>
      <w:r>
        <w:rPr>
          <w:rFonts w:ascii="宋体" w:hAnsi="宋体" w:cs="宋体"/>
          <w:sz w:val="24"/>
        </w:rPr>
        <w:t>；</w:t>
      </w:r>
    </w:p>
    <w:p w14:paraId="3C68A00A">
      <w:pPr>
        <w:spacing w:line="500" w:lineRule="exact"/>
        <w:ind w:firstLine="480" w:firstLineChars="200"/>
        <w:jc w:val="left"/>
        <w:rPr>
          <w:rFonts w:ascii="宋体" w:hAnsi="宋体" w:cs="宋体"/>
          <w:sz w:val="24"/>
        </w:rPr>
      </w:pPr>
      <w:r>
        <w:rPr>
          <w:rFonts w:hint="eastAsia" w:ascii="宋体" w:hAnsi="宋体" w:cs="宋体"/>
          <w:sz w:val="24"/>
        </w:rPr>
        <w:t>……</w:t>
      </w:r>
    </w:p>
    <w:p w14:paraId="18EC2010">
      <w:pPr>
        <w:spacing w:line="500" w:lineRule="exact"/>
        <w:ind w:firstLine="240" w:firstLineChars="100"/>
        <w:jc w:val="left"/>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p>
    <w:p w14:paraId="07A23BCB">
      <w:pPr>
        <w:spacing w:line="500" w:lineRule="exact"/>
        <w:ind w:firstLine="240" w:firstLineChars="100"/>
        <w:jc w:val="left"/>
        <w:rPr>
          <w:rFonts w:ascii="宋体" w:hAnsi="宋体"/>
          <w:spacing w:val="6"/>
          <w:sz w:val="24"/>
        </w:rPr>
      </w:pPr>
      <w:r>
        <w:rPr>
          <w:rFonts w:ascii="宋体" w:hAnsi="宋体" w:cs="宋体"/>
          <w:sz w:val="24"/>
        </w:rPr>
        <w:t>本企业对上述声明内容的真实性负责。如有虚假，将依法承担相应责任。</w:t>
      </w:r>
    </w:p>
    <w:p w14:paraId="7299E6B8">
      <w:pPr>
        <w:snapToGrid w:val="0"/>
        <w:spacing w:line="500" w:lineRule="exact"/>
        <w:ind w:firstLine="480" w:firstLineChars="200"/>
        <w:textAlignment w:val="baseline"/>
        <w:rPr>
          <w:rStyle w:val="27"/>
          <w:rFonts w:ascii="宋体" w:hAnsi="宋体" w:cs="宋体"/>
          <w:sz w:val="24"/>
        </w:rPr>
      </w:pPr>
      <w:r>
        <w:rPr>
          <w:rStyle w:val="27"/>
          <w:rFonts w:hint="eastAsia" w:ascii="宋体" w:hAnsi="宋体" w:cs="宋体"/>
          <w:sz w:val="24"/>
        </w:rPr>
        <w:t xml:space="preserve">                    供应商名称：</w:t>
      </w:r>
      <w:r>
        <w:rPr>
          <w:rStyle w:val="27"/>
          <w:rFonts w:hint="eastAsia" w:ascii="宋体" w:hAnsi="宋体" w:cs="宋体"/>
          <w:sz w:val="24"/>
          <w:u w:val="single" w:color="000000"/>
        </w:rPr>
        <w:t xml:space="preserve">               </w:t>
      </w:r>
      <w:r>
        <w:rPr>
          <w:rStyle w:val="27"/>
          <w:rFonts w:hint="eastAsia" w:ascii="宋体" w:hAnsi="宋体" w:cs="宋体"/>
          <w:sz w:val="24"/>
        </w:rPr>
        <w:t xml:space="preserve">（全称并加盖公章）          </w:t>
      </w:r>
    </w:p>
    <w:p w14:paraId="4A92A263">
      <w:pPr>
        <w:keepLines/>
        <w:snapToGrid w:val="0"/>
        <w:spacing w:before="162" w:after="330" w:line="500" w:lineRule="exact"/>
        <w:ind w:firstLine="2880" w:firstLineChars="1200"/>
        <w:textAlignment w:val="baseline"/>
        <w:rPr>
          <w:rStyle w:val="27"/>
          <w:rFonts w:ascii="宋体" w:hAnsi="宋体" w:cs="宋体"/>
          <w:sz w:val="24"/>
          <w:u w:val="single" w:color="000000"/>
        </w:rPr>
      </w:pPr>
      <w:r>
        <w:rPr>
          <w:rStyle w:val="27"/>
          <w:rFonts w:hint="eastAsia" w:ascii="宋体" w:hAnsi="宋体" w:cs="宋体"/>
          <w:sz w:val="24"/>
        </w:rPr>
        <w:t>日      期：</w:t>
      </w:r>
      <w:r>
        <w:rPr>
          <w:rStyle w:val="27"/>
          <w:rFonts w:hint="eastAsia" w:ascii="宋体" w:hAnsi="宋体" w:cs="宋体"/>
          <w:sz w:val="24"/>
          <w:u w:val="single" w:color="000000"/>
        </w:rPr>
        <w:t xml:space="preserve">               </w:t>
      </w:r>
    </w:p>
    <w:p w14:paraId="0178F7B2">
      <w:pPr>
        <w:snapToGrid w:val="0"/>
        <w:spacing w:line="360" w:lineRule="auto"/>
        <w:ind w:firstLine="420" w:firstLineChars="200"/>
        <w:textAlignment w:val="baseline"/>
        <w:rPr>
          <w:rStyle w:val="27"/>
          <w:rFonts w:ascii="宋体" w:hAnsi="宋体"/>
        </w:rPr>
      </w:pPr>
      <w:r>
        <w:rPr>
          <w:rStyle w:val="27"/>
          <w:rFonts w:ascii="宋体" w:hAnsi="宋体"/>
        </w:rPr>
        <w:t>备注：</w:t>
      </w:r>
    </w:p>
    <w:p w14:paraId="30A4CFF6">
      <w:pPr>
        <w:spacing w:before="65" w:line="369" w:lineRule="auto"/>
        <w:ind w:left="7" w:right="53" w:firstLine="431"/>
        <w:jc w:val="left"/>
        <w:rPr>
          <w:rFonts w:ascii="宋体" w:hAnsi="宋体" w:cs="宋体"/>
          <w:sz w:val="20"/>
          <w:szCs w:val="20"/>
        </w:rPr>
      </w:pPr>
      <w:r>
        <w:rPr>
          <w:rStyle w:val="27"/>
          <w:rFonts w:ascii="宋体" w:hAnsi="宋体"/>
        </w:rPr>
        <w:t>（1）</w:t>
      </w:r>
      <w:r>
        <w:rPr>
          <w:rStyle w:val="27"/>
          <w:rFonts w:hint="eastAsia" w:ascii="宋体" w:hAnsi="宋体"/>
        </w:rPr>
        <w:t>从业人员、营业收入、资产总额填报上一年度数据，无上一年度数据的新成立企业可不填报。</w:t>
      </w:r>
    </w:p>
    <w:p w14:paraId="1C657281">
      <w:pPr>
        <w:snapToGrid w:val="0"/>
        <w:spacing w:line="360" w:lineRule="auto"/>
        <w:ind w:firstLine="420" w:firstLineChars="200"/>
        <w:jc w:val="left"/>
        <w:textAlignment w:val="baseline"/>
        <w:rPr>
          <w:rStyle w:val="27"/>
          <w:rFonts w:ascii="宋体" w:hAnsi="宋体"/>
        </w:rPr>
      </w:pPr>
      <w:r>
        <w:rPr>
          <w:rStyle w:val="27"/>
          <w:rFonts w:ascii="宋体" w:hAnsi="宋体"/>
        </w:rPr>
        <w:t>（2）</w:t>
      </w:r>
      <w:r>
        <w:rPr>
          <w:rStyle w:val="27"/>
          <w:rFonts w:hint="eastAsia" w:ascii="宋体" w:hAnsi="宋体"/>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2AD48BC1">
      <w:pPr>
        <w:autoSpaceDE w:val="0"/>
        <w:autoSpaceDN w:val="0"/>
        <w:adjustRightInd w:val="0"/>
        <w:snapToGrid w:val="0"/>
        <w:spacing w:line="360" w:lineRule="auto"/>
        <w:ind w:firstLine="420" w:firstLineChars="200"/>
        <w:jc w:val="left"/>
        <w:outlineLvl w:val="0"/>
        <w:rPr>
          <w:rStyle w:val="27"/>
          <w:rFonts w:ascii="宋体" w:hAnsi="宋体"/>
        </w:rPr>
      </w:pPr>
      <w:bookmarkStart w:id="234" w:name="_Toc20257"/>
      <w:r>
        <w:rPr>
          <w:rStyle w:val="27"/>
          <w:rFonts w:ascii="宋体" w:hAnsi="宋体"/>
        </w:rPr>
        <w:t>（3）</w:t>
      </w:r>
      <w:r>
        <w:rPr>
          <w:rStyle w:val="27"/>
          <w:rFonts w:hint="eastAsia" w:ascii="宋体" w:hAnsi="宋体"/>
        </w:rPr>
        <w:t>本项目采购标的对应的中小企业划分标准所属行业为</w:t>
      </w:r>
      <w:r>
        <w:rPr>
          <w:rStyle w:val="27"/>
          <w:rFonts w:hint="eastAsia" w:ascii="宋体" w:hAnsi="宋体"/>
          <w:u w:val="single"/>
        </w:rPr>
        <w:t xml:space="preserve"> 其他未列明行业 </w:t>
      </w:r>
      <w:r>
        <w:rPr>
          <w:rStyle w:val="27"/>
          <w:rFonts w:hint="eastAsia" w:ascii="宋体" w:hAnsi="宋体"/>
          <w:color w:val="2E54A1" w:themeColor="accent1" w:themeShade="BF"/>
          <w:u w:val="single"/>
        </w:rPr>
        <w:t xml:space="preserve"> </w:t>
      </w:r>
      <w:r>
        <w:rPr>
          <w:rStyle w:val="27"/>
          <w:rFonts w:hint="eastAsia" w:ascii="宋体" w:hAnsi="宋体"/>
          <w:color w:val="2E54A1" w:themeColor="accent1" w:themeShade="BF"/>
        </w:rPr>
        <w:t>。</w:t>
      </w:r>
      <w:r>
        <w:rPr>
          <w:rStyle w:val="27"/>
          <w:rFonts w:hint="eastAsia" w:ascii="宋体" w:hAnsi="宋体"/>
        </w:rPr>
        <w:t>（所属行业类别供应商不得更改，否则，造成不利影响供应商自行承担）。</w:t>
      </w:r>
      <w:bookmarkEnd w:id="234"/>
    </w:p>
    <w:p w14:paraId="02E40227">
      <w:pPr>
        <w:rPr>
          <w:rStyle w:val="27"/>
          <w:rFonts w:ascii="宋体" w:hAnsi="宋体"/>
        </w:rPr>
      </w:pPr>
      <w:r>
        <w:rPr>
          <w:rStyle w:val="27"/>
          <w:rFonts w:hint="eastAsia" w:ascii="宋体" w:hAnsi="宋体"/>
        </w:rPr>
        <w:br w:type="page"/>
      </w:r>
    </w:p>
    <w:p w14:paraId="6106A074">
      <w:pPr>
        <w:autoSpaceDE w:val="0"/>
        <w:autoSpaceDN w:val="0"/>
        <w:adjustRightInd w:val="0"/>
        <w:snapToGrid w:val="0"/>
        <w:spacing w:line="360" w:lineRule="auto"/>
        <w:jc w:val="center"/>
        <w:outlineLvl w:val="0"/>
        <w:rPr>
          <w:rFonts w:ascii="宋体" w:hAnsi="宋体" w:cs="宋体"/>
          <w:b/>
          <w:bCs/>
          <w:sz w:val="32"/>
          <w:szCs w:val="32"/>
        </w:rPr>
      </w:pPr>
      <w:bookmarkStart w:id="235" w:name="_Toc12364"/>
      <w:r>
        <w:rPr>
          <w:rFonts w:hint="eastAsia" w:ascii="宋体" w:hAnsi="宋体" w:cs="宋体"/>
          <w:b/>
          <w:sz w:val="32"/>
          <w:szCs w:val="32"/>
        </w:rPr>
        <w:t>第</w:t>
      </w:r>
      <w:r>
        <w:rPr>
          <w:rFonts w:hint="eastAsia" w:ascii="宋体" w:hAnsi="宋体" w:cs="宋体"/>
          <w:b/>
          <w:sz w:val="32"/>
          <w:szCs w:val="32"/>
          <w:lang w:eastAsia="zh-CN"/>
        </w:rPr>
        <w:t>九</w:t>
      </w:r>
      <w:r>
        <w:rPr>
          <w:rFonts w:hint="eastAsia" w:ascii="宋体" w:hAnsi="宋体" w:cs="宋体"/>
          <w:b/>
          <w:sz w:val="32"/>
          <w:szCs w:val="32"/>
        </w:rPr>
        <w:t>部分</w:t>
      </w:r>
      <w:r>
        <w:rPr>
          <w:rFonts w:hint="eastAsia" w:ascii="宋体" w:hAnsi="宋体" w:cs="宋体"/>
          <w:b/>
          <w:bCs/>
          <w:sz w:val="32"/>
          <w:szCs w:val="32"/>
        </w:rPr>
        <w:t xml:space="preserve"> 供应商承诺</w:t>
      </w:r>
      <w:bookmarkEnd w:id="221"/>
      <w:r>
        <w:rPr>
          <w:rFonts w:hint="eastAsia" w:ascii="宋体" w:hAnsi="宋体" w:cs="宋体"/>
          <w:b/>
          <w:bCs/>
          <w:sz w:val="32"/>
          <w:szCs w:val="32"/>
        </w:rPr>
        <w:t>函</w:t>
      </w:r>
      <w:bookmarkEnd w:id="222"/>
      <w:bookmarkEnd w:id="223"/>
      <w:bookmarkEnd w:id="224"/>
      <w:bookmarkEnd w:id="225"/>
      <w:bookmarkEnd w:id="226"/>
      <w:bookmarkEnd w:id="227"/>
      <w:bookmarkEnd w:id="228"/>
      <w:bookmarkEnd w:id="235"/>
    </w:p>
    <w:p w14:paraId="78C3C057">
      <w:pPr>
        <w:pStyle w:val="15"/>
        <w:jc w:val="center"/>
        <w:outlineLvl w:val="0"/>
        <w:rPr>
          <w:rFonts w:hAnsi="宋体" w:cs="宋体"/>
        </w:rPr>
      </w:pPr>
      <w:bookmarkStart w:id="236" w:name="_Toc20630"/>
      <w:bookmarkStart w:id="237" w:name="_Toc12408_WPSOffice_Level1"/>
      <w:bookmarkStart w:id="238" w:name="_Toc25577"/>
      <w:bookmarkStart w:id="239" w:name="_Toc4783_WPSOffice_Level1"/>
      <w:bookmarkStart w:id="240" w:name="_Toc6454"/>
      <w:bookmarkStart w:id="241" w:name="_Toc28328_WPSOffice_Level1"/>
      <w:bookmarkStart w:id="242" w:name="_Toc12522"/>
      <w:bookmarkStart w:id="243" w:name="_Toc7025"/>
      <w:r>
        <w:rPr>
          <w:rFonts w:hint="eastAsia" w:hAnsi="宋体" w:cs="宋体"/>
          <w:b/>
          <w:sz w:val="32"/>
        </w:rPr>
        <w:t>陕西省政府采购供应商拒绝政府采购领域商业贿赂承诺书</w:t>
      </w:r>
      <w:r>
        <w:rPr>
          <w:rFonts w:hint="eastAsia" w:hAnsi="宋体" w:cs="宋体"/>
          <w:b/>
          <w:sz w:val="32"/>
          <w:szCs w:val="32"/>
        </w:rPr>
        <w:t>Ⅰ</w:t>
      </w:r>
      <w:bookmarkEnd w:id="236"/>
      <w:bookmarkEnd w:id="237"/>
      <w:bookmarkEnd w:id="238"/>
      <w:bookmarkEnd w:id="239"/>
      <w:bookmarkEnd w:id="240"/>
      <w:bookmarkEnd w:id="241"/>
      <w:bookmarkEnd w:id="242"/>
      <w:bookmarkEnd w:id="243"/>
    </w:p>
    <w:p w14:paraId="4019EE2F">
      <w:pPr>
        <w:spacing w:line="560" w:lineRule="exact"/>
        <w:ind w:firstLine="315" w:firstLineChars="150"/>
        <w:rPr>
          <w:rFonts w:ascii="宋体" w:hAnsi="宋体" w:cs="宋体"/>
          <w:szCs w:val="28"/>
        </w:rPr>
      </w:pPr>
      <w:r>
        <w:rPr>
          <w:rFonts w:hint="eastAsia" w:ascii="宋体" w:hAnsi="宋体" w:cs="宋体"/>
          <w:szCs w:val="28"/>
        </w:rPr>
        <w:t xml:space="preserve"> 为响应党中央、国务院关于治理政府采购领域商业贿赂行为的号召，我公司在此庄严承诺：</w:t>
      </w:r>
    </w:p>
    <w:p w14:paraId="0545DD61">
      <w:pPr>
        <w:spacing w:line="560" w:lineRule="exact"/>
        <w:ind w:firstLine="420" w:firstLineChars="200"/>
        <w:rPr>
          <w:rFonts w:ascii="宋体" w:hAnsi="宋体" w:cs="宋体"/>
          <w:szCs w:val="28"/>
        </w:rPr>
      </w:pPr>
      <w:r>
        <w:rPr>
          <w:rFonts w:hint="eastAsia" w:ascii="宋体" w:hAnsi="宋体" w:cs="宋体"/>
          <w:szCs w:val="28"/>
        </w:rPr>
        <w:t>1、在参与政府采购活动中遵纪守法、诚信经营、公平竞标。</w:t>
      </w:r>
    </w:p>
    <w:p w14:paraId="6A69F131">
      <w:pPr>
        <w:spacing w:line="560" w:lineRule="exact"/>
        <w:ind w:firstLine="420" w:firstLineChars="200"/>
        <w:rPr>
          <w:rFonts w:ascii="宋体" w:hAnsi="宋体" w:cs="宋体"/>
          <w:szCs w:val="28"/>
        </w:rPr>
      </w:pPr>
      <w:r>
        <w:rPr>
          <w:rFonts w:hint="eastAsia" w:ascii="宋体" w:hAnsi="宋体" w:cs="宋体"/>
          <w:szCs w:val="28"/>
        </w:rPr>
        <w:t>2、不向政府采购单位、磋商组织机构和政府采购评审专家进行任何形式的商业贿赂以谋取交易机会。</w:t>
      </w:r>
    </w:p>
    <w:p w14:paraId="50036704">
      <w:pPr>
        <w:spacing w:line="560" w:lineRule="exact"/>
        <w:ind w:firstLine="420" w:firstLineChars="200"/>
        <w:rPr>
          <w:rFonts w:ascii="宋体" w:hAnsi="宋体" w:cs="宋体"/>
          <w:szCs w:val="28"/>
        </w:rPr>
      </w:pPr>
      <w:r>
        <w:rPr>
          <w:rFonts w:hint="eastAsia" w:ascii="宋体" w:hAnsi="宋体" w:cs="宋体"/>
          <w:szCs w:val="28"/>
        </w:rPr>
        <w:t>3、不向政府磋商组织机构和采购单位提供虚假资质文件或采用虚假应标方式参与政府采购市场竞争并谋取成交。</w:t>
      </w:r>
    </w:p>
    <w:p w14:paraId="50C07ED6">
      <w:pPr>
        <w:spacing w:line="560" w:lineRule="exact"/>
        <w:ind w:firstLine="420" w:firstLineChars="200"/>
        <w:rPr>
          <w:rFonts w:ascii="宋体" w:hAnsi="宋体" w:cs="宋体"/>
          <w:szCs w:val="28"/>
        </w:rPr>
      </w:pPr>
      <w:r>
        <w:rPr>
          <w:rFonts w:hint="eastAsia" w:ascii="宋体" w:hAnsi="宋体" w:cs="宋体"/>
          <w:szCs w:val="28"/>
        </w:rPr>
        <w:t>4、不采取“围标、陪标”等商业欺诈手段获得政府采购订单。</w:t>
      </w:r>
    </w:p>
    <w:p w14:paraId="2A782918">
      <w:pPr>
        <w:spacing w:line="560" w:lineRule="exact"/>
        <w:ind w:firstLine="420" w:firstLineChars="200"/>
        <w:rPr>
          <w:rFonts w:ascii="宋体" w:hAnsi="宋体" w:cs="宋体"/>
          <w:szCs w:val="28"/>
        </w:rPr>
      </w:pPr>
      <w:r>
        <w:rPr>
          <w:rFonts w:hint="eastAsia" w:ascii="宋体" w:hAnsi="宋体" w:cs="宋体"/>
          <w:szCs w:val="28"/>
        </w:rPr>
        <w:t>5、不采取不正当手段诋毁、排挤其他供应商。</w:t>
      </w:r>
    </w:p>
    <w:p w14:paraId="27DA0F08">
      <w:pPr>
        <w:spacing w:line="560" w:lineRule="exact"/>
        <w:ind w:firstLine="420" w:firstLineChars="200"/>
        <w:rPr>
          <w:rFonts w:ascii="宋体" w:hAnsi="宋体" w:cs="宋体"/>
          <w:szCs w:val="28"/>
        </w:rPr>
      </w:pPr>
      <w:r>
        <w:rPr>
          <w:rFonts w:hint="eastAsia" w:ascii="宋体" w:hAnsi="宋体" w:cs="宋体"/>
          <w:szCs w:val="28"/>
        </w:rPr>
        <w:t>6、不在提供商品和服务时“偷梁换柱、以次充好”损害采购单位的合法权益。</w:t>
      </w:r>
    </w:p>
    <w:p w14:paraId="6B60208A">
      <w:pPr>
        <w:spacing w:line="560" w:lineRule="exact"/>
        <w:ind w:left="239" w:leftChars="114" w:firstLine="210" w:firstLineChars="100"/>
        <w:rPr>
          <w:rFonts w:ascii="宋体" w:hAnsi="宋体" w:cs="宋体"/>
          <w:szCs w:val="28"/>
        </w:rPr>
      </w:pPr>
      <w:r>
        <w:rPr>
          <w:rFonts w:hint="eastAsia" w:ascii="宋体" w:hAnsi="宋体" w:cs="宋体"/>
          <w:szCs w:val="28"/>
        </w:rPr>
        <w:t>7、不与采购单位、磋商组织机构政府采购评审专家或其它供应商恶意串通，进行质疑和投诉，维护政府采购市场秩序。</w:t>
      </w:r>
    </w:p>
    <w:p w14:paraId="272848C6">
      <w:pPr>
        <w:spacing w:line="560" w:lineRule="exact"/>
        <w:ind w:left="239" w:leftChars="114" w:firstLine="210" w:firstLineChars="100"/>
        <w:rPr>
          <w:rFonts w:ascii="宋体" w:hAnsi="宋体" w:cs="宋体"/>
          <w:szCs w:val="28"/>
        </w:rPr>
      </w:pPr>
      <w:r>
        <w:rPr>
          <w:rFonts w:hint="eastAsia" w:ascii="宋体" w:hAnsi="宋体" w:cs="宋体"/>
          <w:szCs w:val="28"/>
        </w:rPr>
        <w:t>8、尊重和接受政府采购监督管理部门的监督和政府磋商组织机构磋商采购要求，承担因违约行为给采购单位造成的损失。</w:t>
      </w:r>
    </w:p>
    <w:p w14:paraId="16525109">
      <w:pPr>
        <w:spacing w:line="560" w:lineRule="exact"/>
        <w:ind w:firstLine="420" w:firstLineChars="200"/>
        <w:rPr>
          <w:rFonts w:ascii="宋体" w:hAnsi="宋体" w:cs="宋体"/>
          <w:szCs w:val="28"/>
        </w:rPr>
      </w:pPr>
      <w:r>
        <w:rPr>
          <w:rFonts w:hint="eastAsia" w:ascii="宋体" w:hAnsi="宋体" w:cs="宋体"/>
          <w:szCs w:val="28"/>
        </w:rPr>
        <w:t>9、不发生其他有悖于政府采购公开、公平、公正和诚信原则的行为。</w:t>
      </w:r>
    </w:p>
    <w:p w14:paraId="43BA2FA9">
      <w:pPr>
        <w:spacing w:line="360" w:lineRule="auto"/>
        <w:ind w:firstLine="315" w:firstLineChars="150"/>
        <w:rPr>
          <w:rFonts w:ascii="宋体" w:hAnsi="宋体" w:cs="宋体"/>
          <w:szCs w:val="28"/>
        </w:rPr>
      </w:pPr>
    </w:p>
    <w:p w14:paraId="6E048628">
      <w:pPr>
        <w:spacing w:line="408" w:lineRule="auto"/>
        <w:ind w:firstLine="315" w:firstLineChars="150"/>
        <w:rPr>
          <w:rFonts w:ascii="宋体" w:hAnsi="宋体" w:cs="宋体"/>
          <w:szCs w:val="28"/>
        </w:rPr>
      </w:pPr>
      <w:r>
        <w:rPr>
          <w:rFonts w:hint="eastAsia" w:ascii="宋体" w:hAnsi="宋体" w:cs="宋体"/>
          <w:szCs w:val="28"/>
        </w:rPr>
        <w:t>承诺单位：</w:t>
      </w:r>
      <w:r>
        <w:rPr>
          <w:rFonts w:hint="eastAsia" w:ascii="宋体" w:hAnsi="宋体" w:cs="宋体"/>
          <w:szCs w:val="28"/>
          <w:u w:val="single"/>
        </w:rPr>
        <w:t xml:space="preserve">                     </w:t>
      </w:r>
      <w:r>
        <w:rPr>
          <w:rFonts w:hint="eastAsia" w:ascii="宋体" w:hAnsi="宋体" w:cs="宋体"/>
          <w:szCs w:val="28"/>
        </w:rPr>
        <w:t>（盖章）</w:t>
      </w:r>
    </w:p>
    <w:p w14:paraId="1EA61939">
      <w:pPr>
        <w:spacing w:line="408" w:lineRule="auto"/>
        <w:ind w:firstLine="315" w:firstLineChars="150"/>
        <w:rPr>
          <w:rFonts w:ascii="宋体" w:hAnsi="宋体" w:cs="宋体"/>
          <w:szCs w:val="28"/>
        </w:rPr>
      </w:pPr>
      <w:r>
        <w:rPr>
          <w:rFonts w:hint="eastAsia" w:ascii="宋体" w:hAnsi="宋体" w:cs="宋体"/>
          <w:szCs w:val="28"/>
        </w:rPr>
        <w:t>法定代表人或其委托代理人：</w:t>
      </w:r>
      <w:r>
        <w:rPr>
          <w:rFonts w:hint="eastAsia" w:ascii="宋体" w:hAnsi="宋体" w:cs="宋体"/>
          <w:szCs w:val="28"/>
          <w:u w:val="single"/>
        </w:rPr>
        <w:t xml:space="preserve">                </w:t>
      </w:r>
      <w:r>
        <w:rPr>
          <w:rFonts w:hint="eastAsia" w:ascii="宋体" w:hAnsi="宋体" w:cs="宋体"/>
          <w:szCs w:val="28"/>
        </w:rPr>
        <w:t>（签字或盖章）</w:t>
      </w:r>
    </w:p>
    <w:p w14:paraId="2E10FDC4">
      <w:pPr>
        <w:spacing w:line="408" w:lineRule="auto"/>
        <w:ind w:firstLine="315" w:firstLineChars="150"/>
        <w:rPr>
          <w:rFonts w:ascii="宋体" w:hAnsi="宋体" w:cs="宋体"/>
          <w:szCs w:val="28"/>
        </w:rPr>
      </w:pPr>
      <w:r>
        <w:rPr>
          <w:rFonts w:hint="eastAsia" w:ascii="宋体" w:hAnsi="宋体" w:cs="宋体"/>
          <w:szCs w:val="28"/>
        </w:rPr>
        <w:t xml:space="preserve">地址： </w:t>
      </w:r>
      <w:r>
        <w:rPr>
          <w:rFonts w:hint="eastAsia" w:ascii="宋体" w:hAnsi="宋体" w:cs="宋体"/>
          <w:szCs w:val="28"/>
          <w:u w:val="single"/>
        </w:rPr>
        <w:t xml:space="preserve">                             </w:t>
      </w:r>
      <w:r>
        <w:rPr>
          <w:rFonts w:hint="eastAsia" w:ascii="宋体" w:hAnsi="宋体" w:cs="宋体"/>
          <w:szCs w:val="28"/>
        </w:rPr>
        <w:t xml:space="preserve">  </w:t>
      </w:r>
    </w:p>
    <w:p w14:paraId="70D9E46B">
      <w:pPr>
        <w:spacing w:line="408" w:lineRule="auto"/>
        <w:ind w:firstLine="315" w:firstLineChars="150"/>
        <w:rPr>
          <w:rFonts w:ascii="宋体" w:hAnsi="宋体" w:cs="宋体"/>
          <w:szCs w:val="28"/>
          <w:u w:val="single"/>
        </w:rPr>
      </w:pPr>
      <w:r>
        <w:rPr>
          <w:rFonts w:hint="eastAsia" w:ascii="宋体" w:hAnsi="宋体" w:cs="宋体"/>
          <w:szCs w:val="28"/>
        </w:rPr>
        <w:t>邮编：</w:t>
      </w:r>
      <w:r>
        <w:rPr>
          <w:rFonts w:hint="eastAsia" w:ascii="宋体" w:hAnsi="宋体" w:cs="宋体"/>
          <w:szCs w:val="28"/>
          <w:u w:val="single"/>
        </w:rPr>
        <w:t xml:space="preserve">                     </w:t>
      </w:r>
    </w:p>
    <w:p w14:paraId="111F3C0E">
      <w:pPr>
        <w:spacing w:line="408" w:lineRule="auto"/>
        <w:ind w:firstLine="315" w:firstLineChars="150"/>
        <w:rPr>
          <w:rFonts w:ascii="宋体" w:hAnsi="宋体" w:cs="宋体"/>
          <w:szCs w:val="28"/>
          <w:u w:val="single"/>
        </w:rPr>
      </w:pPr>
      <w:r>
        <w:rPr>
          <w:rFonts w:hint="eastAsia" w:ascii="宋体" w:hAnsi="宋体" w:cs="宋体"/>
          <w:szCs w:val="28"/>
        </w:rPr>
        <w:t>电话：</w:t>
      </w:r>
      <w:r>
        <w:rPr>
          <w:rFonts w:hint="eastAsia" w:ascii="宋体" w:hAnsi="宋体" w:cs="宋体"/>
          <w:szCs w:val="28"/>
          <w:u w:val="single"/>
        </w:rPr>
        <w:t xml:space="preserve">               </w:t>
      </w:r>
    </w:p>
    <w:p w14:paraId="58216EF4">
      <w:pPr>
        <w:spacing w:line="408" w:lineRule="auto"/>
        <w:ind w:firstLine="315" w:firstLineChars="150"/>
        <w:rPr>
          <w:rFonts w:ascii="宋体" w:hAnsi="宋体" w:cs="宋体"/>
          <w:szCs w:val="28"/>
        </w:rPr>
      </w:pPr>
      <w:r>
        <w:rPr>
          <w:rFonts w:hint="eastAsia" w:ascii="宋体" w:hAnsi="宋体" w:cs="宋体"/>
          <w:szCs w:val="28"/>
          <w:u w:val="single"/>
        </w:rPr>
        <w:t xml:space="preserve">           </w:t>
      </w:r>
      <w:r>
        <w:rPr>
          <w:rFonts w:hint="eastAsia" w:ascii="宋体" w:hAnsi="宋体" w:cs="宋体"/>
          <w:szCs w:val="28"/>
        </w:rPr>
        <w:t>年</w:t>
      </w:r>
      <w:r>
        <w:rPr>
          <w:rFonts w:hint="eastAsia" w:ascii="宋体" w:hAnsi="宋体" w:cs="宋体"/>
          <w:szCs w:val="28"/>
          <w:u w:val="single"/>
        </w:rPr>
        <w:t xml:space="preserve">       </w:t>
      </w:r>
      <w:r>
        <w:rPr>
          <w:rFonts w:hint="eastAsia" w:ascii="宋体" w:hAnsi="宋体" w:cs="宋体"/>
          <w:szCs w:val="28"/>
        </w:rPr>
        <w:t>月</w:t>
      </w:r>
      <w:r>
        <w:rPr>
          <w:rFonts w:hint="eastAsia" w:ascii="宋体" w:hAnsi="宋体" w:cs="宋体"/>
          <w:szCs w:val="28"/>
          <w:u w:val="single"/>
        </w:rPr>
        <w:t xml:space="preserve">       </w:t>
      </w:r>
      <w:r>
        <w:rPr>
          <w:rFonts w:hint="eastAsia" w:ascii="宋体" w:hAnsi="宋体" w:cs="宋体"/>
          <w:szCs w:val="28"/>
        </w:rPr>
        <w:t>日</w:t>
      </w:r>
    </w:p>
    <w:p w14:paraId="72AF5620">
      <w:pPr>
        <w:pStyle w:val="9"/>
        <w:rPr>
          <w:rFonts w:ascii="宋体" w:hAnsi="宋体" w:cs="宋体"/>
        </w:rPr>
        <w:sectPr>
          <w:pgSz w:w="11906" w:h="16838"/>
          <w:pgMar w:top="1304" w:right="1361" w:bottom="1304" w:left="1361" w:header="510" w:footer="510" w:gutter="0"/>
          <w:pgNumType w:fmt="decimal"/>
          <w:cols w:space="720" w:num="1"/>
          <w:docGrid w:type="lines" w:linePitch="326" w:charSpace="0"/>
        </w:sectPr>
      </w:pPr>
    </w:p>
    <w:bookmarkEnd w:id="212"/>
    <w:bookmarkEnd w:id="213"/>
    <w:bookmarkEnd w:id="214"/>
    <w:bookmarkEnd w:id="215"/>
    <w:p w14:paraId="7248A835">
      <w:pPr>
        <w:spacing w:line="360" w:lineRule="atLeast"/>
        <w:jc w:val="center"/>
        <w:outlineLvl w:val="0"/>
        <w:rPr>
          <w:rFonts w:ascii="宋体" w:hAnsi="宋体" w:cs="宋体"/>
          <w:b/>
          <w:sz w:val="32"/>
          <w:szCs w:val="32"/>
        </w:rPr>
      </w:pPr>
      <w:bookmarkStart w:id="244" w:name="_Toc4840"/>
      <w:bookmarkStart w:id="245" w:name="_Toc25584"/>
      <w:bookmarkStart w:id="246" w:name="_Toc12223"/>
      <w:bookmarkStart w:id="247" w:name="_Toc22921_WPSOffice_Level1"/>
      <w:bookmarkStart w:id="248" w:name="_Toc2026_WPSOffice_Level1"/>
      <w:bookmarkStart w:id="249" w:name="_Toc25051_WPSOffice_Level1"/>
      <w:r>
        <w:rPr>
          <w:rFonts w:hint="eastAsia" w:ascii="宋体" w:hAnsi="宋体" w:cs="宋体"/>
          <w:b/>
          <w:sz w:val="32"/>
          <w:szCs w:val="32"/>
        </w:rPr>
        <w:t>第</w:t>
      </w:r>
      <w:r>
        <w:rPr>
          <w:rFonts w:hint="eastAsia" w:ascii="宋体" w:hAnsi="宋体" w:cs="宋体"/>
          <w:b/>
          <w:sz w:val="32"/>
          <w:szCs w:val="32"/>
          <w:lang w:eastAsia="zh-CN"/>
        </w:rPr>
        <w:t>十</w:t>
      </w:r>
      <w:r>
        <w:rPr>
          <w:rFonts w:hint="eastAsia" w:ascii="宋体" w:hAnsi="宋体" w:cs="宋体"/>
          <w:b/>
          <w:sz w:val="32"/>
          <w:szCs w:val="32"/>
        </w:rPr>
        <w:t>部分 供应商认为有必要补充说明的事项</w:t>
      </w:r>
      <w:bookmarkEnd w:id="244"/>
      <w:bookmarkEnd w:id="245"/>
      <w:bookmarkEnd w:id="246"/>
    </w:p>
    <w:p w14:paraId="6DEAA700">
      <w:pPr>
        <w:spacing w:line="360" w:lineRule="atLeast"/>
        <w:ind w:firstLine="281" w:firstLineChars="100"/>
        <w:jc w:val="left"/>
        <w:rPr>
          <w:rFonts w:ascii="宋体" w:hAnsi="宋体" w:cs="宋体"/>
          <w:b/>
          <w:sz w:val="28"/>
          <w:szCs w:val="28"/>
        </w:rPr>
      </w:pPr>
    </w:p>
    <w:p w14:paraId="1B213296">
      <w:pPr>
        <w:spacing w:line="360" w:lineRule="atLeast"/>
        <w:ind w:firstLine="281" w:firstLineChars="100"/>
        <w:jc w:val="center"/>
        <w:rPr>
          <w:rFonts w:ascii="宋体" w:hAnsi="宋体" w:cs="宋体"/>
          <w:b/>
          <w:sz w:val="28"/>
          <w:szCs w:val="28"/>
        </w:rPr>
      </w:pPr>
      <w:r>
        <w:rPr>
          <w:rFonts w:hint="eastAsia" w:ascii="宋体" w:hAnsi="宋体" w:cs="宋体"/>
          <w:b/>
          <w:sz w:val="28"/>
          <w:szCs w:val="28"/>
        </w:rPr>
        <w:t>依据竞争性磋商文件要求，供应商认为有必要补充说明的事项</w:t>
      </w:r>
    </w:p>
    <w:p w14:paraId="55569954">
      <w:pPr>
        <w:spacing w:line="360" w:lineRule="atLeast"/>
        <w:jc w:val="center"/>
        <w:rPr>
          <w:rFonts w:ascii="宋体" w:hAnsi="宋体" w:cs="宋体"/>
          <w:b/>
          <w:sz w:val="32"/>
          <w:szCs w:val="32"/>
        </w:rPr>
        <w:sectPr>
          <w:pgSz w:w="11906" w:h="16838"/>
          <w:pgMar w:top="1304" w:right="1361" w:bottom="1304" w:left="1361" w:header="510" w:footer="510" w:gutter="0"/>
          <w:pgNumType w:fmt="decimal"/>
          <w:cols w:space="720" w:num="1"/>
          <w:docGrid w:type="lines" w:linePitch="326" w:charSpace="0"/>
        </w:sectPr>
      </w:pPr>
    </w:p>
    <w:p w14:paraId="3192A6D1">
      <w:pPr>
        <w:spacing w:line="360" w:lineRule="atLeast"/>
        <w:jc w:val="center"/>
        <w:outlineLvl w:val="0"/>
        <w:rPr>
          <w:rFonts w:ascii="宋体" w:hAnsi="宋体" w:cs="宋体"/>
          <w:b/>
          <w:sz w:val="32"/>
          <w:szCs w:val="32"/>
        </w:rPr>
      </w:pPr>
      <w:bookmarkStart w:id="250" w:name="_Toc21055"/>
      <w:bookmarkStart w:id="251" w:name="_Toc13624"/>
      <w:bookmarkStart w:id="252" w:name="_Toc15218"/>
      <w:bookmarkStart w:id="253" w:name="_Toc1822"/>
      <w:bookmarkStart w:id="254" w:name="_Toc31234"/>
      <w:r>
        <w:rPr>
          <w:rFonts w:hint="eastAsia" w:ascii="宋体" w:hAnsi="宋体" w:cs="宋体"/>
          <w:b/>
          <w:sz w:val="32"/>
          <w:szCs w:val="32"/>
        </w:rPr>
        <w:t>第十</w:t>
      </w:r>
      <w:r>
        <w:rPr>
          <w:rFonts w:hint="eastAsia" w:ascii="宋体" w:hAnsi="宋体" w:cs="宋体"/>
          <w:b/>
          <w:sz w:val="32"/>
          <w:szCs w:val="32"/>
          <w:lang w:eastAsia="zh-CN"/>
        </w:rPr>
        <w:t>一</w:t>
      </w:r>
      <w:r>
        <w:rPr>
          <w:rFonts w:hint="eastAsia" w:ascii="宋体" w:hAnsi="宋体" w:cs="宋体"/>
          <w:b/>
          <w:sz w:val="32"/>
          <w:szCs w:val="32"/>
        </w:rPr>
        <w:t>部分 政府采购需落实的政策</w:t>
      </w:r>
      <w:bookmarkEnd w:id="250"/>
      <w:bookmarkEnd w:id="251"/>
      <w:bookmarkEnd w:id="252"/>
      <w:bookmarkEnd w:id="253"/>
    </w:p>
    <w:bookmarkEnd w:id="180"/>
    <w:bookmarkEnd w:id="189"/>
    <w:bookmarkEnd w:id="190"/>
    <w:bookmarkEnd w:id="191"/>
    <w:bookmarkEnd w:id="192"/>
    <w:bookmarkEnd w:id="247"/>
    <w:bookmarkEnd w:id="248"/>
    <w:bookmarkEnd w:id="249"/>
    <w:bookmarkEnd w:id="254"/>
    <w:p w14:paraId="604148C8">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本项目专门面向中小企业采购，须符合《政府采购促进中小企业发展管理办法》（财库〔2020〕46号）规定的中小企业参加。（提供《中小企业声明函》，式样见竞争性磋商响应文件格式）。供应商为监狱企业的，应提供《监狱、戒毒企业声明函》及证明文件；供应商为残疾人福利性单位的，应提供《残疾人福利性单位声明函》（监狱企业或残疾人福利性单位视同小型、微型企业）。</w:t>
      </w:r>
    </w:p>
    <w:p w14:paraId="1C33ABAB">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特别提醒：成交供应商的《中小企业声明函》、《残疾人福利性单位声明函》或《监狱、戒毒企业声明函》及证明文件将随成交结果公告一同公布，接受社会监督。</w:t>
      </w:r>
    </w:p>
    <w:p w14:paraId="19298B66">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(一) 关于中小企业判定</w:t>
      </w:r>
    </w:p>
    <w:p w14:paraId="439E74A4">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本项目采购标的对应的中小企业划分标准所属行业为</w:t>
      </w:r>
      <w:r>
        <w:rPr>
          <w:rFonts w:hint="eastAsia" w:ascii="宋体" w:hAnsi="宋体"/>
          <w:b/>
          <w:bCs/>
          <w:sz w:val="24"/>
          <w:u w:val="single"/>
          <w:lang w:val="zh-CN"/>
        </w:rPr>
        <w:t>其他未列明行业</w:t>
      </w:r>
      <w:r>
        <w:rPr>
          <w:rFonts w:hint="eastAsia" w:ascii="宋体" w:hAnsi="宋体"/>
          <w:b/>
          <w:bCs/>
          <w:sz w:val="24"/>
          <w:lang w:val="zh-CN"/>
        </w:rPr>
        <w:t>。</w:t>
      </w:r>
    </w:p>
    <w:p w14:paraId="567D9282">
      <w:pPr>
        <w:autoSpaceDE w:val="0"/>
        <w:autoSpaceDN w:val="0"/>
        <w:adjustRightInd w:val="0"/>
        <w:spacing w:line="560" w:lineRule="exact"/>
        <w:ind w:firstLine="482" w:firstLineChars="200"/>
        <w:rPr>
          <w:rFonts w:ascii="宋体" w:hAnsi="宋体"/>
          <w:b/>
          <w:bCs/>
          <w:sz w:val="24"/>
          <w:lang w:val="zh-CN"/>
        </w:rPr>
      </w:pPr>
      <w:r>
        <w:rPr>
          <w:rFonts w:hint="eastAsia" w:ascii="宋体" w:hAnsi="宋体"/>
          <w:b/>
          <w:bCs/>
          <w:sz w:val="24"/>
          <w:lang w:val="zh-CN"/>
        </w:rPr>
        <w:t>各供应商可根据企业从业人员、营业收入、资产总额等指标，按照磋商文件约定的采购标的对应的中小企业划分标准所属行业和《中小企业划型标准规定》(工信部联企业〔2011〕300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11845621">
      <w:pPr>
        <w:pStyle w:val="33"/>
        <w:widowControl/>
        <w:snapToGrid w:val="0"/>
        <w:rPr>
          <w:rStyle w:val="27"/>
          <w:rFonts w:ascii="宋体" w:hAnsi="宋体" w:cs="宋体"/>
          <w:sz w:val="44"/>
        </w:rPr>
      </w:pPr>
    </w:p>
    <w:p w14:paraId="2C98B7B6">
      <w:pPr>
        <w:keepLines/>
        <w:snapToGrid w:val="0"/>
        <w:spacing w:before="162" w:after="330" w:line="360" w:lineRule="auto"/>
        <w:ind w:firstLine="562" w:firstLineChars="200"/>
        <w:jc w:val="center"/>
        <w:textAlignment w:val="baseline"/>
        <w:rPr>
          <w:rStyle w:val="27"/>
          <w:rFonts w:ascii="宋体" w:hAnsi="宋体" w:cs="宋体"/>
          <w:b/>
          <w:kern w:val="44"/>
          <w:sz w:val="28"/>
          <w:szCs w:val="28"/>
        </w:rPr>
        <w:sectPr>
          <w:pgSz w:w="11906" w:h="16838"/>
          <w:pgMar w:top="1304" w:right="1361" w:bottom="1304" w:left="1361" w:header="851" w:footer="992" w:gutter="0"/>
          <w:pgNumType w:fmt="decimal"/>
          <w:cols w:space="425" w:num="1"/>
          <w:docGrid w:linePitch="312" w:charSpace="0"/>
        </w:sectPr>
      </w:pPr>
    </w:p>
    <w:p w14:paraId="3D687151">
      <w:pPr>
        <w:spacing w:line="360" w:lineRule="auto"/>
        <w:jc w:val="center"/>
        <w:rPr>
          <w:rFonts w:ascii="宋体" w:hAnsi="宋体"/>
          <w:b/>
          <w:spacing w:val="6"/>
          <w:sz w:val="24"/>
          <w:highlight w:val="none"/>
        </w:rPr>
      </w:pPr>
      <w:r>
        <w:rPr>
          <w:rFonts w:hint="eastAsia" w:ascii="宋体" w:hAnsi="宋体"/>
          <w:b/>
          <w:spacing w:val="6"/>
          <w:sz w:val="24"/>
          <w:highlight w:val="none"/>
        </w:rPr>
        <w:t>中小企业声明函（工程、服务）</w:t>
      </w:r>
    </w:p>
    <w:p w14:paraId="4518DD7D">
      <w:pPr>
        <w:spacing w:line="500" w:lineRule="exact"/>
        <w:ind w:firstLine="480" w:firstLineChars="200"/>
        <w:jc w:val="left"/>
        <w:rPr>
          <w:rFonts w:ascii="宋体" w:hAnsi="宋体" w:cs="宋体"/>
          <w:sz w:val="24"/>
        </w:rPr>
      </w:pPr>
      <w:r>
        <w:rPr>
          <w:rFonts w:ascii="宋体" w:hAnsi="宋体" w:cs="宋体"/>
          <w:sz w:val="24"/>
        </w:rPr>
        <w:t>本公司郑重声明，根据《政府采购促进中小企业发展管理办法》（财库﹝2020﹞46号）的规定，本公司参加</w:t>
      </w:r>
      <w:r>
        <w:rPr>
          <w:rFonts w:hint="eastAsia" w:ascii="宋体" w:hAnsi="宋体" w:cs="宋体"/>
          <w:sz w:val="24"/>
          <w:u w:val="single"/>
        </w:rPr>
        <w:t xml:space="preserve"> （单位名称）</w:t>
      </w:r>
      <w:r>
        <w:rPr>
          <w:rFonts w:hint="eastAsia" w:ascii="宋体" w:hAnsi="宋体" w:cs="宋体"/>
          <w:sz w:val="24"/>
        </w:rPr>
        <w:t>组织</w:t>
      </w:r>
      <w:r>
        <w:rPr>
          <w:rFonts w:ascii="宋体" w:hAnsi="宋体" w:cs="宋体"/>
          <w:sz w:val="24"/>
        </w:rPr>
        <w:t>的</w:t>
      </w:r>
      <w:r>
        <w:rPr>
          <w:rFonts w:hint="eastAsia" w:ascii="宋体" w:hAnsi="宋体" w:cs="宋体"/>
          <w:sz w:val="24"/>
          <w:u w:val="single"/>
        </w:rPr>
        <w:t xml:space="preserve"> </w:t>
      </w:r>
      <w:r>
        <w:rPr>
          <w:rStyle w:val="27"/>
          <w:rFonts w:hint="eastAsia" w:ascii="宋体" w:hAnsi="宋体"/>
          <w:sz w:val="24"/>
          <w:u w:val="single" w:color="000000"/>
        </w:rPr>
        <w:t>（采购项目名称）</w:t>
      </w:r>
      <w:r>
        <w:rPr>
          <w:rFonts w:hint="eastAsia" w:ascii="宋体" w:hAnsi="宋体" w:cs="宋体"/>
          <w:sz w:val="24"/>
          <w:u w:val="single"/>
        </w:rPr>
        <w:t xml:space="preserve">  </w:t>
      </w:r>
      <w:r>
        <w:rPr>
          <w:rFonts w:ascii="宋体" w:hAnsi="宋体" w:cs="宋体"/>
          <w:sz w:val="24"/>
        </w:rPr>
        <w:t>采购活动，工程的施工单位全部为符合政策要求的中小企业（或者：服务 全部由符合政策要求的中小企业承接）。相关企业的具体情况如下：</w:t>
      </w:r>
    </w:p>
    <w:p w14:paraId="1FC22596">
      <w:pPr>
        <w:spacing w:line="500" w:lineRule="exact"/>
        <w:ind w:firstLine="480" w:firstLineChars="200"/>
        <w:jc w:val="left"/>
        <w:rPr>
          <w:rFonts w:ascii="宋体" w:hAnsi="宋体" w:cs="宋体"/>
          <w:sz w:val="24"/>
        </w:rPr>
      </w:pPr>
      <w:r>
        <w:rPr>
          <w:rStyle w:val="27"/>
          <w:rFonts w:ascii="宋体" w:hAnsi="宋体"/>
          <w:sz w:val="24"/>
          <w:u w:val="single" w:color="000000"/>
        </w:rPr>
        <w:t>（</w:t>
      </w:r>
      <w:r>
        <w:rPr>
          <w:rStyle w:val="27"/>
          <w:rFonts w:hint="eastAsia" w:ascii="宋体" w:hAnsi="宋体"/>
          <w:sz w:val="24"/>
          <w:u w:val="single" w:color="000000"/>
        </w:rPr>
        <w:t>标的名称</w:t>
      </w:r>
      <w:r>
        <w:rPr>
          <w:rStyle w:val="27"/>
          <w:rFonts w:ascii="宋体" w:hAnsi="宋体"/>
          <w:sz w:val="24"/>
          <w:u w:val="single" w:color="000000"/>
        </w:rPr>
        <w:t>）</w:t>
      </w:r>
      <w:r>
        <w:rPr>
          <w:rFonts w:hint="eastAsia" w:ascii="宋体" w:hAnsi="宋体" w:cs="宋体"/>
          <w:sz w:val="24"/>
          <w:u w:val="single"/>
        </w:rPr>
        <w:t xml:space="preserve"> </w:t>
      </w:r>
      <w:r>
        <w:rPr>
          <w:rFonts w:ascii="宋体" w:hAnsi="宋体" w:cs="宋体"/>
          <w:sz w:val="24"/>
        </w:rPr>
        <w:t>，属于</w:t>
      </w:r>
      <w:r>
        <w:rPr>
          <w:rFonts w:hint="eastAsia" w:ascii="宋体" w:hAnsi="宋体" w:cs="宋体"/>
          <w:sz w:val="24"/>
          <w:u w:val="single"/>
        </w:rPr>
        <w:t xml:space="preserve">   </w:t>
      </w:r>
      <w:r>
        <w:rPr>
          <w:rFonts w:ascii="宋体" w:hAnsi="宋体" w:cs="宋体"/>
          <w:sz w:val="24"/>
          <w:u w:val="single"/>
        </w:rPr>
        <w:t>（</w:t>
      </w:r>
      <w:r>
        <w:rPr>
          <w:rFonts w:hint="eastAsia" w:ascii="宋体" w:hAnsi="宋体" w:cs="宋体"/>
          <w:sz w:val="24"/>
          <w:u w:val="single"/>
        </w:rPr>
        <w:t>磋商</w:t>
      </w:r>
      <w:r>
        <w:rPr>
          <w:rFonts w:ascii="宋体" w:hAnsi="宋体" w:cs="宋体"/>
          <w:sz w:val="24"/>
          <w:u w:val="single"/>
        </w:rPr>
        <w:t>文件中明确的所属行业）</w:t>
      </w:r>
      <w:r>
        <w:rPr>
          <w:rFonts w:ascii="宋体" w:hAnsi="宋体" w:cs="宋体"/>
          <w:sz w:val="24"/>
        </w:rPr>
        <w:t>； 承建（承接）企业为</w:t>
      </w:r>
      <w:r>
        <w:rPr>
          <w:rFonts w:ascii="宋体" w:hAnsi="宋体" w:cs="宋体"/>
          <w:sz w:val="24"/>
          <w:u w:val="single"/>
        </w:rPr>
        <w:t>（企业名称）</w:t>
      </w:r>
      <w:r>
        <w:rPr>
          <w:rFonts w:ascii="宋体" w:hAnsi="宋体" w:cs="宋体"/>
          <w:sz w:val="24"/>
        </w:rPr>
        <w:t>，从业人员</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人，营业收入为</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万元，资产总额为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万元，属于</w:t>
      </w:r>
      <w:r>
        <w:rPr>
          <w:rFonts w:hint="eastAsia" w:ascii="宋体" w:hAnsi="宋体" w:cs="宋体"/>
          <w:sz w:val="24"/>
          <w:u w:val="single"/>
        </w:rPr>
        <w:t xml:space="preserve">              </w:t>
      </w:r>
      <w:r>
        <w:rPr>
          <w:rFonts w:ascii="宋体" w:hAnsi="宋体" w:cs="宋体"/>
          <w:sz w:val="24"/>
          <w:u w:val="single"/>
        </w:rPr>
        <w:t>（中型企业、 小型企业、微型企业）</w:t>
      </w:r>
      <w:r>
        <w:rPr>
          <w:rFonts w:ascii="宋体" w:hAnsi="宋体" w:cs="宋体"/>
          <w:sz w:val="24"/>
        </w:rPr>
        <w:t>；</w:t>
      </w:r>
    </w:p>
    <w:p w14:paraId="2039AD08">
      <w:pPr>
        <w:spacing w:line="500" w:lineRule="exact"/>
        <w:ind w:firstLine="480" w:firstLineChars="200"/>
        <w:jc w:val="left"/>
        <w:rPr>
          <w:rFonts w:ascii="宋体" w:hAnsi="宋体" w:cs="宋体"/>
          <w:sz w:val="24"/>
        </w:rPr>
      </w:pPr>
      <w:r>
        <w:rPr>
          <w:rFonts w:hint="eastAsia" w:ascii="宋体" w:hAnsi="宋体" w:cs="宋体"/>
          <w:sz w:val="24"/>
        </w:rPr>
        <w:t>……</w:t>
      </w:r>
    </w:p>
    <w:p w14:paraId="59F5376E">
      <w:pPr>
        <w:spacing w:line="500" w:lineRule="exact"/>
        <w:ind w:firstLine="240" w:firstLineChars="100"/>
        <w:jc w:val="left"/>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p>
    <w:p w14:paraId="0777487B">
      <w:pPr>
        <w:spacing w:line="500" w:lineRule="exact"/>
        <w:ind w:firstLine="240" w:firstLineChars="100"/>
        <w:jc w:val="left"/>
        <w:rPr>
          <w:rFonts w:ascii="宋体" w:hAnsi="宋体"/>
          <w:spacing w:val="6"/>
          <w:sz w:val="24"/>
        </w:rPr>
      </w:pPr>
      <w:r>
        <w:rPr>
          <w:rFonts w:ascii="宋体" w:hAnsi="宋体" w:cs="宋体"/>
          <w:sz w:val="24"/>
        </w:rPr>
        <w:t>本企业对上述声明内容的真实性负责。如有虚假，将依法承担相应责任。</w:t>
      </w:r>
    </w:p>
    <w:p w14:paraId="567B30D6">
      <w:pPr>
        <w:snapToGrid w:val="0"/>
        <w:spacing w:line="500" w:lineRule="exact"/>
        <w:ind w:firstLine="480" w:firstLineChars="200"/>
        <w:textAlignment w:val="baseline"/>
        <w:rPr>
          <w:rStyle w:val="27"/>
          <w:rFonts w:ascii="宋体" w:hAnsi="宋体" w:cs="宋体"/>
          <w:sz w:val="24"/>
        </w:rPr>
      </w:pPr>
      <w:r>
        <w:rPr>
          <w:rStyle w:val="27"/>
          <w:rFonts w:hint="eastAsia" w:ascii="宋体" w:hAnsi="宋体" w:cs="宋体"/>
          <w:sz w:val="24"/>
        </w:rPr>
        <w:t xml:space="preserve">                    供应商名称：</w:t>
      </w:r>
      <w:r>
        <w:rPr>
          <w:rStyle w:val="27"/>
          <w:rFonts w:hint="eastAsia" w:ascii="宋体" w:hAnsi="宋体" w:cs="宋体"/>
          <w:sz w:val="24"/>
          <w:u w:val="single" w:color="000000"/>
        </w:rPr>
        <w:t xml:space="preserve">               </w:t>
      </w:r>
      <w:r>
        <w:rPr>
          <w:rStyle w:val="27"/>
          <w:rFonts w:hint="eastAsia" w:ascii="宋体" w:hAnsi="宋体" w:cs="宋体"/>
          <w:sz w:val="24"/>
        </w:rPr>
        <w:t xml:space="preserve">（全称并加盖公章）          </w:t>
      </w:r>
    </w:p>
    <w:p w14:paraId="58790E82">
      <w:pPr>
        <w:keepLines/>
        <w:snapToGrid w:val="0"/>
        <w:spacing w:before="162" w:after="330" w:line="500" w:lineRule="exact"/>
        <w:ind w:firstLine="2880" w:firstLineChars="1200"/>
        <w:textAlignment w:val="baseline"/>
        <w:rPr>
          <w:rStyle w:val="27"/>
          <w:rFonts w:ascii="宋体" w:hAnsi="宋体" w:cs="宋体"/>
          <w:sz w:val="24"/>
          <w:u w:val="single" w:color="000000"/>
        </w:rPr>
      </w:pPr>
      <w:r>
        <w:rPr>
          <w:rStyle w:val="27"/>
          <w:rFonts w:hint="eastAsia" w:ascii="宋体" w:hAnsi="宋体" w:cs="宋体"/>
          <w:sz w:val="24"/>
        </w:rPr>
        <w:t>日      期：</w:t>
      </w:r>
      <w:r>
        <w:rPr>
          <w:rStyle w:val="27"/>
          <w:rFonts w:hint="eastAsia" w:ascii="宋体" w:hAnsi="宋体" w:cs="宋体"/>
          <w:sz w:val="24"/>
          <w:u w:val="single" w:color="000000"/>
        </w:rPr>
        <w:t xml:space="preserve">               </w:t>
      </w:r>
    </w:p>
    <w:p w14:paraId="4AC5363E">
      <w:pPr>
        <w:snapToGrid w:val="0"/>
        <w:spacing w:line="360" w:lineRule="auto"/>
        <w:ind w:firstLine="420" w:firstLineChars="200"/>
        <w:textAlignment w:val="baseline"/>
        <w:rPr>
          <w:rStyle w:val="27"/>
          <w:rFonts w:ascii="宋体" w:hAnsi="宋体"/>
        </w:rPr>
      </w:pPr>
      <w:r>
        <w:rPr>
          <w:rStyle w:val="27"/>
          <w:rFonts w:ascii="宋体" w:hAnsi="宋体"/>
        </w:rPr>
        <w:t>备注：</w:t>
      </w:r>
    </w:p>
    <w:p w14:paraId="04182C4B">
      <w:pPr>
        <w:spacing w:before="65" w:line="369" w:lineRule="auto"/>
        <w:ind w:left="7" w:right="53" w:firstLine="431"/>
        <w:jc w:val="left"/>
        <w:rPr>
          <w:rFonts w:ascii="宋体" w:hAnsi="宋体" w:cs="宋体"/>
          <w:sz w:val="20"/>
          <w:szCs w:val="20"/>
        </w:rPr>
      </w:pPr>
      <w:r>
        <w:rPr>
          <w:rStyle w:val="27"/>
          <w:rFonts w:ascii="宋体" w:hAnsi="宋体"/>
        </w:rPr>
        <w:t>（1）</w:t>
      </w:r>
      <w:r>
        <w:rPr>
          <w:rStyle w:val="27"/>
          <w:rFonts w:hint="eastAsia" w:ascii="宋体" w:hAnsi="宋体"/>
        </w:rPr>
        <w:t>从业人员、营业收入、资产总额填报上一年度数据，无上一年度数据的新成立企业可不填报。</w:t>
      </w:r>
    </w:p>
    <w:p w14:paraId="41FEAC02">
      <w:pPr>
        <w:snapToGrid w:val="0"/>
        <w:spacing w:line="360" w:lineRule="auto"/>
        <w:ind w:firstLine="420" w:firstLineChars="200"/>
        <w:jc w:val="left"/>
        <w:textAlignment w:val="baseline"/>
        <w:rPr>
          <w:rStyle w:val="27"/>
          <w:rFonts w:ascii="宋体" w:hAnsi="宋体"/>
        </w:rPr>
      </w:pPr>
      <w:r>
        <w:rPr>
          <w:rStyle w:val="27"/>
          <w:rFonts w:ascii="宋体" w:hAnsi="宋体"/>
        </w:rPr>
        <w:t>（2）</w:t>
      </w:r>
      <w:r>
        <w:rPr>
          <w:rStyle w:val="27"/>
          <w:rFonts w:hint="eastAsia" w:ascii="宋体" w:hAnsi="宋体"/>
        </w:rPr>
        <w:t>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5CB117C7">
      <w:pPr>
        <w:autoSpaceDE w:val="0"/>
        <w:autoSpaceDN w:val="0"/>
        <w:adjustRightInd w:val="0"/>
        <w:snapToGrid w:val="0"/>
        <w:spacing w:line="360" w:lineRule="auto"/>
        <w:ind w:firstLine="420" w:firstLineChars="200"/>
        <w:jc w:val="left"/>
        <w:outlineLvl w:val="0"/>
        <w:rPr>
          <w:rStyle w:val="27"/>
          <w:rFonts w:ascii="宋体" w:hAnsi="宋体"/>
        </w:rPr>
      </w:pPr>
      <w:bookmarkStart w:id="255" w:name="_Toc10275"/>
      <w:r>
        <w:rPr>
          <w:rStyle w:val="27"/>
          <w:rFonts w:ascii="宋体" w:hAnsi="宋体"/>
        </w:rPr>
        <w:t>（3）</w:t>
      </w:r>
      <w:r>
        <w:rPr>
          <w:rStyle w:val="27"/>
          <w:rFonts w:hint="eastAsia" w:ascii="宋体" w:hAnsi="宋体"/>
        </w:rPr>
        <w:t>本项目采购标的对应的中小企业划分标准所属行业为</w:t>
      </w:r>
      <w:r>
        <w:rPr>
          <w:rStyle w:val="27"/>
          <w:rFonts w:hint="eastAsia" w:ascii="宋体" w:hAnsi="宋体"/>
          <w:u w:val="single"/>
        </w:rPr>
        <w:t xml:space="preserve"> 其他未列明行业 </w:t>
      </w:r>
      <w:r>
        <w:rPr>
          <w:rStyle w:val="27"/>
          <w:rFonts w:hint="eastAsia" w:ascii="宋体" w:hAnsi="宋体"/>
          <w:color w:val="2E54A1" w:themeColor="accent1" w:themeShade="BF"/>
          <w:u w:val="single"/>
        </w:rPr>
        <w:t xml:space="preserve"> </w:t>
      </w:r>
      <w:r>
        <w:rPr>
          <w:rStyle w:val="27"/>
          <w:rFonts w:hint="eastAsia" w:ascii="宋体" w:hAnsi="宋体"/>
          <w:color w:val="2E54A1" w:themeColor="accent1" w:themeShade="BF"/>
        </w:rPr>
        <w:t>。</w:t>
      </w:r>
      <w:r>
        <w:rPr>
          <w:rStyle w:val="27"/>
          <w:rFonts w:hint="eastAsia" w:ascii="宋体" w:hAnsi="宋体"/>
        </w:rPr>
        <w:t>（所属行业类别供应商不得更改，否则，造成不利影响供应商自行承担）。</w:t>
      </w:r>
      <w:bookmarkEnd w:id="255"/>
    </w:p>
    <w:p w14:paraId="5C7DD00E">
      <w:pPr>
        <w:keepLines/>
        <w:snapToGrid w:val="0"/>
        <w:spacing w:before="162" w:after="330" w:line="360" w:lineRule="auto"/>
        <w:jc w:val="center"/>
        <w:textAlignment w:val="baseline"/>
        <w:rPr>
          <w:rStyle w:val="27"/>
          <w:rFonts w:ascii="宋体" w:hAnsi="宋体" w:cs="宋体"/>
          <w:b/>
          <w:sz w:val="28"/>
          <w:szCs w:val="28"/>
        </w:rPr>
      </w:pPr>
    </w:p>
    <w:p w14:paraId="300FCE90">
      <w:pPr>
        <w:keepLines/>
        <w:snapToGrid w:val="0"/>
        <w:spacing w:before="162" w:after="330" w:line="360" w:lineRule="auto"/>
        <w:jc w:val="center"/>
        <w:textAlignment w:val="baseline"/>
        <w:rPr>
          <w:rStyle w:val="27"/>
          <w:rFonts w:ascii="宋体" w:hAnsi="宋体" w:cs="宋体"/>
          <w:b/>
          <w:sz w:val="28"/>
          <w:szCs w:val="28"/>
        </w:rPr>
      </w:pPr>
    </w:p>
    <w:p w14:paraId="6FD6D4C3">
      <w:pPr>
        <w:keepLines/>
        <w:snapToGrid w:val="0"/>
        <w:spacing w:before="162" w:after="330" w:line="360" w:lineRule="auto"/>
        <w:jc w:val="center"/>
        <w:textAlignment w:val="baseline"/>
        <w:rPr>
          <w:rStyle w:val="27"/>
          <w:rFonts w:ascii="宋体" w:hAnsi="宋体" w:cs="宋体"/>
          <w:b/>
          <w:sz w:val="28"/>
          <w:szCs w:val="28"/>
        </w:rPr>
      </w:pPr>
    </w:p>
    <w:p w14:paraId="0D8517CD">
      <w:pPr>
        <w:keepLines/>
        <w:snapToGrid w:val="0"/>
        <w:spacing w:before="162" w:after="330" w:line="360" w:lineRule="auto"/>
        <w:jc w:val="center"/>
        <w:textAlignment w:val="baseline"/>
        <w:rPr>
          <w:rStyle w:val="27"/>
          <w:rFonts w:ascii="宋体" w:hAnsi="宋体" w:cs="宋体"/>
          <w:b/>
          <w:sz w:val="28"/>
          <w:szCs w:val="28"/>
        </w:rPr>
      </w:pPr>
    </w:p>
    <w:p w14:paraId="03EB3653">
      <w:pPr>
        <w:keepLines/>
        <w:snapToGrid w:val="0"/>
        <w:spacing w:before="162" w:after="330" w:line="360" w:lineRule="auto"/>
        <w:jc w:val="center"/>
        <w:textAlignment w:val="baseline"/>
        <w:rPr>
          <w:rStyle w:val="27"/>
          <w:rFonts w:ascii="宋体" w:hAnsi="宋体" w:cs="宋体"/>
          <w:b/>
          <w:sz w:val="28"/>
          <w:szCs w:val="28"/>
        </w:rPr>
      </w:pPr>
      <w:r>
        <w:rPr>
          <w:rStyle w:val="27"/>
          <w:rFonts w:hint="eastAsia" w:ascii="宋体" w:hAnsi="宋体" w:cs="宋体"/>
          <w:b/>
          <w:sz w:val="28"/>
          <w:szCs w:val="28"/>
        </w:rPr>
        <w:t>残疾人福利性单位声明函(格式)</w:t>
      </w:r>
    </w:p>
    <w:p w14:paraId="0E32A3D4">
      <w:pPr>
        <w:pStyle w:val="32"/>
        <w:snapToGrid w:val="0"/>
        <w:spacing w:line="480" w:lineRule="exact"/>
        <w:rPr>
          <w:rStyle w:val="27"/>
          <w:rFonts w:ascii="宋体" w:hAnsi="宋体" w:cs="宋体"/>
          <w:b/>
          <w:bCs/>
          <w:u w:val="single"/>
        </w:rPr>
      </w:pPr>
      <w:r>
        <w:rPr>
          <w:rStyle w:val="27"/>
          <w:rFonts w:hint="eastAsia" w:ascii="宋体" w:hAnsi="宋体" w:cs="宋体"/>
          <w:b/>
          <w:bCs/>
        </w:rPr>
        <w:t>致：</w:t>
      </w:r>
      <w:r>
        <w:rPr>
          <w:rStyle w:val="27"/>
          <w:rFonts w:hint="eastAsia" w:ascii="宋体" w:hAnsi="宋体" w:cs="宋体"/>
          <w:b/>
          <w:bCs/>
          <w:u w:val="single" w:color="000000"/>
        </w:rPr>
        <w:t xml:space="preserve">       （采购人）</w:t>
      </w:r>
    </w:p>
    <w:p w14:paraId="623AE432">
      <w:pPr>
        <w:pStyle w:val="32"/>
        <w:snapToGrid w:val="0"/>
        <w:spacing w:before="240" w:line="480" w:lineRule="exact"/>
        <w:rPr>
          <w:rStyle w:val="27"/>
          <w:rFonts w:ascii="宋体" w:hAnsi="宋体" w:cs="宋体"/>
        </w:rPr>
      </w:pPr>
      <w:r>
        <w:rPr>
          <w:rStyle w:val="27"/>
          <w:rFonts w:hint="eastAsia" w:ascii="宋体" w:hAnsi="宋体" w:cs="宋体"/>
        </w:rPr>
        <w:t xml:space="preserve">    本单位郑重声明，根据《财政部 民政部 中国残疾人联合会关于促进残疾人就业政府采购政府的通知》（财库【2017】141号）的规定，本单位为符合条件的残疾人福利性单位，且本单位参加</w:t>
      </w:r>
      <w:r>
        <w:rPr>
          <w:rStyle w:val="27"/>
          <w:rFonts w:hint="eastAsia" w:ascii="宋体" w:hAnsi="宋体" w:cs="宋体"/>
          <w:u w:val="single"/>
        </w:rPr>
        <w:tab/>
      </w:r>
      <w:r>
        <w:rPr>
          <w:rStyle w:val="27"/>
          <w:rFonts w:hint="eastAsia" w:ascii="宋体" w:hAnsi="宋体" w:cs="宋体"/>
          <w:u w:val="single" w:color="000000"/>
        </w:rPr>
        <w:t>（采购项目名称）（合同包   ）</w:t>
      </w:r>
      <w:r>
        <w:rPr>
          <w:rStyle w:val="27"/>
          <w:rFonts w:hint="eastAsia" w:ascii="宋体" w:hAnsi="宋体" w:cs="宋体"/>
          <w:u w:val="single"/>
        </w:rPr>
        <w:t xml:space="preserve">   </w:t>
      </w:r>
      <w:r>
        <w:rPr>
          <w:rStyle w:val="27"/>
          <w:rFonts w:hint="eastAsia" w:ascii="宋体" w:hAnsi="宋体" w:cs="宋体"/>
        </w:rPr>
        <w:t>采购活动提供本单位制造的货物（由本单位承担工程/提供服务），或者提供其他残疾人福利性单位制造的货物（不包括使用非残疾人福利性单位注册商标的货物）。</w:t>
      </w:r>
    </w:p>
    <w:p w14:paraId="7CCCEF5E">
      <w:pPr>
        <w:pStyle w:val="32"/>
        <w:snapToGrid w:val="0"/>
        <w:spacing w:before="240" w:line="480" w:lineRule="exact"/>
        <w:rPr>
          <w:rStyle w:val="27"/>
          <w:rFonts w:ascii="宋体" w:hAnsi="宋体" w:cs="宋体"/>
        </w:rPr>
      </w:pPr>
      <w:r>
        <w:rPr>
          <w:rStyle w:val="27"/>
          <w:rFonts w:hint="eastAsia" w:ascii="宋体" w:hAnsi="宋体" w:cs="宋体"/>
        </w:rPr>
        <w:t xml:space="preserve">     本单位对上述声明的真实性负责。如有虚假，将依法承担相应责任。</w:t>
      </w:r>
    </w:p>
    <w:p w14:paraId="4444C721">
      <w:pPr>
        <w:pStyle w:val="32"/>
        <w:snapToGrid w:val="0"/>
        <w:spacing w:line="480" w:lineRule="auto"/>
        <w:ind w:firstLine="2520" w:firstLineChars="1200"/>
        <w:rPr>
          <w:rStyle w:val="27"/>
          <w:rFonts w:ascii="宋体" w:hAnsi="宋体" w:cs="宋体"/>
          <w:u w:val="single"/>
        </w:rPr>
      </w:pPr>
      <w:r>
        <w:rPr>
          <w:rStyle w:val="27"/>
          <w:rFonts w:hint="eastAsia" w:ascii="宋体" w:hAnsi="宋体" w:cs="宋体"/>
        </w:rPr>
        <w:t>供应商名称：</w:t>
      </w:r>
      <w:r>
        <w:rPr>
          <w:rStyle w:val="27"/>
          <w:rFonts w:hint="eastAsia" w:ascii="宋体" w:hAnsi="宋体" w:cs="宋体"/>
          <w:u w:val="single" w:color="000000"/>
        </w:rPr>
        <w:t xml:space="preserve">                     </w:t>
      </w:r>
      <w:r>
        <w:rPr>
          <w:rStyle w:val="27"/>
          <w:rFonts w:hint="eastAsia" w:ascii="宋体" w:hAnsi="宋体" w:cs="宋体"/>
          <w:szCs w:val="21"/>
        </w:rPr>
        <w:t>（全称并加盖公章）</w:t>
      </w:r>
    </w:p>
    <w:p w14:paraId="696837D2">
      <w:pPr>
        <w:keepLines/>
        <w:snapToGrid w:val="0"/>
        <w:spacing w:before="162" w:after="330" w:line="360" w:lineRule="auto"/>
        <w:ind w:firstLine="2520" w:firstLineChars="1200"/>
        <w:textAlignment w:val="baseline"/>
        <w:rPr>
          <w:rStyle w:val="27"/>
          <w:rFonts w:ascii="宋体" w:hAnsi="宋体" w:cs="宋体"/>
          <w:u w:val="single" w:color="000000"/>
        </w:rPr>
      </w:pPr>
      <w:r>
        <w:rPr>
          <w:rStyle w:val="27"/>
          <w:rFonts w:hint="eastAsia" w:ascii="宋体" w:hAnsi="宋体" w:cs="宋体"/>
        </w:rPr>
        <w:t>日      期：</w:t>
      </w:r>
      <w:r>
        <w:rPr>
          <w:rStyle w:val="27"/>
          <w:rFonts w:hint="eastAsia" w:ascii="宋体" w:hAnsi="宋体" w:cs="宋体"/>
          <w:u w:val="single" w:color="000000"/>
        </w:rPr>
        <w:t xml:space="preserve">             </w:t>
      </w:r>
    </w:p>
    <w:p w14:paraId="7ABD41C9">
      <w:pPr>
        <w:snapToGrid w:val="0"/>
        <w:spacing w:line="360" w:lineRule="auto"/>
        <w:ind w:firstLine="480"/>
        <w:textAlignment w:val="baseline"/>
        <w:rPr>
          <w:rStyle w:val="27"/>
          <w:rFonts w:ascii="宋体" w:hAnsi="宋体" w:cs="宋体"/>
        </w:rPr>
      </w:pPr>
      <w:r>
        <w:rPr>
          <w:rStyle w:val="27"/>
          <w:rFonts w:hint="eastAsia" w:ascii="宋体" w:hAnsi="宋体" w:cs="宋体"/>
        </w:rPr>
        <w:t>备注：未按上述要求提供、填写的，评审时不予以考虑。</w:t>
      </w:r>
    </w:p>
    <w:p w14:paraId="08B89479">
      <w:pPr>
        <w:spacing w:before="135" w:line="360" w:lineRule="exact"/>
        <w:ind w:left="35" w:right="80" w:firstLine="538"/>
        <w:rPr>
          <w:rFonts w:ascii="宋体" w:hAnsi="宋体" w:cs="宋体"/>
          <w:sz w:val="22"/>
          <w:szCs w:val="22"/>
        </w:rPr>
      </w:pPr>
      <w:r>
        <w:rPr>
          <w:rFonts w:hint="eastAsia" w:ascii="宋体" w:hAnsi="宋体" w:cs="宋体"/>
          <w:spacing w:val="24"/>
          <w:sz w:val="22"/>
          <w:szCs w:val="22"/>
        </w:rPr>
        <w:t>根据</w:t>
      </w:r>
      <w:r>
        <w:rPr>
          <w:rFonts w:hint="eastAsia" w:ascii="宋体" w:hAnsi="宋体" w:cs="宋体"/>
          <w:spacing w:val="14"/>
          <w:sz w:val="22"/>
          <w:szCs w:val="22"/>
        </w:rPr>
        <w:t>《</w:t>
      </w:r>
      <w:r>
        <w:rPr>
          <w:rFonts w:hint="eastAsia" w:ascii="宋体" w:hAnsi="宋体" w:cs="宋体"/>
          <w:spacing w:val="12"/>
          <w:sz w:val="22"/>
          <w:szCs w:val="22"/>
        </w:rPr>
        <w:t>财政部民政部中国残疾人联合会关于促进残疾人就业政府采购政策的通知》(财库</w:t>
      </w:r>
      <w:r>
        <w:rPr>
          <w:rFonts w:hint="eastAsia" w:ascii="宋体" w:hAnsi="宋体" w:cs="宋体"/>
          <w:spacing w:val="-4"/>
          <w:sz w:val="22"/>
          <w:szCs w:val="22"/>
        </w:rPr>
        <w:t>〔2017</w:t>
      </w:r>
      <w:r>
        <w:rPr>
          <w:rFonts w:hint="eastAsia" w:ascii="宋体" w:hAnsi="宋体" w:cs="宋体"/>
          <w:spacing w:val="-3"/>
          <w:sz w:val="22"/>
          <w:szCs w:val="22"/>
        </w:rPr>
        <w:t>〕</w:t>
      </w:r>
      <w:r>
        <w:rPr>
          <w:rFonts w:hint="eastAsia" w:ascii="宋体" w:hAnsi="宋体" w:cs="宋体"/>
          <w:spacing w:val="-2"/>
          <w:sz w:val="22"/>
          <w:szCs w:val="22"/>
        </w:rPr>
        <w:t>141号) 的规定：</w:t>
      </w:r>
    </w:p>
    <w:p w14:paraId="1073E37F">
      <w:pPr>
        <w:spacing w:line="360" w:lineRule="exact"/>
        <w:ind w:left="576"/>
        <w:rPr>
          <w:rFonts w:ascii="宋体" w:hAnsi="宋体" w:cs="宋体"/>
          <w:sz w:val="22"/>
          <w:szCs w:val="22"/>
        </w:rPr>
      </w:pPr>
      <w:r>
        <w:rPr>
          <w:rFonts w:hint="eastAsia" w:ascii="宋体" w:hAnsi="宋体" w:cs="宋体"/>
          <w:spacing w:val="24"/>
          <w:position w:val="2"/>
          <w:sz w:val="22"/>
          <w:szCs w:val="22"/>
        </w:rPr>
        <w:t>一</w:t>
      </w:r>
      <w:r>
        <w:rPr>
          <w:rFonts w:hint="eastAsia" w:ascii="宋体" w:hAnsi="宋体" w:cs="宋体"/>
          <w:spacing w:val="16"/>
          <w:position w:val="2"/>
          <w:sz w:val="22"/>
          <w:szCs w:val="22"/>
        </w:rPr>
        <w:t>、</w:t>
      </w:r>
      <w:r>
        <w:rPr>
          <w:rFonts w:hint="eastAsia" w:ascii="宋体" w:hAnsi="宋体" w:cs="宋体"/>
          <w:spacing w:val="12"/>
          <w:position w:val="2"/>
          <w:sz w:val="22"/>
          <w:szCs w:val="22"/>
        </w:rPr>
        <w:t>享受政府采购支持政策的残疾人福利性单位应当同时满足以下条件：</w:t>
      </w:r>
    </w:p>
    <w:p w14:paraId="29BA94C2">
      <w:pPr>
        <w:spacing w:before="39" w:line="360" w:lineRule="exact"/>
        <w:ind w:left="8" w:right="5" w:firstLine="574"/>
        <w:rPr>
          <w:rFonts w:ascii="宋体" w:hAnsi="宋体" w:cs="宋体"/>
          <w:sz w:val="22"/>
          <w:szCs w:val="22"/>
        </w:rPr>
      </w:pPr>
      <w:r>
        <w:rPr>
          <w:rFonts w:hint="eastAsia" w:ascii="宋体" w:hAnsi="宋体" w:cs="宋体"/>
          <w:spacing w:val="10"/>
          <w:sz w:val="22"/>
          <w:szCs w:val="22"/>
        </w:rPr>
        <w:t>( 一) 安置</w:t>
      </w:r>
      <w:r>
        <w:rPr>
          <w:rFonts w:hint="eastAsia" w:ascii="宋体" w:hAnsi="宋体" w:cs="宋体"/>
          <w:spacing w:val="7"/>
          <w:sz w:val="22"/>
          <w:szCs w:val="22"/>
        </w:rPr>
        <w:t>的</w:t>
      </w:r>
      <w:r>
        <w:rPr>
          <w:rFonts w:hint="eastAsia" w:ascii="宋体" w:hAnsi="宋体" w:cs="宋体"/>
          <w:spacing w:val="5"/>
          <w:sz w:val="22"/>
          <w:szCs w:val="22"/>
        </w:rPr>
        <w:t>残疾人占本单位在职职工人数的比例不低于 25% (含25%) ，并且安置的残疾人</w:t>
      </w:r>
      <w:r>
        <w:rPr>
          <w:rFonts w:hint="eastAsia" w:ascii="宋体" w:hAnsi="宋体" w:cs="宋体"/>
          <w:sz w:val="22"/>
          <w:szCs w:val="22"/>
        </w:rPr>
        <w:t xml:space="preserve"> </w:t>
      </w:r>
      <w:r>
        <w:rPr>
          <w:rFonts w:hint="eastAsia" w:ascii="宋体" w:hAnsi="宋体" w:cs="宋体"/>
          <w:spacing w:val="-3"/>
          <w:sz w:val="22"/>
          <w:szCs w:val="22"/>
        </w:rPr>
        <w:t>人数不少于 10 人 (含 10 人)</w:t>
      </w:r>
      <w:r>
        <w:rPr>
          <w:rFonts w:hint="eastAsia" w:ascii="宋体" w:hAnsi="宋体" w:cs="宋体"/>
          <w:spacing w:val="-2"/>
          <w:sz w:val="22"/>
          <w:szCs w:val="22"/>
        </w:rPr>
        <w:t>；</w:t>
      </w:r>
    </w:p>
    <w:p w14:paraId="4EC4C20C">
      <w:pPr>
        <w:spacing w:before="1" w:line="360" w:lineRule="exact"/>
        <w:ind w:left="583"/>
        <w:rPr>
          <w:rFonts w:ascii="宋体" w:hAnsi="宋体" w:cs="宋体"/>
          <w:sz w:val="22"/>
          <w:szCs w:val="22"/>
        </w:rPr>
      </w:pPr>
      <w:r>
        <w:rPr>
          <w:rFonts w:hint="eastAsia" w:ascii="宋体" w:hAnsi="宋体" w:cs="宋体"/>
          <w:spacing w:val="15"/>
          <w:sz w:val="22"/>
          <w:szCs w:val="22"/>
        </w:rPr>
        <w:t>(</w:t>
      </w:r>
      <w:r>
        <w:rPr>
          <w:rFonts w:hint="eastAsia" w:ascii="宋体" w:hAnsi="宋体" w:cs="宋体"/>
          <w:spacing w:val="14"/>
          <w:sz w:val="22"/>
          <w:szCs w:val="22"/>
        </w:rPr>
        <w:t>二) 依法与安置的每位残疾人签订了一年以上(含一年) 的劳动合同或服务协议；</w:t>
      </w:r>
    </w:p>
    <w:p w14:paraId="5E238347">
      <w:pPr>
        <w:spacing w:before="136" w:line="360" w:lineRule="exact"/>
        <w:ind w:left="7" w:right="5" w:firstLine="575"/>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三) 为安置的每位残疾人按月足额缴纳了基本养老保险、基本医疗保险、失业保险、工伤</w:t>
      </w:r>
      <w:r>
        <w:rPr>
          <w:rFonts w:hint="eastAsia" w:ascii="宋体" w:hAnsi="宋体" w:cs="宋体"/>
          <w:sz w:val="22"/>
          <w:szCs w:val="22"/>
        </w:rPr>
        <w:t xml:space="preserve"> </w:t>
      </w:r>
      <w:r>
        <w:rPr>
          <w:rFonts w:hint="eastAsia" w:ascii="宋体" w:hAnsi="宋体" w:cs="宋体"/>
          <w:spacing w:val="17"/>
          <w:sz w:val="22"/>
          <w:szCs w:val="22"/>
        </w:rPr>
        <w:t>保</w:t>
      </w:r>
      <w:r>
        <w:rPr>
          <w:rFonts w:hint="eastAsia" w:ascii="宋体" w:hAnsi="宋体" w:cs="宋体"/>
          <w:spacing w:val="11"/>
          <w:sz w:val="22"/>
          <w:szCs w:val="22"/>
        </w:rPr>
        <w:t>险和生育保险等社会保险费；</w:t>
      </w:r>
    </w:p>
    <w:p w14:paraId="524F1A12">
      <w:pPr>
        <w:spacing w:before="1" w:line="360" w:lineRule="exact"/>
        <w:ind w:left="10" w:right="5" w:firstLine="573"/>
        <w:rPr>
          <w:rFonts w:ascii="宋体" w:hAnsi="宋体" w:cs="宋体"/>
          <w:sz w:val="22"/>
          <w:szCs w:val="22"/>
        </w:rPr>
      </w:pPr>
      <w:r>
        <w:rPr>
          <w:rFonts w:hint="eastAsia" w:ascii="宋体" w:hAnsi="宋体" w:cs="宋体"/>
          <w:spacing w:val="22"/>
          <w:sz w:val="22"/>
          <w:szCs w:val="22"/>
        </w:rPr>
        <w:t>(</w:t>
      </w:r>
      <w:r>
        <w:rPr>
          <w:rFonts w:hint="eastAsia" w:ascii="宋体" w:hAnsi="宋体" w:cs="宋体"/>
          <w:spacing w:val="14"/>
          <w:sz w:val="22"/>
          <w:szCs w:val="22"/>
        </w:rPr>
        <w:t>四) 通过银行等金融机构向安置的每位残疾人，按月支付了不低于单位所在区县适用的经</w:t>
      </w:r>
      <w:r>
        <w:rPr>
          <w:rFonts w:hint="eastAsia" w:ascii="宋体" w:hAnsi="宋体" w:cs="宋体"/>
          <w:sz w:val="22"/>
          <w:szCs w:val="22"/>
        </w:rPr>
        <w:t xml:space="preserve"> </w:t>
      </w:r>
      <w:r>
        <w:rPr>
          <w:rFonts w:hint="eastAsia" w:ascii="宋体" w:hAnsi="宋体" w:cs="宋体"/>
          <w:spacing w:val="12"/>
          <w:sz w:val="22"/>
          <w:szCs w:val="22"/>
        </w:rPr>
        <w:t>省级人民政府批准的月最低工资标准的工资</w:t>
      </w:r>
      <w:r>
        <w:rPr>
          <w:rFonts w:hint="eastAsia" w:ascii="宋体" w:hAnsi="宋体" w:cs="宋体"/>
          <w:spacing w:val="11"/>
          <w:sz w:val="22"/>
          <w:szCs w:val="22"/>
        </w:rPr>
        <w:t>；</w:t>
      </w:r>
    </w:p>
    <w:p w14:paraId="1797B2A8">
      <w:pPr>
        <w:spacing w:line="360" w:lineRule="exact"/>
        <w:ind w:left="8" w:right="82" w:firstLine="574"/>
        <w:rPr>
          <w:rFonts w:ascii="宋体" w:hAnsi="宋体" w:cs="宋体"/>
          <w:sz w:val="22"/>
          <w:szCs w:val="22"/>
        </w:rPr>
      </w:pPr>
      <w:r>
        <w:rPr>
          <w:rFonts w:hint="eastAsia" w:ascii="宋体" w:hAnsi="宋体" w:cs="宋体"/>
          <w:spacing w:val="22"/>
          <w:sz w:val="22"/>
          <w:szCs w:val="22"/>
        </w:rPr>
        <w:t>(五</w:t>
      </w:r>
      <w:r>
        <w:rPr>
          <w:rFonts w:hint="eastAsia" w:ascii="宋体" w:hAnsi="宋体" w:cs="宋体"/>
          <w:spacing w:val="21"/>
          <w:sz w:val="22"/>
          <w:szCs w:val="22"/>
        </w:rPr>
        <w:t>)</w:t>
      </w:r>
      <w:r>
        <w:rPr>
          <w:rFonts w:hint="eastAsia" w:ascii="宋体" w:hAnsi="宋体" w:cs="宋体"/>
          <w:spacing w:val="11"/>
          <w:sz w:val="22"/>
          <w:szCs w:val="22"/>
        </w:rPr>
        <w:t xml:space="preserve"> 提供本单位制造的货物、承担的工程或者服务 (以下简称产品) ，或者提供其他残疾</w:t>
      </w:r>
      <w:r>
        <w:rPr>
          <w:rFonts w:hint="eastAsia" w:ascii="宋体" w:hAnsi="宋体" w:cs="宋体"/>
          <w:sz w:val="22"/>
          <w:szCs w:val="22"/>
        </w:rPr>
        <w:t xml:space="preserve"> </w:t>
      </w:r>
      <w:r>
        <w:rPr>
          <w:rFonts w:hint="eastAsia" w:ascii="宋体" w:hAnsi="宋体" w:cs="宋体"/>
          <w:spacing w:val="12"/>
          <w:sz w:val="22"/>
          <w:szCs w:val="22"/>
        </w:rPr>
        <w:t>人福利性单位制造的货物 (不包括使用非残疾人福利性单位注册商标的货物)</w:t>
      </w:r>
      <w:r>
        <w:rPr>
          <w:rFonts w:hint="eastAsia" w:ascii="宋体" w:hAnsi="宋体" w:cs="宋体"/>
          <w:spacing w:val="4"/>
          <w:sz w:val="22"/>
          <w:szCs w:val="22"/>
        </w:rPr>
        <w:t>。</w:t>
      </w:r>
    </w:p>
    <w:p w14:paraId="3EA27417">
      <w:pPr>
        <w:spacing w:before="1" w:line="360" w:lineRule="exact"/>
        <w:ind w:left="7" w:right="5" w:firstLine="568"/>
        <w:rPr>
          <w:rFonts w:ascii="宋体" w:hAnsi="宋体" w:cs="宋体"/>
          <w:sz w:val="22"/>
          <w:szCs w:val="22"/>
        </w:rPr>
      </w:pPr>
      <w:r>
        <w:rPr>
          <w:rFonts w:hint="eastAsia" w:ascii="宋体" w:hAnsi="宋体" w:cs="宋体"/>
          <w:spacing w:val="21"/>
          <w:sz w:val="22"/>
          <w:szCs w:val="22"/>
        </w:rPr>
        <w:t>前</w:t>
      </w:r>
      <w:r>
        <w:rPr>
          <w:rFonts w:hint="eastAsia" w:ascii="宋体" w:hAnsi="宋体" w:cs="宋体"/>
          <w:spacing w:val="12"/>
          <w:sz w:val="22"/>
          <w:szCs w:val="22"/>
        </w:rPr>
        <w:t>款所称残疾人是指法定劳动年龄内，持有《中华人民共和国残疾人证》或者《中华人民共</w:t>
      </w:r>
      <w:r>
        <w:rPr>
          <w:rFonts w:hint="eastAsia" w:ascii="宋体" w:hAnsi="宋体" w:cs="宋体"/>
          <w:sz w:val="22"/>
          <w:szCs w:val="22"/>
        </w:rPr>
        <w:t xml:space="preserve"> </w:t>
      </w:r>
      <w:r>
        <w:rPr>
          <w:rFonts w:hint="eastAsia" w:ascii="宋体" w:hAnsi="宋体" w:cs="宋体"/>
          <w:spacing w:val="8"/>
          <w:sz w:val="22"/>
          <w:szCs w:val="22"/>
        </w:rPr>
        <w:t>和</w:t>
      </w:r>
      <w:r>
        <w:rPr>
          <w:rFonts w:hint="eastAsia" w:ascii="宋体" w:hAnsi="宋体" w:cs="宋体"/>
          <w:spacing w:val="7"/>
          <w:sz w:val="22"/>
          <w:szCs w:val="22"/>
        </w:rPr>
        <w:t>国</w:t>
      </w:r>
      <w:r>
        <w:rPr>
          <w:rFonts w:hint="eastAsia" w:ascii="宋体" w:hAnsi="宋体" w:cs="宋体"/>
          <w:spacing w:val="4"/>
          <w:sz w:val="22"/>
          <w:szCs w:val="22"/>
        </w:rPr>
        <w:t>残疾军人证 ( 1 至 8 级)》 的自然人，包括具有劳动条件和劳动意愿的精神残疾人。在职职工</w:t>
      </w:r>
      <w:r>
        <w:rPr>
          <w:rFonts w:hint="eastAsia" w:ascii="宋体" w:hAnsi="宋体" w:cs="宋体"/>
          <w:spacing w:val="24"/>
          <w:sz w:val="22"/>
          <w:szCs w:val="22"/>
        </w:rPr>
        <w:t>人数</w:t>
      </w:r>
      <w:r>
        <w:rPr>
          <w:rFonts w:hint="eastAsia" w:ascii="宋体" w:hAnsi="宋体" w:cs="宋体"/>
          <w:spacing w:val="16"/>
          <w:sz w:val="22"/>
          <w:szCs w:val="22"/>
        </w:rPr>
        <w:t>是</w:t>
      </w:r>
      <w:r>
        <w:rPr>
          <w:rFonts w:hint="eastAsia" w:ascii="宋体" w:hAnsi="宋体" w:cs="宋体"/>
          <w:spacing w:val="12"/>
          <w:sz w:val="22"/>
          <w:szCs w:val="22"/>
        </w:rPr>
        <w:t>指与残疾人福利性单位建立劳动关系并依法签订劳动合同或者服务协议的雇员人数。</w:t>
      </w:r>
    </w:p>
    <w:p w14:paraId="5F10C782">
      <w:pPr>
        <w:spacing w:before="80" w:line="360" w:lineRule="exact"/>
        <w:ind w:left="11" w:right="111" w:firstLine="428"/>
        <w:rPr>
          <w:rFonts w:ascii="宋体" w:hAnsi="宋体" w:cs="宋体"/>
          <w:sz w:val="22"/>
          <w:szCs w:val="22"/>
        </w:rPr>
      </w:pPr>
      <w:r>
        <w:rPr>
          <w:rFonts w:hint="eastAsia" w:ascii="宋体" w:hAnsi="宋体" w:cs="宋体"/>
          <w:spacing w:val="13"/>
          <w:sz w:val="22"/>
          <w:szCs w:val="22"/>
        </w:rPr>
        <w:t>二、中标、成交供应商为残疾人福利性单位的，采购人或者其委托的采购代理机构应当随成</w:t>
      </w:r>
      <w:r>
        <w:rPr>
          <w:rFonts w:hint="eastAsia" w:ascii="宋体" w:hAnsi="宋体" w:cs="宋体"/>
          <w:sz w:val="22"/>
          <w:szCs w:val="22"/>
        </w:rPr>
        <w:t xml:space="preserve"> </w:t>
      </w:r>
      <w:r>
        <w:rPr>
          <w:rFonts w:hint="eastAsia" w:ascii="宋体" w:hAnsi="宋体" w:cs="宋体"/>
          <w:spacing w:val="11"/>
          <w:sz w:val="22"/>
          <w:szCs w:val="22"/>
        </w:rPr>
        <w:t>交</w:t>
      </w:r>
      <w:r>
        <w:rPr>
          <w:rFonts w:hint="eastAsia" w:ascii="宋体" w:hAnsi="宋体" w:cs="宋体"/>
          <w:spacing w:val="9"/>
          <w:sz w:val="22"/>
          <w:szCs w:val="22"/>
        </w:rPr>
        <w:t>、成交结果同时公告其《残疾人福利性单位声明函》 ，接受社会监督。</w:t>
      </w:r>
    </w:p>
    <w:p w14:paraId="070C9DB6">
      <w:pPr>
        <w:pStyle w:val="12"/>
        <w:spacing w:line="360" w:lineRule="exact"/>
        <w:ind w:firstLine="440"/>
        <w:rPr>
          <w:rFonts w:ascii="宋体" w:hAnsi="宋体" w:cs="宋体"/>
          <w:sz w:val="22"/>
          <w:szCs w:val="22"/>
        </w:rPr>
        <w:sectPr>
          <w:pgSz w:w="11906" w:h="16838"/>
          <w:pgMar w:top="1304" w:right="1361" w:bottom="1304" w:left="1361" w:header="851" w:footer="992" w:gutter="0"/>
          <w:pgNumType w:fmt="decimal"/>
          <w:cols w:space="720" w:num="1"/>
          <w:docGrid w:linePitch="312" w:charSpace="0"/>
        </w:sectPr>
      </w:pPr>
    </w:p>
    <w:p w14:paraId="31A70C0A">
      <w:pPr>
        <w:pStyle w:val="33"/>
        <w:widowControl/>
        <w:snapToGrid w:val="0"/>
        <w:jc w:val="center"/>
        <w:rPr>
          <w:rStyle w:val="27"/>
          <w:rFonts w:ascii="宋体" w:hAnsi="宋体" w:cs="宋体"/>
          <w:sz w:val="28"/>
          <w:szCs w:val="28"/>
        </w:rPr>
      </w:pPr>
      <w:r>
        <w:rPr>
          <w:rStyle w:val="27"/>
          <w:rFonts w:hint="eastAsia" w:ascii="宋体" w:hAnsi="宋体" w:cs="宋体"/>
          <w:kern w:val="44"/>
          <w:sz w:val="28"/>
          <w:szCs w:val="28"/>
        </w:rPr>
        <w:t>监狱、戒毒企业声明函</w:t>
      </w:r>
      <w:r>
        <w:rPr>
          <w:rStyle w:val="27"/>
          <w:rFonts w:hint="eastAsia" w:ascii="宋体" w:hAnsi="宋体" w:cs="宋体"/>
          <w:sz w:val="28"/>
          <w:szCs w:val="28"/>
        </w:rPr>
        <w:t>(格式)</w:t>
      </w:r>
    </w:p>
    <w:p w14:paraId="4A1B5734">
      <w:pPr>
        <w:rPr>
          <w:rFonts w:ascii="宋体" w:hAnsi="宋体" w:cs="宋体"/>
        </w:rPr>
      </w:pPr>
    </w:p>
    <w:p w14:paraId="0783E653">
      <w:pPr>
        <w:spacing w:line="360" w:lineRule="auto"/>
        <w:ind w:firstLine="420" w:firstLineChars="200"/>
        <w:rPr>
          <w:rFonts w:ascii="宋体" w:hAnsi="宋体" w:cs="宋体"/>
        </w:rPr>
      </w:pPr>
      <w:r>
        <w:rPr>
          <w:rFonts w:hint="eastAsia" w:ascii="宋体" w:hAnsi="宋体" w:cs="宋体"/>
        </w:rPr>
        <w:t>本单位郑重声明，根据《关于政府采购支持监狱企业发展有关问题的通知》（财库（2014）68号）的规定，本单位为符合条件的监狱企业，且本单位参加</w:t>
      </w:r>
      <w:r>
        <w:rPr>
          <w:rFonts w:hint="eastAsia" w:ascii="宋体" w:hAnsi="宋体" w:cs="宋体"/>
          <w:u w:val="single"/>
        </w:rPr>
        <w:tab/>
      </w:r>
      <w:r>
        <w:rPr>
          <w:rFonts w:hint="eastAsia" w:ascii="宋体" w:hAnsi="宋体" w:cs="宋体"/>
          <w:u w:val="single"/>
        </w:rPr>
        <w:t xml:space="preserve">（采购项目名称）（合同包   ）   </w:t>
      </w:r>
      <w:r>
        <w:rPr>
          <w:rFonts w:hint="eastAsia" w:ascii="宋体" w:hAnsi="宋体" w:cs="宋体"/>
        </w:rPr>
        <w:t>采购活动提供本单位制造的货物（由本单位承担工程/提供服务），或者提供其他监狱企业制造的货物（不包括使用非监狱企业注册商标的货物）。</w:t>
      </w:r>
    </w:p>
    <w:p w14:paraId="52E636F9">
      <w:pPr>
        <w:spacing w:line="360" w:lineRule="auto"/>
        <w:ind w:firstLine="420" w:firstLineChars="200"/>
        <w:rPr>
          <w:rFonts w:ascii="宋体" w:hAnsi="宋体" w:cs="宋体"/>
        </w:rPr>
      </w:pPr>
      <w:r>
        <w:rPr>
          <w:rFonts w:hint="eastAsia" w:ascii="宋体" w:hAnsi="宋体" w:cs="宋体"/>
        </w:rPr>
        <w:t>本单位对上述声明的真实性负责。如有虚假，将依法承担相应责任。</w:t>
      </w:r>
    </w:p>
    <w:p w14:paraId="7F8FFF91">
      <w:pPr>
        <w:snapToGrid w:val="0"/>
        <w:spacing w:line="360" w:lineRule="auto"/>
        <w:ind w:firstLine="444" w:firstLineChars="200"/>
        <w:textAlignment w:val="baseline"/>
        <w:rPr>
          <w:rStyle w:val="27"/>
          <w:rFonts w:ascii="宋体" w:hAnsi="宋体" w:cs="宋体"/>
          <w:spacing w:val="6"/>
        </w:rPr>
      </w:pPr>
    </w:p>
    <w:p w14:paraId="029F5FB5">
      <w:pPr>
        <w:snapToGrid w:val="0"/>
        <w:spacing w:line="360" w:lineRule="auto"/>
        <w:ind w:firstLine="444" w:firstLineChars="200"/>
        <w:textAlignment w:val="baseline"/>
        <w:rPr>
          <w:rStyle w:val="27"/>
          <w:rFonts w:ascii="宋体" w:hAnsi="宋体" w:cs="宋体"/>
          <w:spacing w:val="6"/>
        </w:rPr>
      </w:pPr>
    </w:p>
    <w:p w14:paraId="3189883D">
      <w:pPr>
        <w:snapToGrid w:val="0"/>
        <w:spacing w:line="360" w:lineRule="auto"/>
        <w:ind w:firstLine="444" w:firstLineChars="200"/>
        <w:textAlignment w:val="baseline"/>
        <w:rPr>
          <w:rStyle w:val="27"/>
          <w:rFonts w:ascii="宋体" w:hAnsi="宋体" w:cs="宋体"/>
        </w:rPr>
      </w:pPr>
      <w:r>
        <w:rPr>
          <w:rStyle w:val="27"/>
          <w:rFonts w:hint="eastAsia" w:ascii="宋体" w:hAnsi="宋体" w:cs="宋体"/>
          <w:spacing w:val="6"/>
        </w:rPr>
        <w:t xml:space="preserve">                   </w:t>
      </w:r>
      <w:r>
        <w:rPr>
          <w:rStyle w:val="27"/>
          <w:rFonts w:hint="eastAsia" w:ascii="宋体" w:hAnsi="宋体" w:cs="宋体"/>
        </w:rPr>
        <w:t>供应商名称：</w:t>
      </w:r>
      <w:r>
        <w:rPr>
          <w:rStyle w:val="27"/>
          <w:rFonts w:hint="eastAsia" w:ascii="宋体" w:hAnsi="宋体" w:cs="宋体"/>
          <w:u w:val="single" w:color="000000"/>
        </w:rPr>
        <w:t xml:space="preserve">                  </w:t>
      </w:r>
      <w:r>
        <w:rPr>
          <w:rStyle w:val="27"/>
          <w:rFonts w:hint="eastAsia" w:ascii="宋体" w:hAnsi="宋体" w:cs="宋体"/>
        </w:rPr>
        <w:t>（全称并加盖公章）</w:t>
      </w:r>
    </w:p>
    <w:p w14:paraId="3BF882BE">
      <w:pPr>
        <w:snapToGrid w:val="0"/>
        <w:spacing w:line="360" w:lineRule="auto"/>
        <w:ind w:firstLine="2730" w:firstLineChars="1300"/>
        <w:textAlignment w:val="baseline"/>
        <w:rPr>
          <w:rStyle w:val="27"/>
          <w:rFonts w:ascii="宋体" w:hAnsi="宋体" w:cs="宋体"/>
        </w:rPr>
      </w:pPr>
      <w:r>
        <w:rPr>
          <w:rStyle w:val="27"/>
          <w:rFonts w:hint="eastAsia" w:ascii="宋体" w:hAnsi="宋体" w:cs="宋体"/>
        </w:rPr>
        <w:t>日     期：</w:t>
      </w:r>
      <w:r>
        <w:rPr>
          <w:rStyle w:val="27"/>
          <w:rFonts w:hint="eastAsia" w:ascii="宋体" w:hAnsi="宋体" w:cs="宋体"/>
          <w:u w:val="single" w:color="000000"/>
        </w:rPr>
        <w:tab/>
      </w:r>
      <w:r>
        <w:rPr>
          <w:rStyle w:val="27"/>
          <w:rFonts w:hint="eastAsia" w:ascii="宋体" w:hAnsi="宋体" w:cs="宋体"/>
          <w:u w:val="single" w:color="000000"/>
        </w:rPr>
        <w:tab/>
      </w:r>
      <w:r>
        <w:rPr>
          <w:rStyle w:val="27"/>
          <w:rFonts w:hint="eastAsia" w:ascii="宋体" w:hAnsi="宋体" w:cs="宋体"/>
          <w:u w:val="single" w:color="000000"/>
        </w:rPr>
        <w:t xml:space="preserve">           </w:t>
      </w:r>
      <w:r>
        <w:rPr>
          <w:rStyle w:val="27"/>
          <w:rFonts w:hint="eastAsia" w:ascii="宋体" w:hAnsi="宋体" w:cs="宋体"/>
          <w:u w:val="single" w:color="000000"/>
        </w:rPr>
        <w:tab/>
      </w:r>
      <w:r>
        <w:rPr>
          <w:rStyle w:val="27"/>
          <w:rFonts w:hint="eastAsia" w:ascii="宋体" w:hAnsi="宋体" w:cs="宋体"/>
        </w:rPr>
        <w:t xml:space="preserve">          </w:t>
      </w:r>
    </w:p>
    <w:p w14:paraId="135593B1">
      <w:pPr>
        <w:snapToGrid w:val="0"/>
        <w:spacing w:line="360" w:lineRule="auto"/>
        <w:ind w:firstLine="480"/>
        <w:textAlignment w:val="baseline"/>
        <w:rPr>
          <w:rStyle w:val="27"/>
          <w:rFonts w:ascii="宋体" w:hAnsi="宋体" w:cs="宋体"/>
        </w:rPr>
      </w:pPr>
    </w:p>
    <w:p w14:paraId="04368446">
      <w:pPr>
        <w:snapToGrid w:val="0"/>
        <w:spacing w:line="400" w:lineRule="exact"/>
        <w:ind w:firstLine="480"/>
        <w:textAlignment w:val="baseline"/>
        <w:rPr>
          <w:rStyle w:val="27"/>
          <w:rFonts w:ascii="宋体" w:hAnsi="宋体" w:cs="宋体"/>
          <w:sz w:val="22"/>
          <w:szCs w:val="22"/>
        </w:rPr>
      </w:pPr>
      <w:r>
        <w:rPr>
          <w:rStyle w:val="27"/>
          <w:rFonts w:hint="eastAsia" w:ascii="宋体" w:hAnsi="宋体" w:cs="宋体"/>
          <w:sz w:val="22"/>
          <w:szCs w:val="22"/>
        </w:rPr>
        <w:t>备注：</w:t>
      </w:r>
    </w:p>
    <w:p w14:paraId="0DA54C89">
      <w:pPr>
        <w:snapToGrid w:val="0"/>
        <w:spacing w:line="400" w:lineRule="exact"/>
        <w:ind w:firstLine="440" w:firstLineChars="200"/>
        <w:textAlignment w:val="baseline"/>
        <w:rPr>
          <w:rStyle w:val="27"/>
          <w:rFonts w:ascii="宋体" w:hAnsi="宋体" w:cs="宋体"/>
          <w:sz w:val="22"/>
          <w:szCs w:val="22"/>
        </w:rPr>
      </w:pPr>
      <w:r>
        <w:rPr>
          <w:rStyle w:val="27"/>
          <w:rFonts w:hint="eastAsia" w:ascii="宋体" w:hAnsi="宋体" w:cs="宋体"/>
          <w:sz w:val="22"/>
          <w:szCs w:val="22"/>
        </w:rPr>
        <w:t>1、未按上述要求提供、填写的，评审时不予以考虑。</w:t>
      </w:r>
    </w:p>
    <w:p w14:paraId="50E2645C">
      <w:pPr>
        <w:snapToGrid w:val="0"/>
        <w:spacing w:line="400" w:lineRule="exact"/>
        <w:ind w:firstLine="440" w:firstLineChars="200"/>
        <w:textAlignment w:val="baseline"/>
        <w:rPr>
          <w:rStyle w:val="27"/>
          <w:rFonts w:ascii="宋体" w:hAnsi="宋体" w:cs="宋体"/>
          <w:sz w:val="22"/>
          <w:szCs w:val="22"/>
        </w:rPr>
      </w:pPr>
      <w:r>
        <w:rPr>
          <w:rStyle w:val="27"/>
          <w:rFonts w:hint="eastAsia" w:ascii="宋体" w:hAnsi="宋体" w:cs="宋体"/>
          <w:sz w:val="22"/>
          <w:szCs w:val="22"/>
        </w:rPr>
        <w:t>2、监狱企业参加政府采购活动时，应当提供由省级以上监狱管理局、戒毒管理局 (含新疆生产建设兵团) 出具的属于监狱企业的证明文件。</w:t>
      </w:r>
    </w:p>
    <w:p w14:paraId="29DFA23A">
      <w:pPr>
        <w:snapToGrid w:val="0"/>
        <w:spacing w:line="400" w:lineRule="exact"/>
        <w:ind w:firstLine="440" w:firstLineChars="200"/>
        <w:textAlignment w:val="baseline"/>
        <w:rPr>
          <w:rStyle w:val="27"/>
          <w:rFonts w:ascii="宋体" w:hAnsi="宋体" w:cs="宋体"/>
          <w:sz w:val="22"/>
          <w:szCs w:val="22"/>
        </w:rPr>
      </w:pPr>
      <w:r>
        <w:rPr>
          <w:rStyle w:val="27"/>
          <w:rFonts w:hint="eastAsia" w:ascii="宋体" w:hAnsi="宋体" w:cs="宋体"/>
          <w:sz w:val="22"/>
          <w:szCs w:val="22"/>
        </w:rPr>
        <w:t>3、根据财政部、司法部《关于政府采购支持监狱企业发展有关问题的通知》(财库〔2014〕68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的规定，监狱企业是指由司法部认定的为罪犯、戒毒人员提供生产项目和劳动对象，且全部产权属于司法部监狱管理局、戒毒管理局、直属煤矿管理局，各省、自治区、直辖市监狱管理局、戒毒 管理局，各地 (设区的市) 监狱、强制隔离戒毒所、戒毒康复所，以及新 疆生产建设兵团监狱管理局、戒毒管理局的企业。</w:t>
      </w:r>
    </w:p>
    <w:p w14:paraId="435A21E3"/>
    <w:p w14:paraId="2A5B91AF"/>
    <w:p w14:paraId="44CB9264"/>
    <w:p w14:paraId="275E51AA">
      <w:bookmarkStart w:id="256" w:name="_GoBack"/>
      <w:bookmarkEnd w:id="256"/>
    </w:p>
    <w:sectPr>
      <w:footerReference r:id="rId27" w:type="first"/>
      <w:headerReference r:id="rId25" w:type="default"/>
      <w:footerReference r:id="rId26" w:type="default"/>
      <w:pgSz w:w="11906" w:h="16838"/>
      <w:pgMar w:top="1361" w:right="1361" w:bottom="1247" w:left="1418"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4682B">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828F36">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2B828F36">
                    <w:pPr>
                      <w:pStyle w:val="17"/>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DF3F4">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31AB1">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68C94C5">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14:paraId="168C94C5">
                    <w:pPr>
                      <w:pStyle w:val="17"/>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72FCA">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8DA465">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8DA465">
                    <w:pPr>
                      <w:pStyle w:val="1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C3461">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BEDFEF">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9BEDFEF">
                    <w:pPr>
                      <w:pStyle w:val="1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B99992">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lHcD8IBAACN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CJR3A/CAQAAjQMAAA4AAAAAAAAAAQAgAAAAHgEAAGRycy9lMm9Eb2MueG1sUEsF&#10;BgAAAAAGAAYAWQEAAFIFAAAAAA==&#10;">
              <v:fill on="f" focussize="0,0"/>
              <v:stroke on="f"/>
              <v:imagedata o:title=""/>
              <o:lock v:ext="edit" aspectratio="f"/>
              <v:textbox inset="0mm,0mm,0mm,0mm" style="mso-fit-shape-to-text:t;">
                <w:txbxContent>
                  <w:p w14:paraId="1EB99992">
                    <w:pPr>
                      <w:pStyle w:val="17"/>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FBFED">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B37350">
                          <w:pPr>
                            <w:pStyle w:val="17"/>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B37350">
                    <w:pPr>
                      <w:pStyle w:val="17"/>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51BC6">
    <w:pPr>
      <w:pStyle w:val="17"/>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58AF2">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0458AF2">
                    <w:pPr>
                      <w:pStyle w:val="17"/>
                    </w:pPr>
                    <w:r>
                      <w:fldChar w:fldCharType="begin"/>
                    </w:r>
                    <w:r>
                      <w:instrText xml:space="preserve"> PAGE  \* MERGEFORMAT </w:instrText>
                    </w:r>
                    <w:r>
                      <w:fldChar w:fldCharType="separate"/>
                    </w:r>
                    <w:r>
                      <w:t>3</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69B745">
                          <w:pPr>
                            <w:pStyle w:val="17"/>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269B745">
                    <w:pPr>
                      <w:pStyle w:val="17"/>
                      <w:rPr>
                        <w:rFonts w:hint="eastAsia" w:eastAsia="宋体"/>
                        <w:lang w:eastAsia="zh-CN"/>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0C46E">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245100" cy="49657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245100" cy="496570"/>
                      </a:xfrm>
                      <a:prstGeom prst="rect">
                        <a:avLst/>
                      </a:prstGeom>
                      <a:noFill/>
                      <a:ln w="6350">
                        <a:noFill/>
                      </a:ln>
                    </wps:spPr>
                    <wps:txbx>
                      <w:txbxContent>
                        <w:p w14:paraId="64F2766D">
                          <w:pPr>
                            <w:pStyle w:val="17"/>
                            <w:jc w:val="center"/>
                            <w:rPr>
                              <w:b/>
                              <w:bCs/>
                            </w:rPr>
                          </w:pPr>
                          <w:r>
                            <w:rPr>
                              <w:b/>
                              <w:bCs/>
                            </w:rPr>
                            <w:t xml:space="preserve">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w:t>
                          </w:r>
                        </w:p>
                      </w:txbxContent>
                    </wps:txbx>
                    <wps:bodyPr lIns="0" tIns="0" rIns="0" bIns="0" upright="0"/>
                  </wps:wsp>
                </a:graphicData>
              </a:graphic>
            </wp:anchor>
          </w:drawing>
        </mc:Choice>
        <mc:Fallback>
          <w:pict>
            <v:shape id="_x0000_s1026" o:spid="_x0000_s1026" o:spt="202" type="#_x0000_t202" style="position:absolute;left:0pt;margin-top:0pt;height:39.1pt;width:413pt;mso-position-horizontal:center;mso-position-horizontal-relative:margin;z-index:251663360;mso-width-relative:page;mso-height-relative:page;" filled="f" stroked="f" coordsize="21600,21600" o:gfxdata="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p1YId0wAAAAQBAAAPAAAAAAAAAAEAIAAAACIAAABkcnMvZG93bnJldi54bWxQ&#10;SwECFAAUAAAACACHTuJAXKFXPcMBAAB7AwAADgAAAAAAAAABACAAAAAiAQAAZHJzL2Uyb0RvYy54&#10;bWxQSwUGAAAAAAYABgBZAQAAVwUAAAAA&#10;">
              <v:fill on="f" focussize="0,0"/>
              <v:stroke on="f" weight="0.5pt"/>
              <v:imagedata o:title=""/>
              <o:lock v:ext="edit" aspectratio="f"/>
              <v:textbox inset="0mm,0mm,0mm,0mm">
                <w:txbxContent>
                  <w:p w14:paraId="64F2766D">
                    <w:pPr>
                      <w:pStyle w:val="17"/>
                      <w:jc w:val="center"/>
                      <w:rPr>
                        <w:b/>
                        <w:bCs/>
                      </w:rPr>
                    </w:pPr>
                    <w:r>
                      <w:rPr>
                        <w:b/>
                        <w:bCs/>
                      </w:rPr>
                      <w:t xml:space="preserve">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BC0E6">
    <w:pPr>
      <w:pStyle w:val="17"/>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36ACB31">
                          <w:pPr>
                            <w:pStyle w:val="17"/>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vl6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Envl685AgAAcQQAAA4AAAAAAAAAAQAgAAAAHwEAAGRycy9lMm9Eb2Mu&#10;eG1sUEsFBgAAAAAGAAYAWQEAAMoFAAAAAA==&#10;">
              <v:fill on="f" focussize="0,0"/>
              <v:stroke on="f" weight="0.5pt"/>
              <v:imagedata o:title=""/>
              <o:lock v:ext="edit" aspectratio="f"/>
              <v:textbox inset="0mm,0mm,0mm,0mm" style="mso-fit-shape-to-text:t;">
                <w:txbxContent>
                  <w:p w14:paraId="436ACB31">
                    <w:pPr>
                      <w:pStyle w:val="17"/>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p w14:paraId="21C6D48D">
    <w:pPr>
      <w:pStyle w:val="17"/>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70AEE">
    <w:pPr>
      <w:jc w:val="cente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84850" cy="591185"/>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84850" cy="591185"/>
                      </a:xfrm>
                      <a:prstGeom prst="rect">
                        <a:avLst/>
                      </a:prstGeom>
                      <a:noFill/>
                      <a:ln w="6350">
                        <a:noFill/>
                      </a:ln>
                    </wps:spPr>
                    <wps:txbx>
                      <w:txbxContent>
                        <w:p w14:paraId="2118D21C">
                          <w:pPr>
                            <w:pStyle w:val="17"/>
                            <w:jc w:val="center"/>
                            <w:rPr>
                              <w:rFonts w:hint="eastAsia" w:ascii="宋体" w:hAnsi="宋体" w:eastAsia="宋体" w:cs="宋体"/>
                              <w:b w:val="0"/>
                              <w:bCs w:val="0"/>
                            </w:rPr>
                          </w:pPr>
                          <w:r>
                            <w:rPr>
                              <w:rFonts w:hint="eastAsia" w:ascii="宋体" w:hAnsi="宋体" w:eastAsia="宋体" w:cs="宋体"/>
                              <w:b w:val="0"/>
                              <w:bCs w:val="0"/>
                            </w:rPr>
                            <w:t xml:space="preserve"> </w:t>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  \* MERGEFORMAT </w:instrText>
                          </w:r>
                          <w:r>
                            <w:rPr>
                              <w:rFonts w:hint="eastAsia" w:ascii="宋体" w:hAnsi="宋体" w:eastAsia="宋体" w:cs="宋体"/>
                              <w:b w:val="0"/>
                              <w:bCs w:val="0"/>
                            </w:rPr>
                            <w:fldChar w:fldCharType="separate"/>
                          </w:r>
                          <w:r>
                            <w:rPr>
                              <w:rFonts w:hint="eastAsia" w:ascii="宋体" w:hAnsi="宋体" w:eastAsia="宋体" w:cs="宋体"/>
                              <w:b w:val="0"/>
                              <w:bCs w:val="0"/>
                            </w:rPr>
                            <w:t>3</w:t>
                          </w:r>
                          <w:r>
                            <w:rPr>
                              <w:rFonts w:hint="eastAsia" w:ascii="宋体" w:hAnsi="宋体" w:eastAsia="宋体" w:cs="宋体"/>
                              <w:b w:val="0"/>
                              <w:bCs w:val="0"/>
                            </w:rPr>
                            <w:fldChar w:fldCharType="end"/>
                          </w:r>
                          <w:r>
                            <w:rPr>
                              <w:rFonts w:hint="eastAsia" w:ascii="宋体" w:hAnsi="宋体" w:eastAsia="宋体" w:cs="宋体"/>
                              <w:b w:val="0"/>
                              <w:bCs w:val="0"/>
                            </w:rPr>
                            <w:t xml:space="preserve"> </w:t>
                          </w:r>
                        </w:p>
                      </w:txbxContent>
                    </wps:txbx>
                    <wps:bodyPr lIns="0" tIns="0" rIns="0" bIns="0" upright="0"/>
                  </wps:wsp>
                </a:graphicData>
              </a:graphic>
            </wp:anchor>
          </w:drawing>
        </mc:Choice>
        <mc:Fallback>
          <w:pict>
            <v:shape id="_x0000_s1026" o:spid="_x0000_s1026" o:spt="202" type="#_x0000_t202" style="position:absolute;left:0pt;margin-top:0pt;height:46.55pt;width:455.5pt;mso-position-horizontal:center;mso-position-horizontal-relative:margin;z-index:251662336;mso-width-relative:page;mso-height-relative:page;" filled="f" stroked="f" coordsize="21600,21600" o:gfxdata="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CMLRAAAABAEAAA8AAAAAAAAAAQAgAAAAIgAAAGRycy9kb3ducmV2LnhtbFBLAQIU&#10;ABQAAAAIAIdO4kCV7QuvwQEAAHsDAAAOAAAAAAAAAAEAIAAAACABAABkcnMvZTJvRG9jLnhtbFBL&#10;BQYAAAAABgAGAFkBAABTBQAAAAA=&#10;">
              <v:fill on="f" focussize="0,0"/>
              <v:stroke on="f" weight="0.5pt"/>
              <v:imagedata o:title=""/>
              <o:lock v:ext="edit" aspectratio="f"/>
              <v:textbox inset="0mm,0mm,0mm,0mm">
                <w:txbxContent>
                  <w:p w14:paraId="2118D21C">
                    <w:pPr>
                      <w:pStyle w:val="17"/>
                      <w:jc w:val="center"/>
                      <w:rPr>
                        <w:rFonts w:hint="eastAsia" w:ascii="宋体" w:hAnsi="宋体" w:eastAsia="宋体" w:cs="宋体"/>
                        <w:b w:val="0"/>
                        <w:bCs w:val="0"/>
                      </w:rPr>
                    </w:pPr>
                    <w:r>
                      <w:rPr>
                        <w:rFonts w:hint="eastAsia" w:ascii="宋体" w:hAnsi="宋体" w:eastAsia="宋体" w:cs="宋体"/>
                        <w:b w:val="0"/>
                        <w:bCs w:val="0"/>
                      </w:rPr>
                      <w:t xml:space="preserve"> </w:t>
                    </w:r>
                    <w:r>
                      <w:rPr>
                        <w:rFonts w:hint="eastAsia" w:ascii="宋体" w:hAnsi="宋体" w:eastAsia="宋体" w:cs="宋体"/>
                        <w:b w:val="0"/>
                        <w:bCs w:val="0"/>
                      </w:rPr>
                      <w:fldChar w:fldCharType="begin"/>
                    </w:r>
                    <w:r>
                      <w:rPr>
                        <w:rFonts w:hint="eastAsia" w:ascii="宋体" w:hAnsi="宋体" w:eastAsia="宋体" w:cs="宋体"/>
                        <w:b w:val="0"/>
                        <w:bCs w:val="0"/>
                      </w:rPr>
                      <w:instrText xml:space="preserve"> PAGE  \* MERGEFORMAT </w:instrText>
                    </w:r>
                    <w:r>
                      <w:rPr>
                        <w:rFonts w:hint="eastAsia" w:ascii="宋体" w:hAnsi="宋体" w:eastAsia="宋体" w:cs="宋体"/>
                        <w:b w:val="0"/>
                        <w:bCs w:val="0"/>
                      </w:rPr>
                      <w:fldChar w:fldCharType="separate"/>
                    </w:r>
                    <w:r>
                      <w:rPr>
                        <w:rFonts w:hint="eastAsia" w:ascii="宋体" w:hAnsi="宋体" w:eastAsia="宋体" w:cs="宋体"/>
                        <w:b w:val="0"/>
                        <w:bCs w:val="0"/>
                      </w:rPr>
                      <w:t>3</w:t>
                    </w:r>
                    <w:r>
                      <w:rPr>
                        <w:rFonts w:hint="eastAsia" w:ascii="宋体" w:hAnsi="宋体" w:eastAsia="宋体" w:cs="宋体"/>
                        <w:b w:val="0"/>
                        <w:bCs w:val="0"/>
                      </w:rPr>
                      <w:fldChar w:fldCharType="end"/>
                    </w:r>
                    <w:r>
                      <w:rPr>
                        <w:rFonts w:hint="eastAsia" w:ascii="宋体" w:hAnsi="宋体" w:eastAsia="宋体" w:cs="宋体"/>
                        <w:b w:val="0"/>
                        <w:bCs w:val="0"/>
                      </w:rP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3586C">
    <w:pPr>
      <w:pStyle w:val="17"/>
      <w:rPr>
        <w:rFonts w:ascii="黑体" w:hAnsi="黑体" w:eastAsia="黑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0EF3A0">
                          <w:pPr>
                            <w:pStyle w:val="1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D0EF3A0">
                    <w:pPr>
                      <w:pStyle w:val="1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E29A6">
    <w:pPr>
      <w:pStyle w:val="17"/>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5B74D2">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C5B74D2">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05F8C">
    <w:pPr>
      <w:pStyle w:val="17"/>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BD015">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224BD015">
                    <w:pPr>
                      <w:pStyle w:val="1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E0E49">
    <w:pPr>
      <w:kinsoku w:val="0"/>
      <w:overflowPunct w:val="0"/>
      <w:spacing w:line="200" w:lineRule="exact"/>
      <w:jc w:val="center"/>
      <w:rPr>
        <w:sz w:val="20"/>
      </w:rPr>
    </w:pPr>
    <w:r>
      <w:rPr>
        <w:sz w:val="20"/>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1B8B1">
                          <w:pPr>
                            <w:pStyle w:val="1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C91B8B1">
                    <w:pPr>
                      <w:pStyle w:val="1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2D57B">
    <w:pPr>
      <w:kinsoku w:val="0"/>
      <w:overflowPunct w:val="0"/>
      <w:spacing w:line="200" w:lineRule="exact"/>
      <w:rPr>
        <w:sz w:val="20"/>
      </w:rPr>
    </w:pPr>
    <w:r>
      <w:rPr>
        <w:sz w:val="20"/>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EE34D">
                          <w:pPr>
                            <w:pStyle w:val="17"/>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E7EE34D">
                    <w:pPr>
                      <w:pStyle w:val="17"/>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96E6">
    <w:pPr>
      <w:kinsoku w:val="0"/>
      <w:overflowPunct w:val="0"/>
      <w:spacing w:line="200" w:lineRule="exact"/>
      <w:jc w:val="center"/>
      <w:rPr>
        <w:sz w:val="20"/>
      </w:rPr>
    </w:pPr>
    <w:r>
      <w:rPr>
        <w:sz w:val="20"/>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F22D68">
                          <w:pPr>
                            <w:pStyle w:val="1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6F22D68">
                    <w:pPr>
                      <w:pStyle w:val="1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9D4C8">
    <w:pPr>
      <w:kinsoku w:val="0"/>
      <w:overflowPunct w:val="0"/>
      <w:spacing w:line="200" w:lineRule="exact"/>
      <w:jc w:val="center"/>
      <w:rPr>
        <w:sz w:val="20"/>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74A57">
    <w:pPr>
      <w:pStyle w:val="17"/>
      <w:jc w:val="center"/>
      <w:rPr>
        <w:rFonts w:hint="default" w:eastAsia="宋体"/>
        <w:lang w:val="en-US" w:eastAsia="zh-CN"/>
      </w:rPr>
    </w:pPr>
    <w:r>
      <w:rPr>
        <w:rFonts w:hint="eastAsia"/>
        <w:lang w:val="en-US" w:eastAsia="zh-CN"/>
      </w:rPr>
      <w:t>98</w:t>
    </w:r>
  </w:p>
  <w:p w14:paraId="6540A68D">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982F8">
    <w:pPr>
      <w:pStyle w:val="18"/>
      <w:pBdr>
        <w:bottom w:val="none" w:color="auto" w:sz="0" w:space="0"/>
      </w:pBdr>
      <w:tabs>
        <w:tab w:val="left" w:pos="4200"/>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9E3EF">
    <w:pPr>
      <w:pStyle w:val="18"/>
      <w:pBdr>
        <w:bottom w:val="none" w:color="auto" w:sz="0" w:space="0"/>
      </w:pBdr>
      <w:jc w:val="both"/>
      <w:rPr>
        <w:u w:val="single"/>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4CEA2B">
    <w:pPr>
      <w:spacing w:line="360" w:lineRule="auto"/>
      <w:jc w:val="left"/>
      <w:rPr>
        <w:rFonts w:ascii="宋体" w:hAnsi="宋体" w:cs="宋体"/>
        <w:bCs/>
        <w:i/>
        <w:iCs/>
        <w:kern w:val="0"/>
        <w:szCs w:val="21"/>
      </w:rPr>
    </w:pPr>
  </w:p>
  <w:p w14:paraId="48821CD8">
    <w:pPr>
      <w:spacing w:line="360" w:lineRule="auto"/>
      <w:jc w:val="left"/>
      <w:rPr>
        <w:rFonts w:ascii="宋体" w:hAnsi="宋体" w:cs="宋体"/>
        <w:bCs/>
        <w:i/>
        <w:iCs/>
        <w:kern w:val="0"/>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281C6">
    <w:pPr>
      <w:pStyle w:val="1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D5070">
    <w:pPr>
      <w:pStyle w:val="18"/>
      <w:pBdr>
        <w:bottom w:val="none" w:color="auto" w:sz="0" w:space="1"/>
      </w:pBdr>
      <w:spacing w:line="240" w:lineRule="auto"/>
      <w:ind w:left="1440" w:hanging="1440" w:hangingChars="800"/>
      <w:jc w:val="left"/>
      <w:rPr>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8A110">
    <w:pPr>
      <w:pStyle w:val="18"/>
      <w:pBdr>
        <w:bottom w:val="none" w:color="auto" w:sz="0" w:space="1"/>
      </w:pBdr>
      <w:rPr>
        <w:rFonts w:ascii="仿宋" w:hAnsi="仿宋" w:eastAsia="仿宋" w:cs="仿宋"/>
        <w:i/>
        <w:iCs/>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CB7AD">
    <w:pPr>
      <w:pStyle w:val="18"/>
      <w:pBdr>
        <w:bottom w:val="none" w:color="auto" w:sz="0" w:space="1"/>
      </w:pBdr>
      <w:jc w:val="left"/>
      <w:rPr>
        <w:rFonts w:ascii="宋体" w:hAnsi="宋体"/>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0D4D1F"/>
    <w:multiLevelType w:val="singleLevel"/>
    <w:tmpl w:val="830D4D1F"/>
    <w:lvl w:ilvl="0" w:tentative="0">
      <w:start w:val="4"/>
      <w:numFmt w:val="chineseCounting"/>
      <w:suff w:val="space"/>
      <w:lvlText w:val="第%1章"/>
      <w:lvlJc w:val="left"/>
      <w:rPr>
        <w:rFonts w:hint="eastAsia"/>
      </w:rPr>
    </w:lvl>
  </w:abstractNum>
  <w:abstractNum w:abstractNumId="1">
    <w:nsid w:val="FFB059FF"/>
    <w:multiLevelType w:val="singleLevel"/>
    <w:tmpl w:val="FFB059FF"/>
    <w:lvl w:ilvl="0" w:tentative="0">
      <w:start w:val="3"/>
      <w:numFmt w:val="decimal"/>
      <w:suff w:val="nothing"/>
      <w:lvlText w:val="（%1）"/>
      <w:lvlJc w:val="left"/>
    </w:lvl>
  </w:abstractNum>
  <w:abstractNum w:abstractNumId="2">
    <w:nsid w:val="1E54DDAC"/>
    <w:multiLevelType w:val="singleLevel"/>
    <w:tmpl w:val="1E54DDAC"/>
    <w:lvl w:ilvl="0" w:tentative="0">
      <w:start w:val="3"/>
      <w:numFmt w:val="chineseCounting"/>
      <w:suff w:val="space"/>
      <w:lvlText w:val="第%1部分"/>
      <w:lvlJc w:val="left"/>
      <w:rPr>
        <w:rFonts w:hint="eastAsia"/>
      </w:rPr>
    </w:lvl>
  </w:abstractNum>
  <w:abstractNum w:abstractNumId="3">
    <w:nsid w:val="4974F0BC"/>
    <w:multiLevelType w:val="singleLevel"/>
    <w:tmpl w:val="4974F0BC"/>
    <w:lvl w:ilvl="0" w:tentative="0">
      <w:start w:val="5"/>
      <w:numFmt w:val="chineseCounting"/>
      <w:suff w:val="space"/>
      <w:lvlText w:val="第%1部分"/>
      <w:lvlJc w:val="left"/>
      <w:rPr>
        <w:rFonts w:hint="eastAsia"/>
      </w:rPr>
    </w:lvl>
  </w:abstractNum>
  <w:abstractNum w:abstractNumId="4">
    <w:nsid w:val="599D1B11"/>
    <w:multiLevelType w:val="singleLevel"/>
    <w:tmpl w:val="599D1B11"/>
    <w:lvl w:ilvl="0" w:tentative="0">
      <w:start w:val="1"/>
      <w:numFmt w:val="decimal"/>
      <w:suff w:val="nothing"/>
      <w:lvlText w:val="%1、"/>
      <w:lvlJc w:val="left"/>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D39D4"/>
    <w:rsid w:val="004215FB"/>
    <w:rsid w:val="00506EB8"/>
    <w:rsid w:val="006171F8"/>
    <w:rsid w:val="008579E0"/>
    <w:rsid w:val="009F119A"/>
    <w:rsid w:val="00C91861"/>
    <w:rsid w:val="01761E20"/>
    <w:rsid w:val="01B0161D"/>
    <w:rsid w:val="028440C8"/>
    <w:rsid w:val="0295546A"/>
    <w:rsid w:val="03217B69"/>
    <w:rsid w:val="033C2BF5"/>
    <w:rsid w:val="036C6080"/>
    <w:rsid w:val="04C52FB0"/>
    <w:rsid w:val="04F217BD"/>
    <w:rsid w:val="050958D2"/>
    <w:rsid w:val="065E2E82"/>
    <w:rsid w:val="078F29A3"/>
    <w:rsid w:val="07936FD7"/>
    <w:rsid w:val="07A16AD8"/>
    <w:rsid w:val="08644791"/>
    <w:rsid w:val="08A41020"/>
    <w:rsid w:val="08AF4DDC"/>
    <w:rsid w:val="091C4DD6"/>
    <w:rsid w:val="0AE03CFF"/>
    <w:rsid w:val="0AE71698"/>
    <w:rsid w:val="0BA94BA0"/>
    <w:rsid w:val="0C0369A6"/>
    <w:rsid w:val="0C083ED4"/>
    <w:rsid w:val="0CE7741F"/>
    <w:rsid w:val="0D096A26"/>
    <w:rsid w:val="0DAD2EA4"/>
    <w:rsid w:val="0EC87A33"/>
    <w:rsid w:val="10FE773C"/>
    <w:rsid w:val="113373E5"/>
    <w:rsid w:val="11B20C52"/>
    <w:rsid w:val="1292638E"/>
    <w:rsid w:val="13160D6D"/>
    <w:rsid w:val="13203999"/>
    <w:rsid w:val="14C059C6"/>
    <w:rsid w:val="14C83D9B"/>
    <w:rsid w:val="15581B10"/>
    <w:rsid w:val="156C48C7"/>
    <w:rsid w:val="17152D41"/>
    <w:rsid w:val="17231582"/>
    <w:rsid w:val="17745680"/>
    <w:rsid w:val="177E5132"/>
    <w:rsid w:val="17B172B6"/>
    <w:rsid w:val="18A706B9"/>
    <w:rsid w:val="19126975"/>
    <w:rsid w:val="19AB1D6E"/>
    <w:rsid w:val="1C124FD4"/>
    <w:rsid w:val="1C76287C"/>
    <w:rsid w:val="1CB6536F"/>
    <w:rsid w:val="1DA04055"/>
    <w:rsid w:val="1EE07C33"/>
    <w:rsid w:val="1F4F69C9"/>
    <w:rsid w:val="2027280B"/>
    <w:rsid w:val="21005ACC"/>
    <w:rsid w:val="21596D3F"/>
    <w:rsid w:val="218B6DCA"/>
    <w:rsid w:val="220628F4"/>
    <w:rsid w:val="236773C3"/>
    <w:rsid w:val="24743B45"/>
    <w:rsid w:val="24975B8A"/>
    <w:rsid w:val="24A509CC"/>
    <w:rsid w:val="254E211A"/>
    <w:rsid w:val="25D242E1"/>
    <w:rsid w:val="25DA0320"/>
    <w:rsid w:val="264F6799"/>
    <w:rsid w:val="27787DF0"/>
    <w:rsid w:val="278B7558"/>
    <w:rsid w:val="29252190"/>
    <w:rsid w:val="2ACC2D3C"/>
    <w:rsid w:val="2B404781"/>
    <w:rsid w:val="2CAD5E46"/>
    <w:rsid w:val="2CBD70F8"/>
    <w:rsid w:val="2EF064BE"/>
    <w:rsid w:val="2FAA48BF"/>
    <w:rsid w:val="30AB4D93"/>
    <w:rsid w:val="30C25BF4"/>
    <w:rsid w:val="30DC319E"/>
    <w:rsid w:val="31554CFE"/>
    <w:rsid w:val="31574FF8"/>
    <w:rsid w:val="31A83080"/>
    <w:rsid w:val="324274A1"/>
    <w:rsid w:val="32B8264A"/>
    <w:rsid w:val="33B22CAA"/>
    <w:rsid w:val="342A3EF1"/>
    <w:rsid w:val="34EC4765"/>
    <w:rsid w:val="34FD36E3"/>
    <w:rsid w:val="37633BE5"/>
    <w:rsid w:val="3795328A"/>
    <w:rsid w:val="382066EE"/>
    <w:rsid w:val="383B5E66"/>
    <w:rsid w:val="38F07664"/>
    <w:rsid w:val="38FB618B"/>
    <w:rsid w:val="3914724D"/>
    <w:rsid w:val="39D32C64"/>
    <w:rsid w:val="3A097FDE"/>
    <w:rsid w:val="3A1C460B"/>
    <w:rsid w:val="3D1B4F89"/>
    <w:rsid w:val="3D986D8C"/>
    <w:rsid w:val="3DA22762"/>
    <w:rsid w:val="3DFD4187"/>
    <w:rsid w:val="3E617193"/>
    <w:rsid w:val="3E6D3687"/>
    <w:rsid w:val="3EF95BA7"/>
    <w:rsid w:val="3F035D9A"/>
    <w:rsid w:val="40C10BF3"/>
    <w:rsid w:val="41173D7E"/>
    <w:rsid w:val="41DF2AEE"/>
    <w:rsid w:val="42004812"/>
    <w:rsid w:val="427434C5"/>
    <w:rsid w:val="43106CD7"/>
    <w:rsid w:val="435713BE"/>
    <w:rsid w:val="436D237B"/>
    <w:rsid w:val="4383394D"/>
    <w:rsid w:val="43B42617"/>
    <w:rsid w:val="44EF4B92"/>
    <w:rsid w:val="457D2748"/>
    <w:rsid w:val="471F398D"/>
    <w:rsid w:val="4781038B"/>
    <w:rsid w:val="4AEC627C"/>
    <w:rsid w:val="4B5300A9"/>
    <w:rsid w:val="4C52210E"/>
    <w:rsid w:val="4C5639AD"/>
    <w:rsid w:val="4CA46E0E"/>
    <w:rsid w:val="4CBD3A2C"/>
    <w:rsid w:val="4D001B6A"/>
    <w:rsid w:val="4D1F2BC1"/>
    <w:rsid w:val="4DB72B71"/>
    <w:rsid w:val="4E6C62E2"/>
    <w:rsid w:val="4F766114"/>
    <w:rsid w:val="50B70BCB"/>
    <w:rsid w:val="52181704"/>
    <w:rsid w:val="531C6FD2"/>
    <w:rsid w:val="54244390"/>
    <w:rsid w:val="55B305B0"/>
    <w:rsid w:val="563B3C13"/>
    <w:rsid w:val="56725887"/>
    <w:rsid w:val="57CF6D09"/>
    <w:rsid w:val="580E5A83"/>
    <w:rsid w:val="580F5357"/>
    <w:rsid w:val="592F7A5F"/>
    <w:rsid w:val="597B41A9"/>
    <w:rsid w:val="59CA7788"/>
    <w:rsid w:val="5A3F0176"/>
    <w:rsid w:val="5A517EA9"/>
    <w:rsid w:val="5DCD39D4"/>
    <w:rsid w:val="5FA171DD"/>
    <w:rsid w:val="604C539B"/>
    <w:rsid w:val="607641C6"/>
    <w:rsid w:val="61EA6C19"/>
    <w:rsid w:val="623C4F9B"/>
    <w:rsid w:val="62603F2C"/>
    <w:rsid w:val="628726BA"/>
    <w:rsid w:val="62BB5195"/>
    <w:rsid w:val="63267F3C"/>
    <w:rsid w:val="63F35B2D"/>
    <w:rsid w:val="654900FB"/>
    <w:rsid w:val="655B7E2E"/>
    <w:rsid w:val="65847385"/>
    <w:rsid w:val="659F7D1B"/>
    <w:rsid w:val="65CA2119"/>
    <w:rsid w:val="65E5430F"/>
    <w:rsid w:val="6640788D"/>
    <w:rsid w:val="66A650D9"/>
    <w:rsid w:val="671B1623"/>
    <w:rsid w:val="672A3F5C"/>
    <w:rsid w:val="696372B1"/>
    <w:rsid w:val="6A5E1D79"/>
    <w:rsid w:val="6C136D6D"/>
    <w:rsid w:val="6CC32471"/>
    <w:rsid w:val="6CD75FEC"/>
    <w:rsid w:val="6D840273"/>
    <w:rsid w:val="6E3D6323"/>
    <w:rsid w:val="6E455269"/>
    <w:rsid w:val="6E9028F6"/>
    <w:rsid w:val="6EA91C0A"/>
    <w:rsid w:val="6EDF387E"/>
    <w:rsid w:val="6FCE7B7A"/>
    <w:rsid w:val="703136BE"/>
    <w:rsid w:val="705B5186"/>
    <w:rsid w:val="718030F6"/>
    <w:rsid w:val="72077373"/>
    <w:rsid w:val="7217447C"/>
    <w:rsid w:val="72303685"/>
    <w:rsid w:val="723811AD"/>
    <w:rsid w:val="72D3082D"/>
    <w:rsid w:val="73702CF6"/>
    <w:rsid w:val="73E17B01"/>
    <w:rsid w:val="74340B60"/>
    <w:rsid w:val="74422B48"/>
    <w:rsid w:val="757E6715"/>
    <w:rsid w:val="77F263D0"/>
    <w:rsid w:val="78777642"/>
    <w:rsid w:val="78AC15F3"/>
    <w:rsid w:val="790F6B0E"/>
    <w:rsid w:val="799F67D8"/>
    <w:rsid w:val="79A217D9"/>
    <w:rsid w:val="7B05641A"/>
    <w:rsid w:val="7B865DB3"/>
    <w:rsid w:val="7BDC52EE"/>
    <w:rsid w:val="7BE75B20"/>
    <w:rsid w:val="7D5F3B8C"/>
    <w:rsid w:val="7D7618BE"/>
    <w:rsid w:val="7E260B81"/>
    <w:rsid w:val="7F5259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0"/>
    <w:pPr>
      <w:keepNext/>
      <w:keepLines/>
      <w:spacing w:before="340" w:after="330" w:line="578" w:lineRule="auto"/>
      <w:jc w:val="center"/>
      <w:outlineLvl w:val="0"/>
    </w:pPr>
    <w:rPr>
      <w:b/>
      <w:bCs/>
      <w:kern w:val="44"/>
      <w:sz w:val="32"/>
      <w:szCs w:val="44"/>
    </w:rPr>
  </w:style>
  <w:style w:type="paragraph" w:styleId="4">
    <w:name w:val="heading 2"/>
    <w:basedOn w:val="1"/>
    <w:next w:val="5"/>
    <w:qFormat/>
    <w:uiPriority w:val="0"/>
    <w:pPr>
      <w:keepNext/>
      <w:keepLines/>
      <w:spacing w:before="260" w:after="260" w:line="413" w:lineRule="auto"/>
      <w:outlineLvl w:val="1"/>
    </w:pPr>
    <w:rPr>
      <w:rFonts w:ascii="Cambria" w:hAnsi="Cambria"/>
      <w:b/>
      <w:bCs/>
      <w:sz w:val="32"/>
      <w:szCs w:val="32"/>
    </w:rPr>
  </w:style>
  <w:style w:type="paragraph" w:styleId="6">
    <w:name w:val="heading 3"/>
    <w:basedOn w:val="1"/>
    <w:next w:val="1"/>
    <w:qFormat/>
    <w:uiPriority w:val="0"/>
    <w:pPr>
      <w:keepNext/>
      <w:keepLines/>
      <w:spacing w:before="260" w:after="260" w:line="413" w:lineRule="auto"/>
      <w:outlineLvl w:val="2"/>
    </w:pPr>
    <w:rPr>
      <w:rFonts w:eastAsia="楷体_GB2312"/>
      <w:b/>
      <w:bCs/>
      <w:sz w:val="30"/>
      <w:szCs w:val="30"/>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6"/>
    <w:basedOn w:val="1"/>
    <w:next w:val="1"/>
    <w:unhideWhenUsed/>
    <w:qFormat/>
    <w:uiPriority w:val="0"/>
    <w:pPr>
      <w:spacing w:before="100" w:beforeAutospacing="1" w:after="100" w:afterAutospacing="1"/>
      <w:jc w:val="left"/>
      <w:outlineLvl w:val="5"/>
    </w:pPr>
    <w:rPr>
      <w:rFonts w:hint="eastAsia" w:ascii="宋体" w:hAnsi="宋体"/>
      <w:b/>
      <w:bCs/>
      <w:kern w:val="0"/>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qFormat/>
    <w:uiPriority w:val="0"/>
    <w:pPr>
      <w:adjustRightInd w:val="0"/>
      <w:spacing w:line="360" w:lineRule="atLeast"/>
      <w:ind w:firstLine="482"/>
      <w:textAlignment w:val="baseline"/>
    </w:pPr>
    <w:rPr>
      <w:kern w:val="0"/>
      <w:sz w:val="24"/>
    </w:rPr>
  </w:style>
  <w:style w:type="paragraph" w:styleId="9">
    <w:name w:val="toa heading"/>
    <w:basedOn w:val="1"/>
    <w:next w:val="1"/>
    <w:qFormat/>
    <w:uiPriority w:val="0"/>
    <w:pPr>
      <w:spacing w:before="120"/>
    </w:pPr>
    <w:rPr>
      <w:rFonts w:ascii="Cambria" w:hAnsi="Cambria"/>
    </w:rPr>
  </w:style>
  <w:style w:type="paragraph" w:styleId="10">
    <w:name w:val="annotation text"/>
    <w:basedOn w:val="1"/>
    <w:semiHidden/>
    <w:qFormat/>
    <w:uiPriority w:val="99"/>
    <w:pPr>
      <w:jc w:val="left"/>
    </w:pPr>
  </w:style>
  <w:style w:type="paragraph" w:styleId="11">
    <w:name w:val="Body Text Indent"/>
    <w:basedOn w:val="1"/>
    <w:next w:val="12"/>
    <w:qFormat/>
    <w:uiPriority w:val="0"/>
    <w:pPr>
      <w:spacing w:after="120"/>
      <w:ind w:left="420" w:leftChars="200"/>
    </w:pPr>
  </w:style>
  <w:style w:type="paragraph" w:styleId="12">
    <w:name w:val="Body Text First Indent 2"/>
    <w:basedOn w:val="11"/>
    <w:next w:val="13"/>
    <w:qFormat/>
    <w:uiPriority w:val="0"/>
    <w:pPr>
      <w:ind w:firstLine="420" w:firstLineChars="200"/>
    </w:p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ind w:left="1440" w:leftChars="700" w:right="700" w:rightChars="700"/>
    </w:pPr>
  </w:style>
  <w:style w:type="paragraph" w:styleId="15">
    <w:name w:val="Plain Text"/>
    <w:basedOn w:val="1"/>
    <w:qFormat/>
    <w:uiPriority w:val="0"/>
    <w:rPr>
      <w:rFonts w:ascii="宋体" w:hAnsi="Courier New" w:cs="Courier New"/>
      <w:szCs w:val="21"/>
    </w:rPr>
  </w:style>
  <w:style w:type="paragraph" w:styleId="16">
    <w:name w:val="Body Text Indent 2"/>
    <w:basedOn w:val="1"/>
    <w:qFormat/>
    <w:uiPriority w:val="0"/>
    <w:pPr>
      <w:tabs>
        <w:tab w:val="left" w:pos="360"/>
      </w:tabs>
      <w:spacing w:line="360" w:lineRule="auto"/>
      <w:ind w:firstLine="480" w:firstLineChars="200"/>
    </w:pPr>
    <w:rPr>
      <w:sz w:val="24"/>
    </w:r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Normal (Web)"/>
    <w:basedOn w:val="1"/>
    <w:qFormat/>
    <w:uiPriority w:val="0"/>
    <w:pPr>
      <w:spacing w:beforeAutospacing="1" w:afterAutospacing="1"/>
      <w:jc w:val="left"/>
    </w:pPr>
    <w:rPr>
      <w:kern w:val="0"/>
      <w:sz w:val="24"/>
      <w:szCs w:val="20"/>
    </w:rPr>
  </w:style>
  <w:style w:type="paragraph" w:styleId="21">
    <w:name w:val="Body Text First Indent"/>
    <w:basedOn w:val="2"/>
    <w:unhideWhenUsed/>
    <w:qFormat/>
    <w:uiPriority w:val="99"/>
    <w:pPr>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paragraph" w:customStyle="1" w:styleId="26">
    <w:name w:val="title12"/>
    <w:basedOn w:val="1"/>
    <w:qFormat/>
    <w:uiPriority w:val="0"/>
    <w:pPr>
      <w:spacing w:before="150" w:line="510" w:lineRule="atLeast"/>
    </w:pPr>
    <w:rPr>
      <w:b/>
      <w:bCs/>
      <w:sz w:val="23"/>
      <w:szCs w:val="23"/>
    </w:rPr>
  </w:style>
  <w:style w:type="character" w:customStyle="1" w:styleId="27">
    <w:name w:val="NormalCharacter"/>
    <w:qFormat/>
    <w:uiPriority w:val="0"/>
    <w:rPr>
      <w:rFonts w:ascii="Times New Roman" w:hAnsi="Times New Roman" w:eastAsia="宋体" w:cs="Times New Roman"/>
      <w:kern w:val="2"/>
      <w:sz w:val="21"/>
      <w:szCs w:val="24"/>
      <w:lang w:val="en-US" w:eastAsia="zh-CN" w:bidi="ar-SA"/>
    </w:rPr>
  </w:style>
  <w:style w:type="paragraph" w:customStyle="1" w:styleId="2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30">
    <w:name w:val="纯文本1"/>
    <w:basedOn w:val="1"/>
    <w:autoRedefine/>
    <w:qFormat/>
    <w:uiPriority w:val="0"/>
    <w:rPr>
      <w:rFonts w:ascii="宋体" w:hAnsi="Courier New"/>
      <w:szCs w:val="20"/>
    </w:rPr>
  </w:style>
  <w:style w:type="paragraph" w:customStyle="1" w:styleId="31">
    <w:name w:val="Char1"/>
    <w:basedOn w:val="1"/>
    <w:qFormat/>
    <w:uiPriority w:val="99"/>
    <w:rPr>
      <w:rFonts w:ascii="仿宋_GB2312" w:eastAsia="仿宋_GB2312"/>
      <w:b/>
      <w:sz w:val="32"/>
      <w:szCs w:val="32"/>
    </w:rPr>
  </w:style>
  <w:style w:type="paragraph" w:customStyle="1" w:styleId="32">
    <w:name w:val="UserStyle_71"/>
    <w:qFormat/>
    <w:uiPriority w:val="0"/>
    <w:pPr>
      <w:jc w:val="both"/>
      <w:textAlignment w:val="baseline"/>
    </w:pPr>
    <w:rPr>
      <w:rFonts w:ascii="Times New Roman" w:hAnsi="Times New Roman" w:eastAsia="宋体" w:cs="Times New Roman"/>
      <w:kern w:val="2"/>
      <w:sz w:val="21"/>
      <w:szCs w:val="21"/>
      <w:lang w:val="en-US" w:eastAsia="zh-CN" w:bidi="ar-SA"/>
    </w:rPr>
  </w:style>
  <w:style w:type="paragraph" w:customStyle="1" w:styleId="33">
    <w:name w:val="BodyText"/>
    <w:basedOn w:val="1"/>
    <w:next w:val="1"/>
    <w:qFormat/>
    <w:uiPriority w:val="0"/>
    <w:pPr>
      <w:textAlignment w:val="baseline"/>
    </w:pPr>
    <w:rPr>
      <w:b/>
      <w:bCs/>
      <w:sz w:val="44"/>
    </w:rPr>
  </w:style>
  <w:style w:type="paragraph" w:customStyle="1" w:styleId="34">
    <w:name w:val="Table Paragraph"/>
    <w:basedOn w:val="1"/>
    <w:autoRedefine/>
    <w:qFormat/>
    <w:uiPriority w:val="1"/>
  </w:style>
  <w:style w:type="paragraph" w:customStyle="1" w:styleId="35">
    <w:name w:val="纯文本11"/>
    <w:basedOn w:val="1"/>
    <w:autoRedefine/>
    <w:qFormat/>
    <w:uiPriority w:val="0"/>
    <w:rPr>
      <w:rFonts w:ascii="宋体" w:hAnsi="Courier New"/>
      <w:szCs w:val="20"/>
    </w:rPr>
  </w:style>
  <w:style w:type="paragraph" w:customStyle="1" w:styleId="36">
    <w:name w:val="正文缩进1"/>
    <w:basedOn w:val="1"/>
    <w:autoRedefine/>
    <w:qFormat/>
    <w:uiPriority w:val="0"/>
    <w:pPr>
      <w:ind w:firstLine="420" w:firstLineChars="200"/>
    </w:pPr>
  </w:style>
  <w:style w:type="character" w:customStyle="1" w:styleId="37">
    <w:name w:val="标题 1 字符"/>
    <w:link w:val="3"/>
    <w:autoRedefine/>
    <w:qFormat/>
    <w:uiPriority w:val="0"/>
    <w:rPr>
      <w:b/>
      <w:bCs/>
      <w:kern w:val="44"/>
      <w:sz w:val="32"/>
      <w:szCs w:val="44"/>
    </w:rPr>
  </w:style>
  <w:style w:type="paragraph" w:customStyle="1" w:styleId="38">
    <w:name w:val="UserStyle_62"/>
    <w:basedOn w:val="1"/>
    <w:autoRedefine/>
    <w:qFormat/>
    <w:uiPriority w:val="0"/>
    <w:pPr>
      <w:textAlignment w:val="baseline"/>
    </w:pPr>
    <w:rPr>
      <w:sz w:val="24"/>
    </w:rPr>
  </w:style>
  <w:style w:type="paragraph" w:customStyle="1" w:styleId="39">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40">
    <w:name w:val="WPSOffice手动目录 1"/>
    <w:qFormat/>
    <w:uiPriority w:val="0"/>
    <w:rPr>
      <w:rFonts w:asciiTheme="minorHAnsi" w:hAnsiTheme="minorHAnsi" w:eastAsiaTheme="minorEastAsia" w:cstheme="minorBidi"/>
      <w:lang w:val="en-US" w:eastAsia="zh-CN" w:bidi="ar-SA"/>
    </w:rPr>
  </w:style>
  <w:style w:type="paragraph" w:customStyle="1" w:styleId="41">
    <w:name w:val="null3"/>
    <w:hidden/>
    <w:qFormat/>
    <w:uiPriority w:val="0"/>
    <w:rPr>
      <w:rFonts w:hint="eastAsia" w:asciiTheme="minorHAnsi" w:hAnsiTheme="minorHAnsi" w:eastAsiaTheme="minorEastAsia" w:cstheme="minorBidi"/>
      <w:lang w:val="en-US" w:eastAsia="zh-Hans"/>
    </w:rPr>
  </w:style>
  <w:style w:type="character" w:customStyle="1" w:styleId="42">
    <w:name w:val="正文（缩进 2 字符） Char"/>
    <w:link w:val="43"/>
    <w:qFormat/>
    <w:uiPriority w:val="0"/>
    <w:rPr>
      <w:rFonts w:ascii="Calibri Light" w:hAnsi="Calibri Light" w:eastAsia="华文仿宋"/>
      <w:kern w:val="0"/>
      <w:sz w:val="28"/>
      <w:szCs w:val="28"/>
    </w:rPr>
  </w:style>
  <w:style w:type="paragraph" w:customStyle="1" w:styleId="43">
    <w:name w:val="正文（缩进 2 字符）"/>
    <w:basedOn w:val="1"/>
    <w:link w:val="42"/>
    <w:qFormat/>
    <w:uiPriority w:val="0"/>
    <w:pPr>
      <w:widowControl/>
      <w:spacing w:line="400" w:lineRule="exact"/>
      <w:ind w:firstLine="200" w:firstLineChars="200"/>
    </w:pPr>
    <w:rPr>
      <w:rFonts w:ascii="Calibri Light" w:hAnsi="Calibri Light" w:eastAsia="华文仿宋"/>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8.xml"/><Relationship Id="rId26" Type="http://schemas.openxmlformats.org/officeDocument/2006/relationships/footer" Target="footer17.xml"/><Relationship Id="rId25" Type="http://schemas.openxmlformats.org/officeDocument/2006/relationships/header" Target="header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14099</Words>
  <Characters>14868</Characters>
  <Lines>269</Lines>
  <Paragraphs>75</Paragraphs>
  <TotalTime>2</TotalTime>
  <ScaleCrop>false</ScaleCrop>
  <LinksUpToDate>false</LinksUpToDate>
  <CharactersWithSpaces>15475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2025-03-13T08:09:00Z</dcterms:created>
  <dc:creator>a:)</dc:creator>
  <cp:lastModifiedBy>红枫叶</cp:lastModifiedBy>
  <cp:lastPrinted>2026-05-06T01:35:00Z</cp:lastPrinted>
  <dcterms:modified xsi:type="dcterms:W3CDTF">2026-07-08T03:17:11Z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344CEF59F21141B5B3922CC7165979F1_13</vt:lpwstr>
  </property>
  <property fmtid="{D5CDD505-2E9C-101B-9397-08002B2CF9AE}" pid="4" name="KSOTemplateDocerSaveRecord">
    <vt:lpwstr>eyJoZGlkIjoiMmY5Y2I2NTY0YmE1ZWFkODdlNTZhYmMyMzgyMDU1MDciLCJ1c2VySWQiOiIzNzQ0ODkzMDAifQ==</vt:lpwstr>
  </property>
</Properties>
</file>