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版本号：SXZHZB2026-ZC039-GK20260626001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2026年西安市国土空间总体规划动态维护项目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SXZHZB2026-ZC039-GK</w:t>
      </w:r>
      <w:r>
        <w:br/>
      </w:r>
      <w:r>
        <w:br/>
      </w:r>
      <w:r>
        <w:br/>
      </w:r>
    </w:p>
    <w:p>
      <w:pPr>
        <w:pStyle w:val="null3"/>
        <w:jc w:val="center"/>
        <w:outlineLvl w:val="2"/>
      </w:pPr>
      <w:r>
        <w:rPr>
          <w:rFonts w:ascii="仿宋_GB2312" w:hAnsi="仿宋_GB2312" w:cs="仿宋_GB2312" w:eastAsia="仿宋_GB2312"/>
          <w:sz w:val="28"/>
          <w:b/>
        </w:rPr>
        <w:t>西安市自然资源和规划局（本级）</w:t>
      </w:r>
    </w:p>
    <w:p>
      <w:pPr>
        <w:pStyle w:val="null3"/>
        <w:jc w:val="center"/>
        <w:outlineLvl w:val="2"/>
      </w:pPr>
      <w:r>
        <w:rPr>
          <w:rFonts w:ascii="仿宋_GB2312" w:hAnsi="仿宋_GB2312" w:cs="仿宋_GB2312" w:eastAsia="仿宋_GB2312"/>
          <w:sz w:val="28"/>
          <w:b/>
        </w:rPr>
        <w:t>陕西纵横项目管理有限公司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陕西纵横项目管理有限公司</w:t>
      </w:r>
      <w:r>
        <w:rPr>
          <w:rFonts w:ascii="仿宋_GB2312" w:hAnsi="仿宋_GB2312" w:cs="仿宋_GB2312" w:eastAsia="仿宋_GB2312"/>
        </w:rPr>
        <w:t>（以下简称“代理机构”）受</w:t>
      </w:r>
      <w:r>
        <w:rPr>
          <w:rFonts w:ascii="仿宋_GB2312" w:hAnsi="仿宋_GB2312" w:cs="仿宋_GB2312" w:eastAsia="仿宋_GB2312"/>
        </w:rPr>
        <w:t>西安市自然资源和规划局（本级）</w:t>
      </w:r>
      <w:r>
        <w:rPr>
          <w:rFonts w:ascii="仿宋_GB2312" w:hAnsi="仿宋_GB2312" w:cs="仿宋_GB2312" w:eastAsia="仿宋_GB2312"/>
        </w:rPr>
        <w:t>委托，拟对</w:t>
      </w:r>
      <w:r>
        <w:rPr>
          <w:rFonts w:ascii="仿宋_GB2312" w:hAnsi="仿宋_GB2312" w:cs="仿宋_GB2312" w:eastAsia="仿宋_GB2312"/>
        </w:rPr>
        <w:t>2026年西安市国土空间总体规划动态维护项目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SXZHZB2026-ZC039-GK</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2026年西安市国土空间总体规划动态维护项目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开展2026年西安市国土空间总体规划动态维护工作，包括年度动态维护方案编制工作动态维护专题研究、超特大城市国土空间总体规划全域动态维护专题研究、重点建设项目清单编制与维护专题研究和动态维护方案数据库建设专题研究四个方面内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1、法定代表人授权书/法定代表人身份证明：法定代表人授权书（附法定代表人、被授权人身份证复印件）（法定代表人直接参加投标，须提供法定代表人身份证明）；</w:t>
      </w:r>
    </w:p>
    <w:p>
      <w:pPr>
        <w:pStyle w:val="null3"/>
      </w:pPr>
      <w:r>
        <w:rPr>
          <w:rFonts w:ascii="仿宋_GB2312" w:hAnsi="仿宋_GB2312" w:cs="仿宋_GB2312" w:eastAsia="仿宋_GB2312"/>
        </w:rPr>
        <w:t>2、信用记录：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3、资质证书：供应商须具备相关行政主管部门颁发的城乡规划（国土空间规划）甲级编制资质；</w:t>
      </w:r>
    </w:p>
    <w:p>
      <w:pPr>
        <w:pStyle w:val="null3"/>
      </w:pPr>
      <w:r>
        <w:rPr>
          <w:rFonts w:ascii="仿宋_GB2312" w:hAnsi="仿宋_GB2312" w:cs="仿宋_GB2312" w:eastAsia="仿宋_GB2312"/>
        </w:rPr>
        <w:t>4、联合体：本项目不接受联合体投标。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西安市自然资源和规划局（本级）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西安市经济技术开发区凤城九路139号1号楼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029-61329223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陕西纵横项目管理有限公司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西安市经开区凤城五路赛高街区A座902室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范工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029-86252018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采购包1：4,620,000.00元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代理服务费收费标准：参照国家计委颁发的《招标代理服务收费管理暂行办法》（计价格[2002]1980号）和财政部颁发的《政府采购代理机构管理暂行办法》（财库[2018]2号）的有关规定执行。 由中标人支付招标代理服务费的，招标代理服务费在领取《中标通知书》前，由中标人一次性支付给受托人。 开户名称：陕西纵横项目管理有限公司 开户银行：浙商银行股份有限公司西安未央路支行 账号：7910 0006 1012 0100 0294 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西安市自然资源和规划局（本级）</w:t>
      </w:r>
      <w:r>
        <w:rPr>
          <w:rFonts w:ascii="仿宋_GB2312" w:hAnsi="仿宋_GB2312" w:cs="仿宋_GB2312" w:eastAsia="仿宋_GB2312"/>
        </w:rPr>
        <w:t>和</w:t>
      </w:r>
      <w:r>
        <w:rPr>
          <w:rFonts w:ascii="仿宋_GB2312" w:hAnsi="仿宋_GB2312" w:cs="仿宋_GB2312" w:eastAsia="仿宋_GB2312"/>
        </w:rPr>
        <w:t>陕西纵横项目管理有限公司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西安市自然资源和规划局（本级）</w:t>
      </w:r>
      <w:r>
        <w:rPr>
          <w:rFonts w:ascii="仿宋_GB2312" w:hAnsi="仿宋_GB2312" w:cs="仿宋_GB2312" w:eastAsia="仿宋_GB2312"/>
        </w:rPr>
        <w:t>负责解释。除上述招标文件内容，其他内容由</w:t>
      </w:r>
      <w:r>
        <w:rPr>
          <w:rFonts w:ascii="仿宋_GB2312" w:hAnsi="仿宋_GB2312" w:cs="仿宋_GB2312" w:eastAsia="仿宋_GB2312"/>
        </w:rPr>
        <w:t>陕西纵横项目管理有限公司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西安市自然资源和规划局（本级）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陕西纵横项目管理有限公司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成果质量符合西安市自然资源和规划局的相关要求，并通过采购人组织的验收会。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陕西纵横项目管理有限公司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联系人：范工</w:t>
      </w:r>
    </w:p>
    <w:p>
      <w:pPr>
        <w:pStyle w:val="null3"/>
      </w:pPr>
      <w:r>
        <w:rPr>
          <w:rFonts w:ascii="仿宋_GB2312" w:hAnsi="仿宋_GB2312" w:cs="仿宋_GB2312" w:eastAsia="仿宋_GB2312"/>
        </w:rPr>
        <w:t>联系电话：029-86252018</w:t>
      </w:r>
    </w:p>
    <w:p>
      <w:pPr>
        <w:pStyle w:val="null3"/>
      </w:pPr>
      <w:r>
        <w:rPr>
          <w:rFonts w:ascii="仿宋_GB2312" w:hAnsi="仿宋_GB2312" w:cs="仿宋_GB2312" w:eastAsia="仿宋_GB2312"/>
        </w:rPr>
        <w:t>地址：西安市经开区凤城五路赛高街区A座902室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开展2026年西安市国土空间总体规划动态维护工作，包括年度动态维护方案编制工作动态维护专题研究、超特大城市国土空间总体规划全域动态维护专题研究、重点建设项目清单编制与维护专题研究和动态维护方案数据库建设专题研究四个方面内容。</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4,620,000.00</w:t>
      </w:r>
    </w:p>
    <w:p>
      <w:pPr>
        <w:pStyle w:val="null3"/>
      </w:pPr>
      <w:r>
        <w:rPr>
          <w:rFonts w:ascii="仿宋_GB2312" w:hAnsi="仿宋_GB2312" w:cs="仿宋_GB2312" w:eastAsia="仿宋_GB2312"/>
        </w:rPr>
        <w:t>采购包最高限价（元）: 4,620,000.00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2026年西安市国土空间总体规划动态维护项目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标的名称：2026年西安市国土空间总体规划动态维护项目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jc w:val="left"/>
            </w:pPr>
            <w:r>
              <w:rPr>
                <w:rFonts w:ascii="仿宋_GB2312" w:hAnsi="仿宋_GB2312" w:cs="仿宋_GB2312" w:eastAsia="仿宋_GB2312"/>
              </w:rPr>
              <w:t xml:space="preserve"> 开展2026年西安市国土空间总体规划动态维护工作，包括年度动态维护方案编制工作动态维护专题研究、超特大城市国土空间总体规划全域动态维护专题研究、重点建设项目清单编制与维护专题研究和动态维护方案数据库建设专题研究四个方面内容。</w:t>
            </w:r>
          </w:p>
          <w:p>
            <w:pPr>
              <w:pStyle w:val="null3"/>
            </w:pPr>
            <w:r>
              <w:rPr>
                <w:rFonts w:ascii="仿宋_GB2312" w:hAnsi="仿宋_GB2312" w:cs="仿宋_GB2312" w:eastAsia="仿宋_GB2312"/>
              </w:rPr>
              <w:t>二、 采购内容</w:t>
            </w:r>
          </w:p>
          <w:p>
            <w:pPr>
              <w:pStyle w:val="null3"/>
            </w:pPr>
            <w:r>
              <w:rPr>
                <w:rFonts w:ascii="仿宋_GB2312" w:hAnsi="仿宋_GB2312" w:cs="仿宋_GB2312" w:eastAsia="仿宋_GB2312"/>
              </w:rPr>
              <w:t>（一）年度动态维护方案编制工作动态维护专题研究</w:t>
            </w:r>
          </w:p>
          <w:p>
            <w:pPr>
              <w:pStyle w:val="null3"/>
            </w:pPr>
            <w:r>
              <w:rPr>
                <w:rFonts w:ascii="仿宋_GB2312" w:hAnsi="仿宋_GB2312" w:cs="仿宋_GB2312" w:eastAsia="仿宋_GB2312"/>
              </w:rPr>
              <w:t>完成《西安市国土空间总体规划2026年度动态维护方案》及11个区县国土空间总体规划2026年度动态维护方案编制，针对耕地和永久基本农田保护红线、生态保护红线、城镇开发边界、规划分区、中心城区用地分类、其他重要控制线、空间协调与实施保障等内容开展具体研究工作。</w:t>
            </w:r>
          </w:p>
          <w:p>
            <w:pPr>
              <w:pStyle w:val="null3"/>
            </w:pPr>
            <w:r>
              <w:rPr>
                <w:rFonts w:ascii="仿宋_GB2312" w:hAnsi="仿宋_GB2312" w:cs="仿宋_GB2312" w:eastAsia="仿宋_GB2312"/>
              </w:rPr>
              <w:t>（二）超特大城市国土空间总体规划全域动态维护专题研究</w:t>
            </w:r>
          </w:p>
          <w:p>
            <w:pPr>
              <w:pStyle w:val="null3"/>
            </w:pPr>
            <w:r>
              <w:rPr>
                <w:rFonts w:ascii="仿宋_GB2312" w:hAnsi="仿宋_GB2312" w:cs="仿宋_GB2312" w:eastAsia="仿宋_GB2312"/>
              </w:rPr>
              <w:t>完成《西安市超特大城市国土空间总体规划全域动态维护研究》，明确西安作为特大城市开展国土空间总体规划全域动态维护的思路、方式和组织流程，形成相应工作方案。</w:t>
            </w:r>
          </w:p>
          <w:p>
            <w:pPr>
              <w:pStyle w:val="null3"/>
            </w:pPr>
            <w:r>
              <w:rPr>
                <w:rFonts w:ascii="仿宋_GB2312" w:hAnsi="仿宋_GB2312" w:cs="仿宋_GB2312" w:eastAsia="仿宋_GB2312"/>
              </w:rPr>
              <w:t>（三）重点建设项目清单编制与维护专题研究</w:t>
            </w:r>
          </w:p>
          <w:p>
            <w:pPr>
              <w:pStyle w:val="null3"/>
            </w:pPr>
            <w:r>
              <w:rPr>
                <w:rFonts w:ascii="仿宋_GB2312" w:hAnsi="仿宋_GB2312" w:cs="仿宋_GB2312" w:eastAsia="仿宋_GB2312"/>
              </w:rPr>
              <w:t>完成《西安市国土空间总体规划2026年度动态维护重点建设项目清单》，为省、市、区各级“十五五”时期重点项目提供空间保障。</w:t>
            </w:r>
          </w:p>
          <w:p>
            <w:pPr>
              <w:pStyle w:val="null3"/>
            </w:pPr>
            <w:r>
              <w:rPr>
                <w:rFonts w:ascii="仿宋_GB2312" w:hAnsi="仿宋_GB2312" w:cs="仿宋_GB2312" w:eastAsia="仿宋_GB2312"/>
              </w:rPr>
              <w:t>（四）动态维护方案数据库建设专题研究</w:t>
            </w:r>
          </w:p>
          <w:p>
            <w:pPr>
              <w:pStyle w:val="null3"/>
            </w:pPr>
            <w:r>
              <w:rPr>
                <w:rFonts w:ascii="仿宋_GB2312" w:hAnsi="仿宋_GB2312" w:cs="仿宋_GB2312" w:eastAsia="仿宋_GB2312"/>
              </w:rPr>
              <w:t>按照部、省要求，完成《西安市国土空间总体规划2026年度动态维护数据库建设专题研究》，包含1个综合数据框架、2个单个专题数据框架、1个单个数据标准制定，明确数据库组织架构与入库标准。完成市级及11个区县国土空间总体规划2026年度动态维护方案数据库建设及质检工作。</w:t>
            </w:r>
          </w:p>
          <w:p>
            <w:pPr>
              <w:pStyle w:val="null3"/>
            </w:pPr>
            <w:r>
              <w:rPr>
                <w:rFonts w:ascii="仿宋_GB2312" w:hAnsi="仿宋_GB2312" w:cs="仿宋_GB2312" w:eastAsia="仿宋_GB2312"/>
              </w:rPr>
              <w:t>三、技术要求</w:t>
            </w:r>
          </w:p>
          <w:p>
            <w:pPr>
              <w:pStyle w:val="null3"/>
            </w:pPr>
            <w:r>
              <w:rPr>
                <w:rFonts w:ascii="仿宋_GB2312" w:hAnsi="仿宋_GB2312" w:cs="仿宋_GB2312" w:eastAsia="仿宋_GB2312"/>
              </w:rPr>
              <w:t>（一）成果质量要求：</w:t>
            </w:r>
          </w:p>
          <w:p>
            <w:pPr>
              <w:pStyle w:val="null3"/>
            </w:pPr>
            <w:r>
              <w:rPr>
                <w:rFonts w:ascii="仿宋_GB2312" w:hAnsi="仿宋_GB2312" w:cs="仿宋_GB2312" w:eastAsia="仿宋_GB2312"/>
              </w:rPr>
              <w:t>严格依据国家相关行业标准和规范；自然资源部、陕西省自然资源厅相关技术规定；西安市政府、西安市自然资源和规划局的相关要求开展西安市国土空间总体规划动态维护工作。</w:t>
            </w:r>
          </w:p>
          <w:p>
            <w:pPr>
              <w:pStyle w:val="null3"/>
            </w:pPr>
            <w:r>
              <w:rPr>
                <w:rFonts w:ascii="仿宋_GB2312" w:hAnsi="仿宋_GB2312" w:cs="仿宋_GB2312" w:eastAsia="仿宋_GB2312"/>
              </w:rPr>
              <w:t>（二）成果交付要求：</w:t>
            </w:r>
          </w:p>
          <w:p>
            <w:pPr>
              <w:pStyle w:val="null3"/>
            </w:pPr>
            <w:r>
              <w:rPr>
                <w:rFonts w:ascii="仿宋_GB2312" w:hAnsi="仿宋_GB2312" w:cs="仿宋_GB2312" w:eastAsia="仿宋_GB2312"/>
              </w:rPr>
              <w:t>成果为《西安市国土空间总体规划2026年度动态维护方案》及11个区县国土空间总体规划2026年度动态维护方案，包含耕地和永久基本农田保护红线、生态保护红线、城镇开发边界、规划分区、中心城区用地分类、其他重要控制线、空间协调与实施保障等内容；《西安市超特大城市国土空间总体规划全域动态维护工作方案》明确本次动态维护的思路、方式和组织流程等；《西安市国土空间总体规划2026年度动态维护重点建设项目清单》统筹为省、市、区各级“十五五”重点项目提供空间保障；《西安市国土空间总体规划2026年度动态维护数据库建设专题研究》市级及11个区县国土空间总体规划2026年度动态维护方案数据库。</w:t>
            </w:r>
          </w:p>
          <w:p>
            <w:pPr>
              <w:pStyle w:val="null3"/>
            </w:pPr>
            <w:r>
              <w:rPr>
                <w:rFonts w:ascii="仿宋_GB2312" w:hAnsi="仿宋_GB2312" w:cs="仿宋_GB2312" w:eastAsia="仿宋_GB2312"/>
              </w:rPr>
              <w:t>形成与成果对应的全面、详实、精准的成果报告及数据库成果，数据成果需符合国土空间规划“一张图”实施监督信息系统要求。提交形式包括：纸质版和电子版。</w:t>
            </w:r>
          </w:p>
          <w:p>
            <w:pPr>
              <w:pStyle w:val="null3"/>
            </w:pPr>
            <w:r>
              <w:rPr>
                <w:rFonts w:ascii="仿宋_GB2312" w:hAnsi="仿宋_GB2312" w:cs="仿宋_GB2312" w:eastAsia="仿宋_GB2312"/>
              </w:rPr>
              <w:t>纸质成果要求：报告，加盖公章/技术成果章，图面字体清晰，一式六份。</w:t>
            </w:r>
          </w:p>
          <w:p>
            <w:pPr>
              <w:pStyle w:val="null3"/>
            </w:pPr>
            <w:r>
              <w:rPr>
                <w:rFonts w:ascii="仿宋_GB2312" w:hAnsi="仿宋_GB2312" w:cs="仿宋_GB2312" w:eastAsia="仿宋_GB2312"/>
              </w:rPr>
              <w:t>电子成果要求：数据库文件采用gdb格式。最终成果提供U盘2个，U盘贴标签：注明项目名称、完成时间。电子成果与上述纸质成果相对应，文本文件采用word和pdf格式。</w:t>
            </w:r>
          </w:p>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（一）供应商须精心组建项目团队，确定项目负责人，并对项目团队的政治素质和业务素质负责。</w:t>
            </w:r>
          </w:p>
          <w:p>
            <w:pPr>
              <w:pStyle w:val="null3"/>
            </w:pPr>
            <w:r>
              <w:rPr>
                <w:rFonts w:ascii="仿宋_GB2312" w:hAnsi="仿宋_GB2312" w:cs="仿宋_GB2312" w:eastAsia="仿宋_GB2312"/>
              </w:rPr>
              <w:t>（二）项目组成员须有较强的组织和协调能力，具有较高的理论素养和分析解决问题的能力。</w:t>
            </w:r>
          </w:p>
          <w:p>
            <w:pPr>
              <w:pStyle w:val="null3"/>
            </w:pPr>
            <w:r>
              <w:rPr>
                <w:rFonts w:ascii="仿宋_GB2312" w:hAnsi="仿宋_GB2312" w:cs="仿宋_GB2312" w:eastAsia="仿宋_GB2312"/>
              </w:rPr>
              <w:t>（三）项目负责人必须是该项目实施全过程的真正组织者和指导者，并担负项目成果审查工作。挂名或不担负成果审查工作的，不得作为项目负责人。</w:t>
            </w:r>
          </w:p>
          <w:p>
            <w:pPr>
              <w:pStyle w:val="null3"/>
            </w:pPr>
            <w:r>
              <w:rPr>
                <w:rFonts w:ascii="仿宋_GB2312" w:hAnsi="仿宋_GB2312" w:cs="仿宋_GB2312" w:eastAsia="仿宋_GB2312"/>
              </w:rPr>
              <w:t>（四）项目团队成员应当熟悉动态维护的相关内容，项目实施应紧贴上位政策要求。</w:t>
            </w:r>
          </w:p>
          <w:p>
            <w:pPr>
              <w:pStyle w:val="null3"/>
            </w:pPr>
            <w:r>
              <w:rPr>
                <w:rFonts w:ascii="仿宋_GB2312" w:hAnsi="仿宋_GB2312" w:cs="仿宋_GB2312" w:eastAsia="仿宋_GB2312"/>
              </w:rPr>
              <w:t>（五）项目团队成员及其主要成员履约过程中不得随意更换，确需调整时，须书面提请采购人同意。</w:t>
            </w:r>
          </w:p>
          <w:p>
            <w:pPr>
              <w:pStyle w:val="null3"/>
            </w:pPr>
            <w:r>
              <w:rPr>
                <w:rFonts w:ascii="仿宋_GB2312" w:hAnsi="仿宋_GB2312" w:cs="仿宋_GB2312" w:eastAsia="仿宋_GB2312"/>
              </w:rPr>
              <w:t>（六）项目团队需对项目全过程涉密资料及数据进行保密。</w:t>
            </w:r>
          </w:p>
          <w:p>
            <w:pPr>
              <w:pStyle w:val="null3"/>
            </w:pPr>
            <w:r>
              <w:rPr>
                <w:rFonts w:ascii="仿宋_GB2312" w:hAnsi="仿宋_GB2312" w:cs="仿宋_GB2312" w:eastAsia="仿宋_GB2312"/>
              </w:rPr>
              <w:t>五、其他</w:t>
            </w:r>
          </w:p>
          <w:p>
            <w:pPr>
              <w:pStyle w:val="null3"/>
            </w:pPr>
            <w:r>
              <w:rPr>
                <w:rFonts w:ascii="仿宋_GB2312" w:hAnsi="仿宋_GB2312" w:cs="仿宋_GB2312" w:eastAsia="仿宋_GB2312"/>
              </w:rPr>
              <w:t>（一）供应商需配合完成采购人安排的与本项目有关的其他事项。</w:t>
            </w:r>
          </w:p>
          <w:p>
            <w:pPr>
              <w:pStyle w:val="null3"/>
            </w:pPr>
            <w:r>
              <w:rPr>
                <w:rFonts w:ascii="仿宋_GB2312" w:hAnsi="仿宋_GB2312" w:cs="仿宋_GB2312" w:eastAsia="仿宋_GB2312"/>
              </w:rPr>
              <w:t>（二）进度要求</w:t>
            </w:r>
          </w:p>
          <w:p>
            <w:pPr>
              <w:pStyle w:val="null3"/>
            </w:pPr>
            <w:r>
              <w:rPr>
                <w:rFonts w:ascii="仿宋_GB2312" w:hAnsi="仿宋_GB2312" w:cs="仿宋_GB2312" w:eastAsia="仿宋_GB2312"/>
              </w:rPr>
              <w:t>1.合同签订10个工作日内形成工作方案。</w:t>
            </w:r>
          </w:p>
          <w:p>
            <w:pPr>
              <w:pStyle w:val="null3"/>
            </w:pPr>
            <w:r>
              <w:rPr>
                <w:rFonts w:ascii="仿宋_GB2312" w:hAnsi="仿宋_GB2312" w:cs="仿宋_GB2312" w:eastAsia="仿宋_GB2312"/>
              </w:rPr>
              <w:t>2.合同签订2个月内形成初步成果。</w:t>
            </w:r>
          </w:p>
          <w:p>
            <w:pPr>
              <w:pStyle w:val="null3"/>
            </w:pPr>
            <w:r>
              <w:rPr>
                <w:rFonts w:ascii="仿宋_GB2312" w:hAnsi="仿宋_GB2312" w:cs="仿宋_GB2312" w:eastAsia="仿宋_GB2312"/>
              </w:rPr>
              <w:t>3.合同签订4个月内形成最终成果。</w:t>
            </w:r>
          </w:p>
          <w:p>
            <w:pPr>
              <w:pStyle w:val="null3"/>
            </w:pPr>
            <w:r>
              <w:rPr>
                <w:rFonts w:ascii="仿宋_GB2312" w:hAnsi="仿宋_GB2312" w:cs="仿宋_GB2312" w:eastAsia="仿宋_GB2312"/>
              </w:rPr>
              <w:t>4.供应商应定期（周、月）向采购人提供项目工作进度。</w:t>
            </w:r>
          </w:p>
          <w:p>
            <w:pPr>
              <w:pStyle w:val="null3"/>
            </w:pPr>
            <w:r>
              <w:rPr>
                <w:rFonts w:ascii="仿宋_GB2312" w:hAnsi="仿宋_GB2312" w:cs="仿宋_GB2312" w:eastAsia="仿宋_GB2312"/>
              </w:rPr>
              <w:t>5.采购人根据实际需要，对项目进展情况不定期听取汇报。</w:t>
            </w:r>
          </w:p>
          <w:p>
            <w:pPr>
              <w:pStyle w:val="null3"/>
            </w:pPr>
            <w:r>
              <w:rPr>
                <w:rFonts w:ascii="仿宋_GB2312" w:hAnsi="仿宋_GB2312" w:cs="仿宋_GB2312" w:eastAsia="仿宋_GB2312"/>
              </w:rPr>
              <w:t>6.受不可抗力（规划编制完成时间延后、提前；上位要求变化等）因素影响，采购人可适当调整进度要求。</w:t>
            </w:r>
          </w:p>
          <w:p>
            <w:pPr>
              <w:pStyle w:val="null3"/>
            </w:pPr>
            <w:r>
              <w:rPr>
                <w:rFonts w:ascii="仿宋_GB2312" w:hAnsi="仿宋_GB2312" w:cs="仿宋_GB2312" w:eastAsia="仿宋_GB2312"/>
              </w:rPr>
              <w:t>（三）质量验收标准或规范</w:t>
            </w:r>
          </w:p>
          <w:p>
            <w:pPr>
              <w:pStyle w:val="null3"/>
            </w:pPr>
            <w:r>
              <w:rPr>
                <w:rFonts w:ascii="仿宋_GB2312" w:hAnsi="仿宋_GB2312" w:cs="仿宋_GB2312" w:eastAsia="仿宋_GB2312"/>
              </w:rPr>
              <w:t>成果质量符合西安市自然资源和规划局的相关要求，并通过采购人组织的验收会。</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自合同签订之日起至2026年12月20日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成果质量符合西安市自然资源和规划局的相关要求，并通过采购人组织的验收会。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进度款，形成2026年度西安市国土空间总体规划动态维护初步成果，并通过专家评审后，达到付款条件起10个工作日内，支付合同总金额的40.0%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进度款，完成市自然资源和规划局验收后，达到付款条件起10个工作日内，支付合同总金额的30.0%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 1.合同总价一次性包死，不受市场价格变化和税率变化等因素的影响。 2.供应商应在报价表中标明完成本次谈判所要求内容且验收合格的所有费用，包括但不限于人工费、专题研究费，协调费，踏勘中的交通费，差旅费，食宿费，专家评审费，税金、采购代理费等其他一切相关费用，是完成本项目所有服务内容的价格体现，任何有选择的报价将不予接受，否则按无效谈判处理。 2.项目属性：服务 3.本项目所属行业为：其他未列明行业。从业人员300人以下的为中小微型企业。其中，从业人员100人及以上的为中型企业；从业人员10人及以上的为小型企业；从业人员10人以下的为微型企业。 4.按照西安市财政局关于促进政府采购公平竞争优化营商环境的通知&gt;(市财函(2021)431号)规定:供应商登记免费领取招标文件的，如不参与项目，应在递交投标文件截止时间前一日以书面形式告知采购代理机构。否则，采购代理机构可以向财政部门反映情况并提供相应的佐证。供应商一年内累计出现三次该情形，将被监管部门记录为失信行为。 5.本项目是否属于信用担保试点范围：否。 6.若为授权代表参加投标，投标文件中需提供被授权代表开标前三个月内任意一个月在本单位的社保缴纳证明。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1、提供合格有效的法人或者其他组织的营业执照等证明文件，自然人的身份证明； 2、提供投标截止时间前6个月内任意时段的依法缴纳税收的相关凭据（时间以税款所属日期为准），依法免税或无须缴纳税收的供应商应提供相关证明材料； 3、提供投标截止时间前6个月内任意时段的社会保障资金的相关材料，依法不需要缴纳社会保障金的供应商，需具有社保部门出具的证明文件；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2024年度或2025年度经审计的财务会计报告（成立时间至提交投标文件截止时间不足一年的可提供成立后任意时段的资产负债表）或提供供应商开户许可证（或基本存款账户信息）及开标日期前三个月内其基本存款账户开户银行出具的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供应商须具备相关行政主管部门颁发的城乡规划（国土空间规划）甲级编制资质；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投标过程中，评标委员会认为供应商的报价明显低于其他实质性响应的供应商报价，有可能影响产品质量或者不能诚信履约的，评标委员会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评标委员会要求的时间内通过项目电子化交易系统进行提交，否则提交的相关证明材料无效。供应商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应符合“投标文件格式”要求</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投标文件内容齐全、无遗漏</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应满足招标文件中要求的服务地点</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开标一览表 业绩.docx 中小企业声明函 资格证明文件.docx 投标方案说明书.docx 分项报价表.docx 投标函 残疾人福利性单位声明函 其它说明.docx 标的清单 投标文件封面 商务条款偏离表.docx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项目认知</w:t>
            </w:r>
          </w:p>
        </w:tc>
        <w:tc>
          <w:tcPr>
            <w:tcW w:type="dxa" w:w="2492"/>
          </w:tcPr>
          <w:p>
            <w:pPr>
              <w:pStyle w:val="null3"/>
            </w:pPr>
            <w:r>
              <w:rPr>
                <w:rFonts w:ascii="仿宋_GB2312" w:hAnsi="仿宋_GB2312" w:cs="仿宋_GB2312" w:eastAsia="仿宋_GB2312"/>
              </w:rPr>
              <w:t>一、评审内容 提出针对本项目的项目认知，内容包括： 1、明确本次项目编制的任务要求、目的作用、核心内容； 2、对重点、难点进行分析总结； 3、有针对性的提出对策和解决思路。 二、评审标准 1、完整性：方案必须全面，对评审内容有详细描述； 2、可实施性：切合本项目实际情况，提出步骤清晰、合理的方案； 3、针对性：方案能够紧扣项目实际情况，内容科学合理。 三、赋分标准（ 9 分） ①明确本次项目编制的任务要求、目的作用、核心内容，每完全满足一项评审标准 1.0 分，满分 3.0 分； ②对重点、难点进行分析总结，每完全满足一项评审标准得 1.0 分， 满分 3.0 分； ③有针对性的提出对策和解决思路：每完全满足一项评审标准得 1.0 分，满分 3.0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规划基础</w:t>
            </w:r>
          </w:p>
        </w:tc>
        <w:tc>
          <w:tcPr>
            <w:tcW w:type="dxa" w:w="2492"/>
          </w:tcPr>
          <w:p>
            <w:pPr>
              <w:pStyle w:val="null3"/>
            </w:pPr>
            <w:r>
              <w:rPr>
                <w:rFonts w:ascii="仿宋_GB2312" w:hAnsi="仿宋_GB2312" w:cs="仿宋_GB2312" w:eastAsia="仿宋_GB2312"/>
              </w:rPr>
              <w:t>一、评审内容 提出针对本项目的规划基础，内容包括： 1、熟悉西安市“十五五”期间政策导向、发展布局相关规划要求； 2、对市区两级国土空间总体规划内容与实施情况进行科学分析； 3、结合西安市体检评估工作总结特征、研判问题。 二、评审标准 1、完整性：内容全面，对评审内容中的各项要求有详细描述及说明； 2、可实施性：符合本项目实际情况，面向实施，分析思路清晰，切实可行； 3、针对性：能够紧扣项目特征，内容科学合理。 三、赋分标准（满分 9 分） ①熟悉西安市“十五五”期间政策导向、发展布局相关规划要求，每完全满足一项评审标准 1.0 分，满分 3.0 分； ②对市区两级国土空间总体规划内容与实施情况进行科学分析，每完全满足一项评审标准得 1.0 分， 满分 3.0 分； ③结合西安市体检评估工作总结特征、研判问题，每完全满足一项评审标准得1.0 分，满分 3.0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总体思路</w:t>
            </w:r>
          </w:p>
        </w:tc>
        <w:tc>
          <w:tcPr>
            <w:tcW w:type="dxa" w:w="2492"/>
          </w:tcPr>
          <w:p>
            <w:pPr>
              <w:pStyle w:val="null3"/>
            </w:pPr>
            <w:r>
              <w:rPr>
                <w:rFonts w:ascii="仿宋_GB2312" w:hAnsi="仿宋_GB2312" w:cs="仿宋_GB2312" w:eastAsia="仿宋_GB2312"/>
              </w:rPr>
              <w:t>一、评审内容 提出针对本项目的总体思路，内容包括： 1、规划思路； 2、技术路线。 二、评审标准 1、完整性：内容全面，对评审内容中的各项要求有详细描述及说明； 2、可实施性：符合本项目实际情况，面向实施，分析思路清晰，切实可行； 3、针对性：能够紧扣项目特征，内容科学合理。 三、赋分标准（满分 6 分） ①规划思路：每完全满足一项评审标准 1.0 分，满分3.0 分； ②技术路线：每完全满足一项评审标准得 1.0 分，满分 3.0 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规划方案</w:t>
            </w:r>
          </w:p>
        </w:tc>
        <w:tc>
          <w:tcPr>
            <w:tcW w:type="dxa" w:w="2492"/>
          </w:tcPr>
          <w:p>
            <w:pPr>
              <w:pStyle w:val="null3"/>
            </w:pPr>
            <w:r>
              <w:rPr>
                <w:rFonts w:ascii="仿宋_GB2312" w:hAnsi="仿宋_GB2312" w:cs="仿宋_GB2312" w:eastAsia="仿宋_GB2312"/>
              </w:rPr>
              <w:t>一、评审内容 提出针对本项目的规划方案，内容包括： 1、年度动态维护方案编制工作动态维护方案； 2、超特大城市国土空间总体规划全域动态维护方案； 3、重点建设项目清单编制与维护方案； 4、动态维护方案数据库建设方案。 二、评审标准 1、完整性：内容全面，对评审内容中的各项要求有详细描述及说明； 2、可实施性：符合本项目实际情况，面向实施，分析思路清晰，切实可行； 3、针对性：能够紧扣项目特征，内容科学合理。 三、赋分标准（满分 15 分） ①年度动态维护方案编制工作动态维护方案：每完全满足一项评审标准 2 分，满分 6 分； ②超特大城市国土空间总体规划全域动态维护方案：每完全满足一项评审标准得 1 分， 满分 3 分； ③重点建设项目清单编制与维护方案：每完全满足一项评审标准得 1 分， 满分 3 分； ④动态维护方案数据库建设方案：每完全满足一项评审标准得 1 分， 满分 3 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对能够完成本项目工作的服务承诺，包括①对本项目进度、时限、成果文件质量等做出承诺；②对服务时限内团队稳定性、人员到位情况等相关内容做出承诺；③数据准确性承诺。每提供一项承诺得 2 分，最高得 6 分。 评审标准：以承诺函加盖公章为准。未提供不得分。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1.项目负责人同时具备高级工程师职称和国家注册城乡规划师的得5分，只具备高级工程师职称的得3分，其他不得分。 2.项目负责人具备10年以上工作经验的得2分；6年以上工作经验的得1分。其他不得分。 3.项目负责人具有研究生及以上学历，得2分；有本科及以上学历，得1分；其他不得分。 评审标准：提供负责人毕业证、注册证书、职称证等复印件加盖公章，及截止投标前近3个月内任意一个月本单位社保缴纳证明，依法不需要缴纳社会保障资金的，应当提供相应证明文件，否则不得分。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拟投入项目团队人员能力</w:t>
            </w:r>
          </w:p>
        </w:tc>
        <w:tc>
          <w:tcPr>
            <w:tcW w:type="dxa" w:w="2492"/>
          </w:tcPr>
          <w:p>
            <w:pPr>
              <w:pStyle w:val="null3"/>
            </w:pPr>
            <w:r>
              <w:rPr>
                <w:rFonts w:ascii="仿宋_GB2312" w:hAnsi="仿宋_GB2312" w:cs="仿宋_GB2312" w:eastAsia="仿宋_GB2312"/>
              </w:rPr>
              <w:t>项目组成员(除项目负责人外)，同时具备高级工程师职称和国家注册城乡规划师资格的，每人得3分；仅具 备高级工程师职称的每人得1分，最高得6分；仅具 备中级及以上职称的，每提供一人得0.5分，最高得3分；满分18分。 评审标准：所有人员分值累加，同一人不得重复计分。 提供人员有效的注册证书（若有）、职称证等复印件加盖公章,及项目人员截止投标前近3个月内任意一个月本单位社保缴纳证明，依法不需要缴纳社会保障资金的，应当提供相应证明文件，否则不得分。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供应商提供2019年1月至今类似项目业绩合同（以合同签订时间为准）；一个业绩得3分，最高得18分。 评审依据：提供合同复印件并加盖公章。未提供不得分。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1.经资格审查、符合性审查合格的投标文件，其投标报价为有效报价，对符合政策性扣减的投标人的有效价格进行政策性扣减，并依据扣减后的价格（评审价格）进行价格评审。 2.投标报价得分：满足招标文件要求且投标报价最低的投标报价（综合单价合计）为评标基准价，其价格分为满分。价格分按照下列公式计算：投标报价得分=（评标基准价/投标报价）×10。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根据《西安市财政局关于进一步加大政府采购支持中小企业力度的通知》（市财函〔2022〕867号）的相关规定，给予小微企业价格扣除10%，用扣除后的价格参加评审。</w:t>
            </w:r>
          </w:p>
        </w:tc>
        <w:tc>
          <w:tcPr>
            <w:tcW w:type="dxa" w:w="1661"/>
          </w:tcPr>
          <w:p>
            <w:pPr>
              <w:pStyle w:val="null3"/>
            </w:pPr>
            <w:r>
              <w:rPr>
                <w:rFonts w:ascii="仿宋_GB2312" w:hAnsi="仿宋_GB2312" w:cs="仿宋_GB2312" w:eastAsia="仿宋_GB2312"/>
              </w:rPr>
              <w:t>中小企业声明函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详见附件：投标方案说明书.docx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详见附件：其它说明.docx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