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版本号：SCZA2026-CS-1423-001.1B120260716001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思政大练兵项目(二次)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SCZA2026-CS-1423-001.1B1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思政大练兵项目(二次)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SCZA2026-CS-1423-001.1B1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思政大练兵项目(二次)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思政课教师大练兵教学实践，通过以赛促教、以练提质，有效提升思政课教师的理论素养、教学能力与育人水平，推动思政课教学更加贴近学生、贴近实际、贴近时代，不断增强课程的思想性、理论性、亲和力与针对性。 同时，大练兵活动充分依托陕西红色资源与地方发展实践，丰富教学内容与形式，助力构建“大思政课”工作格局，筑牢青年学生理想信念根基，为打造高素质专业化思政课教师队伍、提升区域高校思政教育整体质量、培养担当民族复兴大任的时代新人提供了有力支撑。从而，提升思政课的思想性、理论性、亲和力和针对性，打造优质“金课 ”。</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采购包1（思政大练兵项目）：属于专门面向中小企业采购。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13892886071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代理服务费收费标准：代理服务费参考《国家计委关于印发&lt;招标代理服务收费管理暂行办法&gt;的通知》（计价格[2002]1980号）规定标准按标段收取。中标单位的招标代理服务费交纳信息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投标人提供的服务不应存在侵权行为，委托期间产出的成果内容，采购人享有使用的权利。</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及行业标准等，以最新和要求较高的为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思政课教师大练兵教学实践，通过以赛促教、以练提质，有效提升思政课教师的理论素养、教学能力与育人水平，推动思政课教学更加贴近学生、贴近实际、贴近时代，不断增强课程的思想性、理论性、亲和力与针对性。 同时，大练兵活动充分依托陕西红色资源与地方发展实践，丰富教学内容与形式，助力构建“大思政课”工作格局，筑牢青年学生理想信念根基，为打造高素质专业化思政课教师队伍、提升区域高校思政教育整体质量、培养担当民族复兴大任的时代新人提供了有力支撑。从而，提升思政课的思想性、理论性、亲和力和针对性，打造优质“金课 ”。</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思政大练兵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标的名称：思政大练兵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ind w:left="420"/>
            </w:pPr>
            <w:r>
              <w:rPr>
                <w:rFonts w:ascii="仿宋_GB2312" w:hAnsi="仿宋_GB2312" w:cs="仿宋_GB2312" w:eastAsia="仿宋_GB2312"/>
              </w:rPr>
              <w:t>一、项目概况</w:t>
            </w:r>
          </w:p>
          <w:p>
            <w:pPr>
              <w:pStyle w:val="null3"/>
            </w:pPr>
            <w:r>
              <w:rPr>
                <w:rFonts w:ascii="仿宋_GB2312" w:hAnsi="仿宋_GB2312" w:cs="仿宋_GB2312" w:eastAsia="仿宋_GB2312"/>
              </w:rPr>
              <w:t>思政课教师大练兵教学实践，通过以赛促教、以练提质，有效提升思政课教师的理论素养、教学能力与育人水平，推动思政课教学更加贴近学生、贴近实际、贴近时代，不断增强课程的思想性、理论性、亲和力与针对性。</w:t>
            </w:r>
          </w:p>
          <w:p>
            <w:pPr>
              <w:pStyle w:val="null3"/>
            </w:pPr>
            <w:r>
              <w:rPr>
                <w:rFonts w:ascii="仿宋_GB2312" w:hAnsi="仿宋_GB2312" w:cs="仿宋_GB2312" w:eastAsia="仿宋_GB2312"/>
              </w:rPr>
              <w:t>同时，大练兵活动充分依托陕西红色资源与地方发展实践，丰富教学内容与形式，助力构建“大思政课”工作格局，筑牢青年学生理想信念根基，为打造高素质专业化思政课教师队伍、提升区域高校思政教育整体质量、培养担当民族复兴大任的时代新人提供了有力支撑。从而，提升思政课的思想性、理论性、亲和力和针对性，打造优质“金课”。</w:t>
            </w:r>
          </w:p>
          <w:p>
            <w:pPr>
              <w:pStyle w:val="null3"/>
            </w:pPr>
            <w:r>
              <w:rPr>
                <w:rFonts w:ascii="仿宋_GB2312" w:hAnsi="仿宋_GB2312" w:cs="仿宋_GB2312" w:eastAsia="仿宋_GB2312"/>
              </w:rPr>
              <w:t>二、服务内容</w:t>
            </w:r>
          </w:p>
          <w:tbl>
            <w:tblPr>
              <w:tblInd w:type="dxa" w:w="225"/>
              <w:tblBorders>
                <w:top w:val="none" w:color="000000" w:sz="4"/>
                <w:left w:val="none" w:color="000000" w:sz="4"/>
                <w:bottom w:val="none" w:color="000000" w:sz="4"/>
                <w:right w:val="none" w:color="000000" w:sz="4"/>
                <w:insideH w:val="none"/>
                <w:insideV w:val="none"/>
              </w:tblBorders>
            </w:tblPr>
            <w:tblGrid>
              <w:gridCol w:w="211"/>
              <w:gridCol w:w="1074"/>
              <w:gridCol w:w="289"/>
              <w:gridCol w:w="283"/>
              <w:gridCol w:w="682"/>
            </w:tblGrid>
            <w:tr>
              <w:tc>
                <w:tcPr>
                  <w:tcW w:type="dxa" w:w="2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序号</w:t>
                  </w:r>
                </w:p>
              </w:tc>
              <w:tc>
                <w:tcPr>
                  <w:tcW w:type="dxa" w:w="10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项目名称</w:t>
                  </w:r>
                </w:p>
              </w:tc>
              <w:tc>
                <w:tcPr>
                  <w:tcW w:type="dxa" w:w="2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规格</w:t>
                  </w:r>
                </w:p>
              </w:tc>
              <w:tc>
                <w:tcPr>
                  <w:tcW w:type="dxa" w:w="2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数量</w:t>
                  </w:r>
                </w:p>
              </w:tc>
              <w:tc>
                <w:tcPr>
                  <w:tcW w:type="dxa" w:w="6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时长(分钟)</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□□□新时代</w:t>
                  </w:r>
                </w:p>
                <w:p>
                  <w:pPr>
                    <w:pStyle w:val="null3"/>
                    <w:jc w:val="center"/>
                  </w:pPr>
                  <w:r>
                    <w:rPr>
                      <w:rFonts w:ascii="仿宋_GB2312" w:hAnsi="仿宋_GB2312" w:cs="仿宋_GB2312" w:eastAsia="仿宋_GB2312"/>
                      <w:sz w:val="21"/>
                      <w:color w:val="000000"/>
                    </w:rPr>
                    <w:t>中国特色社会主义思想概论</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节</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450</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思想和中国特色社会</w:t>
                  </w:r>
                  <w:r>
                    <w:rPr>
                      <w:rFonts w:ascii="仿宋_GB2312" w:hAnsi="仿宋_GB2312" w:cs="仿宋_GB2312" w:eastAsia="仿宋_GB2312"/>
                      <w:sz w:val="21"/>
                      <w:color w:val="000000"/>
                    </w:rPr>
                    <w:t>主义理论体系概论</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节</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180</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思想道德与法治</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节</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200</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形势与政策</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节</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90</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心理健康与教育</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节</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360</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省级比赛课程</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节</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对标省赛文件，根据</w:t>
                  </w:r>
                  <w:r>
                    <w:rPr>
                      <w:rFonts w:ascii="仿宋_GB2312" w:hAnsi="仿宋_GB2312" w:cs="仿宋_GB2312" w:eastAsia="仿宋_GB2312"/>
                      <w:sz w:val="21"/>
                      <w:color w:val="000000"/>
                    </w:rPr>
                    <w:t>学校需求，直至参赛作品提交。</w:t>
                  </w:r>
                </w:p>
              </w:tc>
            </w:tr>
            <w:tr>
              <w:tc>
                <w:tcPr>
                  <w:tcW w:type="dxa" w:w="2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“四史”选修课</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节</w:t>
                  </w:r>
                </w:p>
              </w:tc>
              <w:tc>
                <w:tcPr>
                  <w:tcW w:type="dxa" w:w="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180</w:t>
                  </w:r>
                </w:p>
              </w:tc>
            </w:tr>
          </w:tbl>
          <w:p>
            <w:pPr>
              <w:pStyle w:val="null3"/>
              <w:numPr>
                <w:ilvl w:val="0"/>
                <w:numId w:val="1"/>
              </w:numPr>
              <w:spacing w:before="150" w:after="150"/>
            </w:pPr>
            <w:r>
              <w:rPr>
                <w:rFonts w:ascii="仿宋_GB2312" w:hAnsi="仿宋_GB2312" w:cs="仿宋_GB2312" w:eastAsia="仿宋_GB2312"/>
              </w:rPr>
              <w:t>建设要求</w:t>
            </w:r>
          </w:p>
          <w:p>
            <w:pPr>
              <w:pStyle w:val="null3"/>
            </w:pPr>
            <w:r>
              <w:rPr>
                <w:rFonts w:ascii="仿宋_GB2312" w:hAnsi="仿宋_GB2312" w:cs="仿宋_GB2312" w:eastAsia="仿宋_GB2312"/>
              </w:rPr>
              <w:t>1.遵循“大练兵”主题活动标准，组织辅导进行目标、大纲梳理，定制视频拍摄脚本并拍摄，编辑碎片化视频，组织资源进行课程上线等内容。</w:t>
            </w:r>
          </w:p>
          <w:p>
            <w:pPr>
              <w:pStyle w:val="null3"/>
            </w:pPr>
            <w:r>
              <w:rPr>
                <w:rFonts w:ascii="仿宋_GB2312" w:hAnsi="仿宋_GB2312" w:cs="仿宋_GB2312" w:eastAsia="仿宋_GB2312"/>
              </w:rPr>
              <w:t>2.设计制作安排。</w:t>
            </w:r>
          </w:p>
          <w:p>
            <w:pPr>
              <w:pStyle w:val="null3"/>
            </w:pPr>
            <w:r>
              <w:rPr>
                <w:rFonts w:ascii="仿宋_GB2312" w:hAnsi="仿宋_GB2312" w:cs="仿宋_GB2312" w:eastAsia="仿宋_GB2312"/>
              </w:rPr>
              <w:t>课程结构的计划与设计：为教师提供课程碎片化、层次化、主题化的设计咨询，其中包括课程学时安排、章节结构、教学大纲、知识点、教学重点、教学课件等内容。</w:t>
            </w:r>
          </w:p>
          <w:p>
            <w:pPr>
              <w:pStyle w:val="null3"/>
            </w:pPr>
            <w:r>
              <w:rPr>
                <w:rFonts w:ascii="仿宋_GB2312" w:hAnsi="仿宋_GB2312" w:cs="仿宋_GB2312" w:eastAsia="仿宋_GB2312"/>
              </w:rPr>
              <w:t>3.开展课程拍摄工作。</w:t>
            </w:r>
          </w:p>
          <w:p>
            <w:pPr>
              <w:pStyle w:val="null3"/>
            </w:pPr>
            <w:r>
              <w:rPr>
                <w:rFonts w:ascii="仿宋_GB2312" w:hAnsi="仿宋_GB2312" w:cs="仿宋_GB2312" w:eastAsia="仿宋_GB2312"/>
              </w:rPr>
              <w:t>按照校内和校外实践课拍摄方案，不同的拍摄方式采用不同的制作方式。如PPT模式需分章节剪辑，访谈模式按照老师讲解的内容变换机位，真人+动画模式设计平面以及动画，全动画模式按照详细的制作脚本完成动画设计制作等。校外实践课需在拍摄地跟拍。服务人员根据教师课程设计帮助教师选择设定最合适的拍摄方案，并制定完善的拍摄计划。</w:t>
            </w:r>
          </w:p>
          <w:p>
            <w:pPr>
              <w:pStyle w:val="null3"/>
            </w:pPr>
            <w:r>
              <w:rPr>
                <w:rFonts w:ascii="仿宋_GB2312" w:hAnsi="仿宋_GB2312" w:cs="仿宋_GB2312" w:eastAsia="仿宋_GB2312"/>
              </w:rPr>
              <w:t>4.后期制作。</w:t>
            </w:r>
          </w:p>
          <w:p>
            <w:pPr>
              <w:pStyle w:val="null3"/>
            </w:pPr>
            <w:r>
              <w:rPr>
                <w:rFonts w:ascii="仿宋_GB2312" w:hAnsi="仿宋_GB2312" w:cs="仿宋_GB2312" w:eastAsia="仿宋_GB2312"/>
              </w:rPr>
              <w:t>使用专业的非线性编辑系统对源视频进行最基本的处理，如抠像、颜色校正、双声道处理。使用专业的视频编辑系统进行视频降噪、音频降噪。包含片头设计、课程内容剪辑、专业的后期合成软件制作片尾、使用专业非线性编辑系统渲染成片、利用动画和多种特技手段呈现教学内容。</w:t>
            </w:r>
          </w:p>
          <w:p>
            <w:pPr>
              <w:pStyle w:val="null3"/>
            </w:pPr>
            <w:r>
              <w:rPr>
                <w:rFonts w:ascii="仿宋_GB2312" w:hAnsi="仿宋_GB2312" w:cs="仿宋_GB2312" w:eastAsia="仿宋_GB2312"/>
              </w:rPr>
              <w:t>5.根据项目需要，如需课程上线运行推广，服务商须负责将新建课程在国家精品在线开放课程工作网认定的MOOC等平台进行课程上线运行推广服务。</w:t>
            </w:r>
          </w:p>
          <w:p>
            <w:pPr>
              <w:pStyle w:val="null3"/>
            </w:pPr>
            <w:r>
              <w:rPr>
                <w:rFonts w:ascii="仿宋_GB2312" w:hAnsi="仿宋_GB2312" w:cs="仿宋_GB2312" w:eastAsia="仿宋_GB2312"/>
              </w:rPr>
              <w:t>6.根据项目需要，提供课程主页建设、教学大纲建设、进阶式时间进度设置、教师课程维护、教学班学生管理、教学团队管理、规格化及自定义题型支持的题库管理等在线应用服务。</w:t>
            </w:r>
          </w:p>
          <w:p>
            <w:pPr>
              <w:pStyle w:val="null3"/>
              <w:numPr>
                <w:ilvl w:val="0"/>
                <w:numId w:val="1"/>
              </w:numPr>
            </w:pPr>
            <w:r>
              <w:rPr>
                <w:rFonts w:ascii="仿宋_GB2312" w:hAnsi="仿宋_GB2312" w:cs="仿宋_GB2312" w:eastAsia="仿宋_GB2312"/>
              </w:rPr>
              <w:t>视频拍摄技术要求</w:t>
            </w:r>
          </w:p>
          <w:p>
            <w:pPr>
              <w:pStyle w:val="null3"/>
            </w:pPr>
            <w:r>
              <w:rPr>
                <w:rFonts w:ascii="仿宋_GB2312" w:hAnsi="仿宋_GB2312" w:cs="仿宋_GB2312" w:eastAsia="仿宋_GB2312"/>
              </w:rPr>
              <w:t>多样化、多机位(2个以上)拍摄，如手写讲解、实景、抠像等方式；使用专业级话筒，确保教师声音质量。提供教师拍摄前化妆及拍摄过程中跟妆服务。以视频的形式，呈现教师基于教学设计思想而围绕某个知识点(重点、难点、疑点)或教学环节所开展的教学活动过程，提供外景实拍服务。</w:t>
            </w:r>
          </w:p>
          <w:p>
            <w:pPr>
              <w:pStyle w:val="null3"/>
            </w:pPr>
            <w:r>
              <w:rPr>
                <w:rFonts w:ascii="仿宋_GB2312" w:hAnsi="仿宋_GB2312" w:cs="仿宋_GB2312" w:eastAsia="仿宋_GB2312"/>
              </w:rPr>
              <w:t>(一)视频制作</w:t>
            </w:r>
          </w:p>
          <w:p>
            <w:pPr>
              <w:pStyle w:val="null3"/>
            </w:pPr>
            <w:r>
              <w:rPr>
                <w:rFonts w:ascii="仿宋_GB2312" w:hAnsi="仿宋_GB2312" w:cs="仿宋_GB2312" w:eastAsia="仿宋_GB2312"/>
              </w:rPr>
              <w:t>1.按照课程教学需要，对教师提供的多媒体课件进行修改美化，或在原课件基础上根据人工智能发展需要重新制作课件。</w:t>
            </w:r>
          </w:p>
          <w:p>
            <w:pPr>
              <w:pStyle w:val="null3"/>
            </w:pPr>
            <w:r>
              <w:rPr>
                <w:rFonts w:ascii="仿宋_GB2312" w:hAnsi="仿宋_GB2312" w:cs="仿宋_GB2312" w:eastAsia="仿宋_GB2312"/>
              </w:rPr>
              <w:t>2.依据课程设计及使用单位要求，对视频进行后期制作，剪辑、增加特效、动画、3D建模等。</w:t>
            </w:r>
          </w:p>
          <w:p>
            <w:pPr>
              <w:pStyle w:val="null3"/>
            </w:pPr>
            <w:r>
              <w:rPr>
                <w:rFonts w:ascii="仿宋_GB2312" w:hAnsi="仿宋_GB2312" w:cs="仿宋_GB2312" w:eastAsia="仿宋_GB2312"/>
              </w:rPr>
              <w:t>3.对教师提供的教材、教学大纲、思维导图、教案、讲义、题库、案例、参考文献等配套学习资源进行电子化处理及修订。</w:t>
            </w:r>
          </w:p>
          <w:p>
            <w:pPr>
              <w:pStyle w:val="null3"/>
            </w:pPr>
            <w:r>
              <w:rPr>
                <w:rFonts w:ascii="仿宋_GB2312" w:hAnsi="仿宋_GB2312" w:cs="仿宋_GB2312" w:eastAsia="仿宋_GB2312"/>
              </w:rPr>
              <w:t>4.根据课程教学设计，完成虚拟演播室环境或现实环境下的三维场景、动画、视频、音频、PPT、讲课教师现场讲授视频等素材的同步合成。</w:t>
            </w:r>
          </w:p>
          <w:p>
            <w:pPr>
              <w:pStyle w:val="null3"/>
            </w:pPr>
            <w:r>
              <w:rPr>
                <w:rFonts w:ascii="仿宋_GB2312" w:hAnsi="仿宋_GB2312" w:cs="仿宋_GB2312" w:eastAsia="仿宋_GB2312"/>
              </w:rPr>
              <w:t>5.全部解说性视频须对应添加字幕，并提供同期音字幕叠加及校对服务。</w:t>
            </w:r>
          </w:p>
          <w:p>
            <w:pPr>
              <w:pStyle w:val="null3"/>
            </w:pPr>
            <w:r>
              <w:rPr>
                <w:rFonts w:ascii="仿宋_GB2312" w:hAnsi="仿宋_GB2312" w:cs="仿宋_GB2312" w:eastAsia="仿宋_GB2312"/>
              </w:rPr>
              <w:t>6.在项目正式实施前，先拍摄并制作样片，学校课程建设团队对课程内容、设计方案和样片进行评审，通过后方可开始启动课程制作项目。</w:t>
            </w:r>
          </w:p>
          <w:p>
            <w:pPr>
              <w:pStyle w:val="null3"/>
            </w:pPr>
            <w:r>
              <w:rPr>
                <w:rFonts w:ascii="仿宋_GB2312" w:hAnsi="仿宋_GB2312" w:cs="仿宋_GB2312" w:eastAsia="仿宋_GB2312"/>
              </w:rPr>
              <w:t>7.正式视频的制作完全遵循样片制作形式，制作水准不低于样片质量。确保项目高效有序推进，保证校方在规定期限内能够将课程上线。</w:t>
            </w:r>
          </w:p>
          <w:p>
            <w:pPr>
              <w:pStyle w:val="null3"/>
            </w:pPr>
            <w:r>
              <w:rPr>
                <w:rFonts w:ascii="仿宋_GB2312" w:hAnsi="仿宋_GB2312" w:cs="仿宋_GB2312" w:eastAsia="仿宋_GB2312"/>
              </w:rPr>
              <w:t>8.视频制作完成后，部分内容可根据需要单独编辑成微课，扩充微课课程资源库。</w:t>
            </w:r>
          </w:p>
          <w:p>
            <w:pPr>
              <w:pStyle w:val="null3"/>
            </w:pPr>
            <w:r>
              <w:rPr>
                <w:rFonts w:ascii="仿宋_GB2312" w:hAnsi="仿宋_GB2312" w:cs="仿宋_GB2312" w:eastAsia="仿宋_GB2312"/>
              </w:rPr>
              <w:t>9.每个视频制作完成后，中标供应商须由课程编导及项目经理进行至少两轮质量管控审核。</w:t>
            </w:r>
          </w:p>
          <w:p>
            <w:pPr>
              <w:pStyle w:val="null3"/>
            </w:pPr>
            <w:r>
              <w:rPr>
                <w:rFonts w:ascii="仿宋_GB2312" w:hAnsi="仿宋_GB2312" w:cs="仿宋_GB2312" w:eastAsia="仿宋_GB2312"/>
              </w:rPr>
              <w:t>10.课程LOG0:每门课程制作包含课程名称、课程主讲人姓名及职称、课程建设单位等要素的图片作为课程图片格式可采用jpg、bmp或png格式。</w:t>
            </w:r>
          </w:p>
          <w:p>
            <w:pPr>
              <w:pStyle w:val="null3"/>
            </w:pPr>
            <w:r>
              <w:rPr>
                <w:rFonts w:ascii="仿宋_GB2312" w:hAnsi="仿宋_GB2312" w:cs="仿宋_GB2312" w:eastAsia="仿宋_GB2312"/>
              </w:rPr>
              <w:t>11.片头片尾：每门课程制作1个片头片尾(设计2套方案供选),片头一般不超过10秒，应包括：课程名称和知识点名称信息。片尾包括版权单位等信息。</w:t>
            </w:r>
          </w:p>
          <w:p>
            <w:pPr>
              <w:pStyle w:val="null3"/>
            </w:pPr>
            <w:r>
              <w:rPr>
                <w:rFonts w:ascii="仿宋_GB2312" w:hAnsi="仿宋_GB2312" w:cs="仿宋_GB2312" w:eastAsia="仿宋_GB2312"/>
              </w:rPr>
              <w:t>12.以视觉形象为主，通过视听结合来传播信息内容，必须做到声音与画面的和谐。</w:t>
            </w:r>
          </w:p>
          <w:p>
            <w:pPr>
              <w:pStyle w:val="null3"/>
            </w:pPr>
            <w:r>
              <w:rPr>
                <w:rFonts w:ascii="仿宋_GB2312" w:hAnsi="仿宋_GB2312" w:cs="仿宋_GB2312" w:eastAsia="仿宋_GB2312"/>
              </w:rPr>
              <w:t>13.凸显课程的主题，院校元素，展现教师风采。</w:t>
            </w:r>
          </w:p>
          <w:p>
            <w:pPr>
              <w:pStyle w:val="null3"/>
            </w:pPr>
            <w:r>
              <w:rPr>
                <w:rFonts w:ascii="仿宋_GB2312" w:hAnsi="仿宋_GB2312" w:cs="仿宋_GB2312" w:eastAsia="仿宋_GB2312"/>
              </w:rPr>
              <w:t>14.立意和定位准确，提炼表现出课程广度和展现课程的独特魅力。</w:t>
            </w:r>
          </w:p>
          <w:p>
            <w:pPr>
              <w:pStyle w:val="null3"/>
            </w:pPr>
            <w:r>
              <w:rPr>
                <w:rFonts w:ascii="仿宋_GB2312" w:hAnsi="仿宋_GB2312" w:cs="仿宋_GB2312" w:eastAsia="仿宋_GB2312"/>
              </w:rPr>
              <w:t>(二)成片技术指标</w:t>
            </w:r>
          </w:p>
          <w:p>
            <w:pPr>
              <w:pStyle w:val="null3"/>
            </w:pPr>
            <w:r>
              <w:rPr>
                <w:rFonts w:ascii="仿宋_GB2312" w:hAnsi="仿宋_GB2312" w:cs="仿宋_GB2312" w:eastAsia="仿宋_GB2312"/>
              </w:rPr>
              <w:t>1.视频图像质量</w:t>
            </w:r>
          </w:p>
          <w:p>
            <w:pPr>
              <w:pStyle w:val="null3"/>
            </w:pPr>
            <w:r>
              <w:rPr>
                <w:rFonts w:ascii="仿宋_GB2312" w:hAnsi="仿宋_GB2312" w:cs="仿宋_GB2312" w:eastAsia="仿宋_GB2312"/>
              </w:rPr>
              <w:t>(1)稳定性。全片图像同步性能稳定，无失步现象，CTL同步控制信号必须连续；图像无抖动跳跃，色彩无突变，编辑点处图像稳定。</w:t>
            </w:r>
          </w:p>
          <w:p>
            <w:pPr>
              <w:pStyle w:val="null3"/>
            </w:pPr>
            <w:r>
              <w:rPr>
                <w:rFonts w:ascii="仿宋_GB2312" w:hAnsi="仿宋_GB2312" w:cs="仿宋_GB2312" w:eastAsia="仿宋_GB2312"/>
              </w:rPr>
              <w:t>(2)视频信噪比。图像信噪比不低于55dB,无明显杂波。</w:t>
            </w:r>
          </w:p>
          <w:p>
            <w:pPr>
              <w:pStyle w:val="null3"/>
            </w:pPr>
            <w:r>
              <w:rPr>
                <w:rFonts w:ascii="仿宋_GB2312" w:hAnsi="仿宋_GB2312" w:cs="仿宋_GB2312" w:eastAsia="仿宋_GB2312"/>
              </w:rPr>
              <w:t>(3)色调。白平衡正确，无明显偏色，多机拍摄的镜头衔接处无明显色差。</w:t>
            </w:r>
          </w:p>
          <w:p>
            <w:pPr>
              <w:pStyle w:val="null3"/>
            </w:pPr>
            <w:r>
              <w:rPr>
                <w:rFonts w:ascii="仿宋_GB2312" w:hAnsi="仿宋_GB2312" w:cs="仿宋_GB2312" w:eastAsia="仿宋_GB2312"/>
              </w:rPr>
              <w:t>(4)视频电平。视频全讯号幅度为 1Vp-p,最大不超过 1.1Vp-p。其中，消隐电平为0V时，白电平幅度 0.7Vp-p,同步信号-0.3V,色同步信号幅度0.3Vp-p(以消隐线上下对称),全片一致。</w:t>
            </w:r>
          </w:p>
          <w:p>
            <w:pPr>
              <w:pStyle w:val="null3"/>
            </w:pPr>
            <w:r>
              <w:rPr>
                <w:rFonts w:ascii="仿宋_GB2312" w:hAnsi="仿宋_GB2312" w:cs="仿宋_GB2312" w:eastAsia="仿宋_GB2312"/>
              </w:rPr>
              <w:t>(5)视频画幅宽高比。宽高比为16:9;在同一课程中，各讲应统一画幅的宽高比，不得混用。</w:t>
            </w:r>
          </w:p>
          <w:p>
            <w:pPr>
              <w:pStyle w:val="null3"/>
            </w:pPr>
            <w:r>
              <w:rPr>
                <w:rFonts w:ascii="仿宋_GB2312" w:hAnsi="仿宋_GB2312" w:cs="仿宋_GB2312" w:eastAsia="仿宋_GB2312"/>
              </w:rPr>
              <w:t>(6)视频压缩技术。采用H.264(MPEG-4Part10:profile=main,level=3.0)编码方式，码流率256Kbps以上，帧率不低于60fps,分辨率应不低于4K 4096×2160,成片格式为采用MP4格式，提供片头设计和制作。</w:t>
            </w:r>
          </w:p>
          <w:p>
            <w:pPr>
              <w:pStyle w:val="null3"/>
            </w:pPr>
            <w:r>
              <w:rPr>
                <w:rFonts w:ascii="仿宋_GB2312" w:hAnsi="仿宋_GB2312" w:cs="仿宋_GB2312" w:eastAsia="仿宋_GB2312"/>
              </w:rPr>
              <w:t>2.音频压缩格式及技术参数</w:t>
            </w:r>
          </w:p>
          <w:p>
            <w:pPr>
              <w:pStyle w:val="null3"/>
            </w:pPr>
            <w:r>
              <w:rPr>
                <w:rFonts w:ascii="仿宋_GB2312" w:hAnsi="仿宋_GB2312" w:cs="仿宋_GB2312" w:eastAsia="仿宋_GB2312"/>
              </w:rPr>
              <w:t>(1)音频压缩采用 AAC(MPEG4Part3)格式。</w:t>
            </w:r>
          </w:p>
          <w:p>
            <w:pPr>
              <w:pStyle w:val="null3"/>
            </w:pPr>
            <w:r>
              <w:rPr>
                <w:rFonts w:ascii="仿宋_GB2312" w:hAnsi="仿宋_GB2312" w:cs="仿宋_GB2312" w:eastAsia="仿宋_GB2312"/>
              </w:rPr>
              <w:t>(2)采样率48 KHz。</w:t>
            </w:r>
          </w:p>
          <w:p>
            <w:pPr>
              <w:pStyle w:val="null3"/>
            </w:pPr>
            <w:r>
              <w:rPr>
                <w:rFonts w:ascii="仿宋_GB2312" w:hAnsi="仿宋_GB2312" w:cs="仿宋_GB2312" w:eastAsia="仿宋_GB2312"/>
              </w:rPr>
              <w:t>(3)音频码流率128 Kbps(恒定)。</w:t>
            </w:r>
          </w:p>
          <w:p>
            <w:pPr>
              <w:pStyle w:val="null3"/>
            </w:pPr>
            <w:r>
              <w:rPr>
                <w:rFonts w:ascii="仿宋_GB2312" w:hAnsi="仿宋_GB2312" w:cs="仿宋_GB2312" w:eastAsia="仿宋_GB2312"/>
              </w:rPr>
              <w:t>(4)音频电平：-6db—0 db声音应无明显失真、放音过冲、过弱。</w:t>
            </w:r>
          </w:p>
          <w:p>
            <w:pPr>
              <w:pStyle w:val="null3"/>
            </w:pPr>
            <w:r>
              <w:rPr>
                <w:rFonts w:ascii="仿宋_GB2312" w:hAnsi="仿宋_GB2312" w:cs="仿宋_GB2312" w:eastAsia="仿宋_GB2312"/>
              </w:rPr>
              <w:t>(5)音频信噪比不低于48 db。</w:t>
            </w:r>
          </w:p>
          <w:p>
            <w:pPr>
              <w:pStyle w:val="null3"/>
            </w:pPr>
            <w:r>
              <w:rPr>
                <w:rFonts w:ascii="仿宋_GB2312" w:hAnsi="仿宋_GB2312" w:cs="仿宋_GB2312" w:eastAsia="仿宋_GB2312"/>
              </w:rPr>
              <w:t>(6)必须是双声道，必须做混音处理。</w:t>
            </w:r>
          </w:p>
          <w:p>
            <w:pPr>
              <w:pStyle w:val="null3"/>
            </w:pPr>
            <w:r>
              <w:rPr>
                <w:rFonts w:ascii="仿宋_GB2312" w:hAnsi="仿宋_GB2312" w:cs="仿宋_GB2312" w:eastAsia="仿宋_GB2312"/>
              </w:rPr>
              <w:t>3.字幕</w:t>
            </w:r>
          </w:p>
          <w:p>
            <w:pPr>
              <w:pStyle w:val="null3"/>
            </w:pPr>
            <w:r>
              <w:rPr>
                <w:rFonts w:ascii="仿宋_GB2312" w:hAnsi="仿宋_GB2312" w:cs="仿宋_GB2312" w:eastAsia="仿宋_GB2312"/>
              </w:rPr>
              <w:t>(1)字幕要使用符合国家标准的规范字，不出现繁体字、异体字(国家规定的除外)、错别字，外文字体要使用教师日常教学科研标准字体。</w:t>
            </w:r>
          </w:p>
          <w:p>
            <w:pPr>
              <w:pStyle w:val="null3"/>
            </w:pPr>
            <w:r>
              <w:rPr>
                <w:rFonts w:ascii="仿宋_GB2312" w:hAnsi="仿宋_GB2312" w:cs="仿宋_GB2312" w:eastAsia="仿宋_GB2312"/>
              </w:rPr>
              <w:t>(2)字幕无口述性逻辑错误，单行显示，每行一般不超过15字。</w:t>
            </w:r>
          </w:p>
          <w:p>
            <w:pPr>
              <w:pStyle w:val="null3"/>
            </w:pPr>
            <w:r>
              <w:rPr>
                <w:rFonts w:ascii="仿宋_GB2312" w:hAnsi="仿宋_GB2312" w:cs="仿宋_GB2312" w:eastAsia="仿宋_GB2312"/>
              </w:rPr>
              <w:t>(3)字幕的字体、大小、色彩搭配、摆放位置、停留时间、出入屏方式力求与其他要素(画面、解说词、音乐)配合适当，不破坏原有画面。</w:t>
            </w:r>
          </w:p>
          <w:p>
            <w:pPr>
              <w:pStyle w:val="null3"/>
            </w:pPr>
            <w:r>
              <w:rPr>
                <w:rFonts w:ascii="仿宋_GB2312" w:hAnsi="仿宋_GB2312" w:cs="仿宋_GB2312" w:eastAsia="仿宋_GB2312"/>
              </w:rPr>
              <w:t>(4)字幕不能固定加在视频上，必须以单独的SRT文件格式提供。</w:t>
            </w:r>
          </w:p>
          <w:p>
            <w:pPr>
              <w:pStyle w:val="null3"/>
            </w:pPr>
            <w:r>
              <w:rPr>
                <w:rFonts w:ascii="仿宋_GB2312" w:hAnsi="仿宋_GB2312" w:cs="仿宋_GB2312" w:eastAsia="仿宋_GB2312"/>
              </w:rPr>
              <w:t>(5)字幕采用UTF-8编码，时间轴准确，字幕出现时间与视频声音一致，音频对轨误差不超过500毫秒。</w:t>
            </w:r>
          </w:p>
          <w:p>
            <w:pPr>
              <w:pStyle w:val="null3"/>
            </w:pPr>
            <w:r>
              <w:rPr>
                <w:rFonts w:ascii="仿宋_GB2312" w:hAnsi="仿宋_GB2312" w:cs="仿宋_GB2312" w:eastAsia="仿宋_GB2312"/>
              </w:rPr>
              <w:t>供应商为该项目配备至少3名专业人员，不同课程间尽量避免兼任，配备1名项目编导和2名视频编辑人员。</w:t>
            </w:r>
          </w:p>
          <w:p>
            <w:pPr>
              <w:pStyle w:val="null3"/>
            </w:pPr>
            <w:r>
              <w:rPr>
                <w:rFonts w:ascii="仿宋_GB2312" w:hAnsi="仿宋_GB2312" w:cs="仿宋_GB2312" w:eastAsia="仿宋_GB2312"/>
              </w:rPr>
              <w:t>项目负责人：从业3年以上，有高校在线课程项目建设相关经验。</w:t>
            </w:r>
          </w:p>
          <w:p>
            <w:pPr>
              <w:pStyle w:val="null3"/>
            </w:pPr>
            <w:r>
              <w:rPr>
                <w:rFonts w:ascii="仿宋_GB2312" w:hAnsi="仿宋_GB2312" w:cs="仿宋_GB2312" w:eastAsia="仿宋_GB2312"/>
              </w:rPr>
              <w:t>课程编导：与教师深度沟通，收集材料，起草课程脚本、拟定分组镜头大纲。</w:t>
            </w:r>
          </w:p>
          <w:p>
            <w:pPr>
              <w:pStyle w:val="null3"/>
            </w:pPr>
            <w:r>
              <w:rPr>
                <w:rFonts w:ascii="仿宋_GB2312" w:hAnsi="仿宋_GB2312" w:cs="仿宋_GB2312" w:eastAsia="仿宋_GB2312"/>
              </w:rPr>
              <w:t>专业摄像师：摄像总监或从业3年以上资深摄像师。</w:t>
            </w:r>
          </w:p>
          <w:p>
            <w:pPr>
              <w:pStyle w:val="null3"/>
            </w:pPr>
            <w:r>
              <w:rPr>
                <w:rFonts w:ascii="仿宋_GB2312" w:hAnsi="仿宋_GB2312" w:cs="仿宋_GB2312" w:eastAsia="仿宋_GB2312"/>
              </w:rPr>
              <w:t>摄像助理：进行拍摄前的白平衡调试、机位的摆放、音频设备的测试。</w:t>
            </w:r>
          </w:p>
          <w:p>
            <w:pPr>
              <w:pStyle w:val="null3"/>
            </w:pPr>
            <w:r>
              <w:rPr>
                <w:rFonts w:ascii="仿宋_GB2312" w:hAnsi="仿宋_GB2312" w:cs="仿宋_GB2312" w:eastAsia="仿宋_GB2312"/>
              </w:rPr>
              <w:t>录音师：进行拍摄现场录音采集。</w:t>
            </w:r>
          </w:p>
          <w:p>
            <w:pPr>
              <w:pStyle w:val="null3"/>
            </w:pPr>
            <w:r>
              <w:rPr>
                <w:rFonts w:ascii="仿宋_GB2312" w:hAnsi="仿宋_GB2312" w:cs="仿宋_GB2312" w:eastAsia="仿宋_GB2312"/>
              </w:rPr>
              <w:t>化妆师：有跟剧组经验，擅长画上镜装。</w:t>
            </w:r>
          </w:p>
          <w:p>
            <w:pPr>
              <w:pStyle w:val="null3"/>
            </w:pPr>
            <w:r>
              <w:rPr>
                <w:rFonts w:ascii="仿宋_GB2312" w:hAnsi="仿宋_GB2312" w:cs="仿宋_GB2312" w:eastAsia="仿宋_GB2312"/>
              </w:rPr>
              <w:t>视频编辑人员：亲自参与制作在线课程十门以上，熟练掌握后期剪辑设备。</w:t>
            </w:r>
          </w:p>
          <w:p>
            <w:pPr>
              <w:pStyle w:val="null3"/>
            </w:pPr>
            <w:r>
              <w:rPr>
                <w:rFonts w:ascii="仿宋_GB2312" w:hAnsi="仿宋_GB2312" w:cs="仿宋_GB2312" w:eastAsia="仿宋_GB2312"/>
              </w:rPr>
              <w:t>三维/二维动画师：根据课程需要制作动画(软件：Flash/3DMax/Maya等)。</w:t>
            </w:r>
          </w:p>
          <w:p>
            <w:pPr>
              <w:pStyle w:val="null3"/>
            </w:pPr>
            <w:r>
              <w:rPr>
                <w:rFonts w:ascii="仿宋_GB2312" w:hAnsi="仿宋_GB2312" w:cs="仿宋_GB2312" w:eastAsia="仿宋_GB2312"/>
              </w:rPr>
              <w:t>字幕制作员：对教学过程录像进行字幕的速记、校对，制作外挂字幕(SRT等格式)。</w:t>
            </w:r>
          </w:p>
          <w:p>
            <w:pPr>
              <w:pStyle w:val="null3"/>
            </w:pPr>
            <w:r>
              <w:rPr>
                <w:rFonts w:ascii="仿宋_GB2312" w:hAnsi="仿宋_GB2312" w:cs="仿宋_GB2312" w:eastAsia="仿宋_GB2312"/>
              </w:rPr>
              <w:t>美工：从业经验3年以上，负责页面美化，文字排版。</w:t>
            </w:r>
          </w:p>
          <w:p>
            <w:pPr>
              <w:pStyle w:val="null3"/>
            </w:pPr>
            <w:r>
              <w:rPr>
                <w:rFonts w:ascii="仿宋_GB2312" w:hAnsi="仿宋_GB2312" w:cs="仿宋_GB2312" w:eastAsia="仿宋_GB2312"/>
              </w:rPr>
              <w:t>校对员：从业经验3年以上，负责文字校对，页面审核。</w:t>
            </w:r>
          </w:p>
          <w:p>
            <w:pPr>
              <w:pStyle w:val="null3"/>
              <w:numPr>
                <w:ilvl w:val="0"/>
                <w:numId w:val="1"/>
              </w:numPr>
            </w:pPr>
            <w:r>
              <w:rPr>
                <w:rFonts w:ascii="仿宋_GB2312" w:hAnsi="仿宋_GB2312" w:cs="仿宋_GB2312" w:eastAsia="仿宋_GB2312"/>
              </w:rPr>
              <w:t>服务要求</w:t>
            </w:r>
          </w:p>
          <w:p>
            <w:pPr>
              <w:pStyle w:val="null3"/>
            </w:pPr>
            <w:r>
              <w:rPr>
                <w:rFonts w:ascii="仿宋_GB2312" w:hAnsi="仿宋_GB2312" w:cs="仿宋_GB2312" w:eastAsia="仿宋_GB2312"/>
              </w:rPr>
              <w:t>(一)团队要求</w:t>
            </w:r>
          </w:p>
          <w:p>
            <w:pPr>
              <w:pStyle w:val="null3"/>
            </w:pPr>
            <w:r>
              <w:rPr>
                <w:rFonts w:ascii="仿宋_GB2312" w:hAnsi="仿宋_GB2312" w:cs="仿宋_GB2312" w:eastAsia="仿宋_GB2312"/>
              </w:rPr>
              <w:t>1.团队成员至少包括项目负责人、编导(导演)、摄像师、后期制作、化妆师、校对员等。</w:t>
            </w:r>
          </w:p>
          <w:p>
            <w:pPr>
              <w:pStyle w:val="null3"/>
            </w:pPr>
            <w:r>
              <w:rPr>
                <w:rFonts w:ascii="仿宋_GB2312" w:hAnsi="仿宋_GB2312" w:cs="仿宋_GB2312" w:eastAsia="仿宋_GB2312"/>
              </w:rPr>
              <w:t>2.投标供应商须有长期固定的制作团队，投标人必须为本项目组建固定的课程拍摄制作团队，确保拍摄制作团队的稳定性，确保拍摄制作工作的效率及效果，满足采购方的质量和效率要求，实施过程中不得无故更换实施人员。</w:t>
            </w:r>
          </w:p>
          <w:p>
            <w:pPr>
              <w:pStyle w:val="null3"/>
            </w:pPr>
            <w:r>
              <w:rPr>
                <w:rFonts w:ascii="仿宋_GB2312" w:hAnsi="仿宋_GB2312" w:cs="仿宋_GB2312" w:eastAsia="仿宋_GB2312"/>
              </w:rPr>
              <w:t>(二)技术要求场地及设备要求</w:t>
            </w:r>
          </w:p>
          <w:p>
            <w:pPr>
              <w:pStyle w:val="null3"/>
            </w:pPr>
            <w:r>
              <w:rPr>
                <w:rFonts w:ascii="仿宋_GB2312" w:hAnsi="仿宋_GB2312" w:cs="仿宋_GB2312" w:eastAsia="仿宋_GB2312"/>
              </w:rPr>
              <w:t>1.拍摄场地设施配备及拍摄需求</w:t>
            </w:r>
          </w:p>
          <w:p>
            <w:pPr>
              <w:pStyle w:val="null3"/>
            </w:pPr>
            <w:r>
              <w:rPr>
                <w:rFonts w:ascii="仿宋_GB2312" w:hAnsi="仿宋_GB2312" w:cs="仿宋_GB2312" w:eastAsia="仿宋_GB2312"/>
              </w:rPr>
              <w:t>(1)课程团队与制作公司协商指定拍摄场地，也可自行搭建录制环境。录制现场光线充足、环境安静，根据拍摄技术标准和课程内容，设计贴合教师授课特点的拍摄形式，与教师及其所在单位商定拍摄形式和拍摄环境，设计教学场景并安排布景。</w:t>
            </w:r>
          </w:p>
          <w:p>
            <w:pPr>
              <w:pStyle w:val="null3"/>
            </w:pPr>
            <w:r>
              <w:rPr>
                <w:rFonts w:ascii="仿宋_GB2312" w:hAnsi="仿宋_GB2312" w:cs="仿宋_GB2312" w:eastAsia="仿宋_GB2312"/>
              </w:rPr>
              <w:t>(2)摄像机要求不低于广播级数字设备，根据实际需求适当增加拍摄机位，可采用学校提供的摄录设备进行拍摄制作，也可按学校保密要求自行携带设备进行录制，采用专业级指向性话筒，保证现场同期录音质量。</w:t>
            </w:r>
          </w:p>
          <w:p>
            <w:pPr>
              <w:pStyle w:val="null3"/>
            </w:pPr>
            <w:r>
              <w:rPr>
                <w:rFonts w:ascii="仿宋_GB2312" w:hAnsi="仿宋_GB2312" w:cs="仿宋_GB2312" w:eastAsia="仿宋_GB2312"/>
              </w:rPr>
              <w:t>2.拍摄及制作硬件设备需求</w:t>
            </w:r>
          </w:p>
          <w:p>
            <w:pPr>
              <w:pStyle w:val="null3"/>
            </w:pPr>
            <w:r>
              <w:rPr>
                <w:rFonts w:ascii="仿宋_GB2312" w:hAnsi="仿宋_GB2312" w:cs="仿宋_GB2312" w:eastAsia="仿宋_GB2312"/>
              </w:rPr>
              <w:t>(1)按照现行慕课拍摄清晰度要求，可使用主流单反全幅数码设备。</w:t>
            </w:r>
          </w:p>
          <w:p>
            <w:pPr>
              <w:pStyle w:val="null3"/>
            </w:pPr>
            <w:r>
              <w:rPr>
                <w:rFonts w:ascii="仿宋_GB2312" w:hAnsi="仿宋_GB2312" w:cs="仿宋_GB2312" w:eastAsia="仿宋_GB2312"/>
              </w:rPr>
              <w:t>(2)拍摄设备要求同型同款高清摄像机保证录制效果的一致性。</w:t>
            </w:r>
          </w:p>
          <w:p>
            <w:pPr>
              <w:pStyle w:val="null3"/>
            </w:pPr>
            <w:r>
              <w:rPr>
                <w:rFonts w:ascii="仿宋_GB2312" w:hAnsi="仿宋_GB2312" w:cs="仿宋_GB2312" w:eastAsia="仿宋_GB2312"/>
              </w:rPr>
              <w:t>(3)后期制作设备须采用专业非线编辑系统进行。</w:t>
            </w:r>
          </w:p>
          <w:p>
            <w:pPr>
              <w:pStyle w:val="null3"/>
            </w:pPr>
            <w:r>
              <w:rPr>
                <w:rFonts w:ascii="仿宋_GB2312" w:hAnsi="仿宋_GB2312" w:cs="仿宋_GB2312" w:eastAsia="仿宋_GB2312"/>
              </w:rPr>
              <w:t>3.编导及策划要求</w:t>
            </w:r>
          </w:p>
          <w:p>
            <w:pPr>
              <w:pStyle w:val="null3"/>
            </w:pPr>
            <w:r>
              <w:rPr>
                <w:rFonts w:ascii="仿宋_GB2312" w:hAnsi="仿宋_GB2312" w:cs="仿宋_GB2312" w:eastAsia="仿宋_GB2312"/>
              </w:rPr>
              <w:t>(1)协助教师确定课程内容设计安排，包括章节框架、知识点和拍摄单元。</w:t>
            </w:r>
          </w:p>
          <w:p>
            <w:pPr>
              <w:pStyle w:val="null3"/>
            </w:pPr>
            <w:r>
              <w:rPr>
                <w:rFonts w:ascii="仿宋_GB2312" w:hAnsi="仿宋_GB2312" w:cs="仿宋_GB2312" w:eastAsia="仿宋_GB2312"/>
              </w:rPr>
              <w:t>(2)根据教师提供的教学设计文稿，参与课程教学设计，为每个知识点定制数字媒体呈现形式并形成脚本。教学设计既符合教学基本原理，还需符合影视传播规律，所用到的数字媒体呈现形式不限于抠像、动画、VR、交互等多种形态。</w:t>
            </w:r>
          </w:p>
          <w:p>
            <w:pPr>
              <w:pStyle w:val="null3"/>
            </w:pPr>
            <w:r>
              <w:rPr>
                <w:rFonts w:ascii="仿宋_GB2312" w:hAnsi="仿宋_GB2312" w:cs="仿宋_GB2312" w:eastAsia="仿宋_GB2312"/>
              </w:rPr>
              <w:t>(3)协助教师收集课程所需的图片、视频、文档等课程资源，协助教师合理融入相关内容。</w:t>
            </w:r>
          </w:p>
          <w:p>
            <w:pPr>
              <w:pStyle w:val="null3"/>
            </w:pPr>
            <w:r>
              <w:rPr>
                <w:rFonts w:ascii="仿宋_GB2312" w:hAnsi="仿宋_GB2312" w:cs="仿宋_GB2312" w:eastAsia="仿宋_GB2312"/>
              </w:rPr>
              <w:t>(4)与教师沟通说明拍摄要求，协助提供着装及妆容意见，并根据教师工作日程安排确定拍摄时间，制作相关排期表留档。</w:t>
            </w:r>
          </w:p>
          <w:p>
            <w:pPr>
              <w:pStyle w:val="null3"/>
            </w:pPr>
            <w:r>
              <w:rPr>
                <w:rFonts w:ascii="仿宋_GB2312" w:hAnsi="仿宋_GB2312" w:cs="仿宋_GB2312" w:eastAsia="仿宋_GB2312"/>
              </w:rPr>
              <w:t>4.人员培训</w:t>
            </w:r>
          </w:p>
          <w:p>
            <w:pPr>
              <w:pStyle w:val="null3"/>
            </w:pPr>
            <w:r>
              <w:rPr>
                <w:rFonts w:ascii="仿宋_GB2312" w:hAnsi="仿宋_GB2312" w:cs="仿宋_GB2312" w:eastAsia="仿宋_GB2312"/>
              </w:rPr>
              <w:t>(1)中标供应商应在课程拍摄前为课程团队提供课程拍摄技巧等方面的培训，制定线下课程建设培训方案，对相关教师进行系统的培训。</w:t>
            </w:r>
          </w:p>
          <w:p>
            <w:pPr>
              <w:pStyle w:val="null3"/>
            </w:pPr>
            <w:r>
              <w:rPr>
                <w:rFonts w:ascii="仿宋_GB2312" w:hAnsi="仿宋_GB2312" w:cs="仿宋_GB2312" w:eastAsia="仿宋_GB2312"/>
              </w:rPr>
              <w:t>(2)中标供应商应具备为课程团队提供课程拍摄后进行线上教学相关经验培训的能力。须具备相关团队或可协调地方高校的名师等，能够定期为相关教师进行线上线下教学的培训。</w:t>
            </w:r>
          </w:p>
          <w:p>
            <w:pPr>
              <w:pStyle w:val="null3"/>
            </w:pPr>
            <w:r>
              <w:rPr>
                <w:rFonts w:ascii="仿宋_GB2312" w:hAnsi="仿宋_GB2312" w:cs="仿宋_GB2312" w:eastAsia="仿宋_GB2312"/>
              </w:rPr>
              <w:t>(3)为教师提供在线课程制作和应用、镜头前仪容仪表等内容的培训服务。</w:t>
            </w:r>
          </w:p>
          <w:p>
            <w:pPr>
              <w:pStyle w:val="null3"/>
              <w:numPr>
                <w:ilvl w:val="0"/>
                <w:numId w:val="1"/>
              </w:numPr>
            </w:pPr>
            <w:r>
              <w:rPr>
                <w:rFonts w:ascii="仿宋_GB2312" w:hAnsi="仿宋_GB2312" w:cs="仿宋_GB2312" w:eastAsia="仿宋_GB2312"/>
              </w:rPr>
              <w:t>成果交付要求</w:t>
            </w:r>
          </w:p>
          <w:p>
            <w:pPr>
              <w:pStyle w:val="null3"/>
            </w:pPr>
            <w:r>
              <w:rPr>
                <w:rFonts w:ascii="仿宋_GB2312" w:hAnsi="仿宋_GB2312" w:cs="仿宋_GB2312" w:eastAsia="仿宋_GB2312"/>
              </w:rPr>
              <w:t>所有完成视频课程文件均采用移动硬盘交付，硬盘上附全部课程内容清单(标记学院名称、课程名称、讲次及标题、主讲教师、时长等);同时提供资源库平台交付，交付物为完整可直接投入运行的课程。项目所有视频的知识产权归属由采购人所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的磋商报价是供应商响应磋商项目要求的全部工作内容的价格体现，包括供应商完成本项目所需的直接费用、间接费、利润、税金及其它相关的一切费用，包括但不限于：服务费(含售后)、设备使用费、人员工资、管理费、验收费、社保、取暖费、降温费、保险费、利润和税金等全部费用；在提供服务的过程中的任何遗漏，均由成交供应商免费提供，采购人将不再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自合同签订之日起90个自然日内，完成项目中包含的所有服务内容。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及行业标准等，以最新和要求较高的为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预付款，协议签订生效后(付款前服务商应出具等值发票交至采购人，采购人以银行转账方式支付)，达到付款条件起22个工作日内，支付合同总金额的40.0%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进度款，项目整体验收通过后(付款前服务商应出具等值发票交至采购人，采购人以银行转账方式支付；其他具体按拟签订采购合同相关条款执行)，达到付款条件起22个工作日内，支付合同总金额的60.0%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1.严格按照《中华人民共和国民法典》相关条款执行。 2.未按合同要求提供服务、服务质量不达标或考核不合格的，按《中华人民共和国政府采购法》有关规定处罚。 3.延迟交付服务或成果的，每逾期1天，乙方向甲方支付合同标的额1‰的违约金；逾期累计30天的，甲方有权单方解除协议，乙方需赔偿甲方由此造成的经济损失。 4.争议解决途径：向有管辖权的法院提起诉讼。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六个月内至少一个月的的纳税证明或完税证明（社保及单位代扣代缴的个人所得税不能作为单位纳税的凭证），依法免税的单位应提供相关证明材料；时间以税款所属时期为准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商务及技术条款偏离表.docx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场地及设备</w:t>
            </w:r>
          </w:p>
        </w:tc>
        <w:tc>
          <w:tcPr>
            <w:tcW w:type="dxa" w:w="2492"/>
          </w:tcPr>
          <w:p>
            <w:pPr>
              <w:pStyle w:val="null3"/>
            </w:pPr>
            <w:r>
              <w:rPr>
                <w:rFonts w:ascii="仿宋_GB2312" w:hAnsi="仿宋_GB2312" w:cs="仿宋_GB2312" w:eastAsia="仿宋_GB2312"/>
              </w:rPr>
              <w:t>根据供应商针对本项目拟投入的设备及场地等评审 1.供应商提供完全满足本次课程建设的摄影设备、录音设备、灯光、监听、存储、后期制作设备（软件）等，每具有一个符合制作要求的设备（软件）得1.5分，最多得9分，不满足不得分。 2.供应商具备驻场录制场地的得3分。 3.国家开放课程平台功能介绍等，具备课程视频、章节测试、互动、期末考试、课程讨论等过程化管理模块；每具备一项模块得1分，满分3分。 （提供证明材料：场地需具备租房协议或自有产权证明、设备提供详细的清单等）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拟派项目负责人具备相关组织经验及管理能力，提供相关证明资料（合同或课程官网可查的制作名单等资料均可）得3分。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针对本项目提供项目团队人员配备情况；至少包含编导（导演）、摄像师、后期制作及效果包装人员等满足全部专业人员各1人；并根据以下评审标准评审（人数不足得0分）： （1）在满足上述基础上每增加1名专业人员得2分。最多得4分； （2）团队人员职能分工科学合理得4分； （3）团队人员具备与采购需求或职位相关的学历证书、技能证书、职称证书，评价证书等，每人得1分，最多得4分，同1人员多项证书按1人计算。 （4）团队人员具备与采购需求或职务相关的实施经验，每人得2分，最多得10分。 注：人员配备情况不满足基本要求的本大项不得分.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供应商具有近三年（2023年1月1日至今以合同签订时间为准）的同类业绩证明文件，复印件加盖公章，每一份提供得2分，满分10分。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（一）供应商提供针对本项目的总体实施方案及各方案的具体实施策略，内容包括:①总体制作思路②课程设计方案③拍摄计划方案④课程制作方案⑤宣传片制作方案⑥线上推广方案等；根据以下标准评审； （二）评审标准 1.完整性：方案必须全面，对评审内容中的各项要求有详细描述；2.可实施性：切合本项目实际情况，提出步骤清晰、合理的方案；3.针对性：方案能紧扣项目实际情况，内容科学合理； （三）赋分标准（满分18分） ①总体制作思路：每满足一个评审标准得2分，不满足得0分，满分3分； ②课程初步设计方案：每满足一个评审标准得1分，不满足得0分，满分3分； ③拍摄计划方案：每满足一个评审标准得1分，不满足得0分，满分3分； ④课程制作方案：每满足一个评审标准得1分，不满足得0分，满分3分； ⑤宣传片制作方案：每满足一个评审标准得1分，不满足得0分，满分3分； ⑥ 线上推广方案：每满足一个评审标准得1分，不满足得0分，满分3分；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供应商根据采购要求，提供针对本项目的应急服务方案，包括但不限于可能发生的风险事件及应急处置方案、人员应急保障、技术应急保障等： （1）方案逻辑层次清晰、时效性强、针对性强，有完善的解决方案得3分； （2）方案逻辑层次较清晰、时效性满足应急要求、较强针对性，有具体的解决方案得2分； （3）方案逻辑层次一般、时效性基本保障应急要求、针对性一般，有解决方案得1分； （4）未提供的不得分。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供应商提供针对本项目的质量保证方案，包括但不限于 ①建立过程监控机制；②建立与采购人、老师的服务沟通机制；③建立多元化的课程评估机制；④项目预期实现效果与未达到效果的改进措施等方面等。根据内容的完整性（方案必须全面，对评审内容中的各项要求有详细描述）2.可实施性（切合本项目实际情况，提出步骤清晰、合理的方案）3.针对性（方案能紧扣项目实际情况，内容科学合理），每项完全满足、充分保障项目实施得计1分，基本满足且能够基本保障项目实施得0.5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对项目的进度保证措施进行分析： （1）保证措施合理，可操作性强的得3分； （2）保证措施基本合理，可操作性一般的得2分； （3）保证措施一般，可操作性差的得1分。 （3）未提供的不得分。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供应商应制定详细的培训方案，培训方案包括：①建课技术指导②拍摄模式选用指导③上线运行指导④视频试拍指导等。并根据以下标准评审： （二）评审标准1.完整性：方案必须全面，对评审内容中的各项要求有详细描述；2.可实施性：切合本项目实际情况，提出步骤清晰、合理的方案；3.针对性：方案能紧扣项目实际情况，内容科学合理； （三）赋分标准（满分6分） ①建课技术指导：每满足一个评审标准得0.5分，不满足得0分，满分1.5分； ②拍摄模式选用指导：每满足一个评审标准得0.5分，不满足得0分，满分1.5分； ③上线运行指导：每满足一个评审标准得0.5分，不满足得0分，满分1.5分； ④视频试拍指导：每满足一个评审标准得0.5分，不满足得0分，满分1.5分；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④售后服务的范围。根据内容的完整性、针对性、合理性，每项满足得计1.5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10。 （最低报价不是中标(成交)的唯一依据）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详见附件：6.1-西安职业技术学院服务合同(服务)-政府采购.docx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