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AF735">
      <w:pPr>
        <w:jc w:val="center"/>
        <w:rPr>
          <w:rFonts w:hint="eastAsia"/>
          <w:b/>
          <w:bCs/>
          <w:sz w:val="30"/>
          <w:szCs w:val="30"/>
          <w:lang w:val="en-US" w:eastAsia="zh-CN"/>
        </w:rPr>
      </w:pPr>
      <w:r>
        <w:rPr>
          <w:rFonts w:hint="eastAsia"/>
          <w:b/>
          <w:bCs/>
          <w:sz w:val="30"/>
          <w:szCs w:val="30"/>
          <w:lang w:val="en-US" w:eastAsia="zh-CN"/>
        </w:rPr>
        <w:t>采购需求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49"/>
        <w:gridCol w:w="1184"/>
        <w:gridCol w:w="6474"/>
      </w:tblGrid>
      <w:tr w14:paraId="16C266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49" w:type="dxa"/>
            <w:vAlign w:val="center"/>
          </w:tcPr>
          <w:p w14:paraId="1A8B2D6A">
            <w:pPr>
              <w:pStyle w:val="4"/>
              <w:jc w:val="center"/>
            </w:pPr>
            <w:r>
              <w:rPr>
                <w:rFonts w:ascii="仿宋_GB2312" w:hAnsi="仿宋_GB2312" w:eastAsia="仿宋_GB2312" w:cs="仿宋_GB2312"/>
              </w:rPr>
              <w:t>序号</w:t>
            </w:r>
          </w:p>
        </w:tc>
        <w:tc>
          <w:tcPr>
            <w:tcW w:w="1184" w:type="dxa"/>
          </w:tcPr>
          <w:p w14:paraId="436B5820">
            <w:pPr>
              <w:pStyle w:val="4"/>
            </w:pPr>
            <w:r>
              <w:rPr>
                <w:rFonts w:ascii="仿宋_GB2312" w:hAnsi="仿宋_GB2312" w:eastAsia="仿宋_GB2312" w:cs="仿宋_GB2312"/>
              </w:rPr>
              <w:t xml:space="preserve"> 参数性质</w:t>
            </w:r>
          </w:p>
        </w:tc>
        <w:tc>
          <w:tcPr>
            <w:tcW w:w="6474" w:type="dxa"/>
          </w:tcPr>
          <w:p w14:paraId="40162FC6">
            <w:pPr>
              <w:pStyle w:val="4"/>
            </w:pPr>
            <w:r>
              <w:rPr>
                <w:rFonts w:ascii="仿宋_GB2312" w:hAnsi="仿宋_GB2312" w:eastAsia="仿宋_GB2312" w:cs="仿宋_GB2312"/>
              </w:rPr>
              <w:t xml:space="preserve"> 技术参数与性能指标</w:t>
            </w:r>
          </w:p>
        </w:tc>
      </w:tr>
      <w:tr w14:paraId="40A0DA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49" w:type="dxa"/>
            <w:vAlign w:val="center"/>
          </w:tcPr>
          <w:p w14:paraId="646587BD">
            <w:pPr>
              <w:pStyle w:val="4"/>
              <w:jc w:val="center"/>
            </w:pPr>
            <w:r>
              <w:rPr>
                <w:rFonts w:ascii="仿宋_GB2312" w:hAnsi="仿宋_GB2312" w:eastAsia="仿宋_GB2312" w:cs="仿宋_GB2312"/>
              </w:rPr>
              <w:t>1</w:t>
            </w:r>
          </w:p>
        </w:tc>
        <w:tc>
          <w:tcPr>
            <w:tcW w:w="1184" w:type="dxa"/>
          </w:tcPr>
          <w:p w14:paraId="23614BE5"/>
        </w:tc>
        <w:tc>
          <w:tcPr>
            <w:tcW w:w="6474" w:type="dxa"/>
          </w:tcPr>
          <w:p w14:paraId="085152A3">
            <w:pPr>
              <w:pStyle w:val="4"/>
              <w:jc w:val="both"/>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一、项目概况</w:t>
            </w:r>
          </w:p>
          <w:p w14:paraId="0EEC574E">
            <w:pPr>
              <w:pStyle w:val="4"/>
              <w:keepNext w:val="0"/>
              <w:keepLines w:val="0"/>
              <w:pageBreakBefore w:val="0"/>
              <w:widowControl/>
              <w:kinsoku/>
              <w:wordWrap/>
              <w:overflowPunct/>
              <w:topLinePunct w:val="0"/>
              <w:autoSpaceDE/>
              <w:autoSpaceDN/>
              <w:bidi w:val="0"/>
              <w:adjustRightInd/>
              <w:snapToGrid/>
              <w:ind w:firstLine="400" w:firstLineChars="200"/>
              <w:jc w:val="both"/>
              <w:textAlignment w:val="auto"/>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完善新城区49处应急避难场所设施配置，进一步提升应急避难场所建设工作。满</w:t>
            </w:r>
            <w:bookmarkStart w:id="0" w:name="_GoBack"/>
            <w:bookmarkEnd w:id="0"/>
            <w:r>
              <w:rPr>
                <w:rFonts w:hint="default" w:ascii="仿宋_GB2312" w:hAnsi="仿宋_GB2312" w:eastAsia="仿宋_GB2312" w:cs="仿宋_GB2312"/>
                <w:lang w:val="en-US" w:eastAsia="zh-CN"/>
              </w:rPr>
              <w:t>足应急避难场所视频信号接驳需求。按照《西安市应急管理局关于推进避难设施建设管理与视频监控信号接驳工作的通知》要求，在应急避难场所关键部位、重要出入口、通道、功能区安装具备互联网传输和语音喊话功能的视频监控设备，实现远程视频监控、喊话叫应和精准调度</w:t>
            </w:r>
            <w:r>
              <w:rPr>
                <w:rFonts w:hint="eastAsia" w:ascii="仿宋_GB2312" w:hAnsi="仿宋_GB2312" w:eastAsia="仿宋_GB2312" w:cs="仿宋_GB2312"/>
                <w:lang w:val="en-US" w:eastAsia="zh-CN"/>
              </w:rPr>
              <w:t>。</w:t>
            </w:r>
          </w:p>
          <w:p w14:paraId="55D4C62A">
            <w:pPr>
              <w:pStyle w:val="4"/>
              <w:jc w:val="both"/>
              <w:rPr>
                <w:rFonts w:hint="eastAsia" w:ascii="仿宋_GB2312" w:hAnsi="仿宋_GB2312" w:eastAsia="仿宋_GB2312" w:cs="仿宋_GB2312"/>
              </w:rPr>
            </w:pPr>
            <w:r>
              <w:rPr>
                <w:rFonts w:hint="eastAsia" w:ascii="仿宋_GB2312" w:hAnsi="仿宋_GB2312" w:eastAsia="仿宋_GB2312" w:cs="仿宋_GB2312"/>
                <w:lang w:val="en-US" w:eastAsia="zh-CN"/>
              </w:rPr>
              <w:t>二、</w:t>
            </w:r>
            <w:r>
              <w:rPr>
                <w:rFonts w:hint="eastAsia" w:ascii="仿宋_GB2312" w:hAnsi="仿宋_GB2312" w:eastAsia="仿宋_GB2312" w:cs="仿宋_GB2312"/>
              </w:rPr>
              <w:t>符合国家及行业有关现行规范、标准的要求；</w:t>
            </w:r>
          </w:p>
          <w:p w14:paraId="40281864">
            <w:pPr>
              <w:pStyle w:val="4"/>
              <w:jc w:val="both"/>
              <w:rPr>
                <w:rFonts w:hint="eastAsia" w:ascii="仿宋_GB2312" w:hAnsi="仿宋_GB2312" w:eastAsia="仿宋_GB2312" w:cs="仿宋_GB2312"/>
                <w:lang w:val="en-US" w:eastAsia="zh-CN"/>
              </w:rPr>
            </w:pPr>
            <w:r>
              <w:rPr>
                <w:rFonts w:hint="eastAsia" w:ascii="仿宋_GB2312" w:hAnsi="仿宋_GB2312" w:eastAsia="仿宋_GB2312" w:cs="仿宋_GB2312"/>
              </w:rPr>
              <w:t>1.</w:t>
            </w:r>
            <w:r>
              <w:rPr>
                <w:rFonts w:hint="eastAsia" w:ascii="仿宋_GB2312" w:hAnsi="仿宋_GB2312" w:eastAsia="仿宋_GB2312" w:cs="仿宋_GB2312"/>
                <w:highlight w:val="none"/>
              </w:rPr>
              <w:t>设备像素≥400万高清视频监控球机；最高分辨率可达2560×1440@25fps，在该分辨率下可输出实时图像；支持数字宽动态，背光补偿，强光抑制，3D数字降噪，适应不同环境；</w:t>
            </w:r>
            <w:r>
              <w:rPr>
                <w:rFonts w:hint="eastAsia" w:ascii="仿宋_GB2312" w:hAnsi="仿宋_GB2312" w:eastAsia="仿宋_GB2312" w:cs="仿宋_GB2312"/>
                <w:highlight w:val="none"/>
                <w:lang w:val="en-US" w:eastAsia="zh-CN"/>
              </w:rPr>
              <w:t>数量：99台；</w:t>
            </w:r>
          </w:p>
          <w:p w14:paraId="6987BEBF">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rPr>
              <w:t>2.</w:t>
            </w:r>
            <w:r>
              <w:rPr>
                <w:rFonts w:hint="eastAsia" w:ascii="仿宋_GB2312" w:hAnsi="仿宋_GB2312" w:eastAsia="仿宋_GB2312" w:cs="仿宋_GB2312"/>
                <w:highlight w:val="none"/>
              </w:rPr>
              <w:t>内置4GSIM卡</w:t>
            </w:r>
            <w:r>
              <w:rPr>
                <w:rFonts w:hint="eastAsia" w:ascii="仿宋_GB2312" w:hAnsi="仿宋_GB2312" w:eastAsia="仿宋_GB2312" w:cs="仿宋_GB2312"/>
              </w:rPr>
              <w:t>，支持LTE-TDD/LTE-FDD</w:t>
            </w:r>
            <w:r>
              <w:rPr>
                <w:rFonts w:hint="eastAsia" w:ascii="仿宋_GB2312" w:hAnsi="仿宋_GB2312" w:eastAsia="仿宋_GB2312" w:cs="仿宋_GB2312"/>
                <w:highlight w:val="none"/>
              </w:rPr>
              <w:t>4G无线网络传输，接入标准支持IPv4/IPv6，HTTP，Qos，DNS，NTP等多种网络协议；</w:t>
            </w:r>
          </w:p>
          <w:p w14:paraId="2BBBAFCA">
            <w:pPr>
              <w:pStyle w:val="4"/>
              <w:jc w:val="both"/>
              <w:rPr>
                <w:rFonts w:hint="eastAsia" w:ascii="仿宋_GB2312" w:hAnsi="仿宋_GB2312" w:eastAsia="仿宋_GB2312" w:cs="仿宋_GB2312"/>
              </w:rPr>
            </w:pPr>
            <w:r>
              <w:rPr>
                <w:rFonts w:hint="eastAsia" w:ascii="仿宋_GB2312" w:hAnsi="仿宋_GB2312" w:eastAsia="仿宋_GB2312" w:cs="仿宋_GB2312"/>
              </w:rPr>
              <w:t>3</w:t>
            </w:r>
            <w:r>
              <w:rPr>
                <w:rFonts w:hint="eastAsia" w:ascii="仿宋_GB2312" w:hAnsi="仿宋_GB2312" w:eastAsia="仿宋_GB2312" w:cs="仿宋_GB2312"/>
                <w:lang w:val="en-US" w:eastAsia="zh-CN"/>
              </w:rPr>
              <w:t>.</w:t>
            </w:r>
            <w:r>
              <w:rPr>
                <w:rFonts w:hint="eastAsia" w:ascii="仿宋_GB2312" w:hAnsi="仿宋_GB2312" w:eastAsia="仿宋_GB2312" w:cs="仿宋_GB2312"/>
              </w:rPr>
              <w:t>内置1个内置麦克风，1个内置扬声器，支持双向语音对讲；</w:t>
            </w:r>
          </w:p>
          <w:p w14:paraId="015A2AA3">
            <w:pPr>
              <w:pStyle w:val="4"/>
              <w:jc w:val="both"/>
              <w:rPr>
                <w:rFonts w:hint="eastAsia" w:ascii="仿宋_GB2312" w:hAnsi="仿宋_GB2312" w:eastAsia="仿宋_GB2312" w:cs="仿宋_GB2312"/>
              </w:rPr>
            </w:pPr>
            <w:r>
              <w:rPr>
                <w:rFonts w:hint="eastAsia" w:ascii="仿宋_GB2312" w:hAnsi="仿宋_GB2312" w:eastAsia="仿宋_GB2312" w:cs="仿宋_GB2312"/>
              </w:rPr>
              <w:t>4.支持红外光、白光双补光，同时支持智能补光，白光最远可达25m，红外光最远可达25m；</w:t>
            </w:r>
          </w:p>
          <w:p w14:paraId="5C1909F7">
            <w:pPr>
              <w:pStyle w:val="4"/>
              <w:jc w:val="both"/>
              <w:rPr>
                <w:rFonts w:hint="eastAsia" w:ascii="仿宋_GB2312" w:hAnsi="仿宋_GB2312" w:eastAsia="仿宋_GB2312" w:cs="仿宋_GB2312"/>
              </w:rPr>
            </w:pPr>
            <w:r>
              <w:rPr>
                <w:rFonts w:hint="eastAsia" w:ascii="仿宋_GB2312" w:hAnsi="仿宋_GB2312" w:eastAsia="仿宋_GB2312" w:cs="仿宋_GB2312"/>
              </w:rPr>
              <w:t>5.符合IP66防尘防水设计，抗干扰能力强，可靠性高；</w:t>
            </w:r>
          </w:p>
          <w:p w14:paraId="28C505EC">
            <w:pPr>
              <w:pStyle w:val="4"/>
              <w:jc w:val="both"/>
              <w:rPr>
                <w:rFonts w:hint="eastAsia" w:ascii="仿宋_GB2312" w:hAnsi="仿宋_GB2312" w:eastAsia="仿宋_GB2312" w:cs="仿宋_GB2312"/>
              </w:rPr>
            </w:pPr>
            <w:r>
              <w:rPr>
                <w:rFonts w:hint="eastAsia" w:ascii="仿宋_GB2312" w:hAnsi="仿宋_GB2312" w:eastAsia="仿宋_GB2312" w:cs="仿宋_GB2312"/>
              </w:rPr>
              <w:t>6.支持接入移动侦测、支持人形检测，支持异常上传SD卡，上传中心，录像，声音报警，抓图；支持接入人数统计；</w:t>
            </w:r>
          </w:p>
          <w:p w14:paraId="56C9C6A5">
            <w:pPr>
              <w:pStyle w:val="4"/>
              <w:jc w:val="both"/>
              <w:rPr>
                <w:rFonts w:hint="eastAsia" w:ascii="仿宋_GB2312" w:hAnsi="仿宋_GB2312" w:eastAsia="仿宋_GB2312" w:cs="仿宋_GB2312"/>
              </w:rPr>
            </w:pPr>
            <w:r>
              <w:rPr>
                <w:rFonts w:hint="eastAsia" w:ascii="仿宋_GB2312" w:hAnsi="仿宋_GB2312" w:eastAsia="仿宋_GB2312" w:cs="仿宋_GB2312"/>
              </w:rPr>
              <w:t>7.通过视频应用管理平台实现整体视频信号推送（与区级、市级平台能实现无缝对接）；</w:t>
            </w:r>
          </w:p>
          <w:p w14:paraId="382667FA">
            <w:pPr>
              <w:pStyle w:val="4"/>
              <w:jc w:val="both"/>
              <w:rPr>
                <w:rFonts w:hint="eastAsia" w:ascii="仿宋_GB2312" w:hAnsi="仿宋_GB2312" w:eastAsia="仿宋_GB2312" w:cs="仿宋_GB2312"/>
              </w:rPr>
            </w:pPr>
            <w:r>
              <w:rPr>
                <w:rFonts w:hint="eastAsia" w:ascii="仿宋_GB2312" w:hAnsi="仿宋_GB2312" w:eastAsia="仿宋_GB2312" w:cs="仿宋_GB2312"/>
              </w:rPr>
              <w:t>8.视频存储内置存储≥30天，重要事件可永久归档；</w:t>
            </w:r>
          </w:p>
          <w:p w14:paraId="67D5B34E">
            <w:pPr>
              <w:pStyle w:val="4"/>
              <w:jc w:val="both"/>
              <w:rPr>
                <w:rFonts w:hint="eastAsia" w:ascii="仿宋_GB2312" w:hAnsi="仿宋_GB2312" w:eastAsia="仿宋_GB2312" w:cs="仿宋_GB2312"/>
              </w:rPr>
            </w:pPr>
            <w:r>
              <w:rPr>
                <w:rFonts w:hint="eastAsia" w:ascii="仿宋_GB2312" w:hAnsi="仿宋_GB2312" w:eastAsia="仿宋_GB2312" w:cs="仿宋_GB2312"/>
              </w:rPr>
              <w:t>9.包含电路电缆及网络连接所有设备，根据现场用料，辅材全包括；</w:t>
            </w:r>
          </w:p>
          <w:p w14:paraId="34829AF4">
            <w:pPr>
              <w:pStyle w:val="4"/>
              <w:jc w:val="both"/>
            </w:pPr>
            <w:r>
              <w:rPr>
                <w:rFonts w:hint="eastAsia" w:ascii="仿宋_GB2312" w:hAnsi="仿宋_GB2312" w:eastAsia="仿宋_GB2312" w:cs="仿宋_GB2312"/>
              </w:rPr>
              <w:t>10.在甲方指定范围内施工、调试、安装。</w:t>
            </w:r>
          </w:p>
        </w:tc>
      </w:tr>
    </w:tbl>
    <w:p w14:paraId="3699B95F">
      <w:pPr>
        <w:jc w:val="center"/>
        <w:rPr>
          <w:rFonts w:hint="default"/>
          <w:b/>
          <w:bCs/>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A93736"/>
    <w:rsid w:val="47A937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2026-06-11T06:46:00Z</dcterms:created>
  <dc:creator>123</dc:creator>
  <cp:lastModifiedBy>123</cp:lastModifiedBy>
  <dcterms:modified xsi:type="dcterms:W3CDTF">2026-06-11T06:47:05Z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B442CE5DCBDE4BAB848B6529E78FCBA7_11</vt:lpwstr>
  </property>
  <property fmtid="{D5CDD505-2E9C-101B-9397-08002B2CF9AE}" pid="4" name="KSOTemplateDocerSaveRecord">
    <vt:lpwstr>eyJoZGlkIjoiOTEzYTE1NjhmYmI0MDkxYmE1ZjVkMjkwNjA2M2Q0ZDUiLCJ1c2VySWQiOiI0NTE5NDQwNTQifQ==</vt:lpwstr>
  </property>
</Properties>
</file>