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outlineLvl w:val="0"/>
      </w:pPr>
      <w:r>
        <w:rPr>
          <w:rFonts w:ascii="仿宋_GB2312" w:hAnsi="仿宋_GB2312" w:cs="仿宋_GB2312" w:eastAsia="仿宋_GB2312"/>
          <w:sz w:val="48"/>
          <w:b/>
        </w:rPr>
        <w:t>政府采购项目采购需求</w:t>
      </w:r>
    </w:p>
    <w:p>
      <w:pPr>
        <w:pStyle w:val="null3"/>
        <w:spacing w:before="3000"/>
        <w:outlineLvl w:val="2"/>
      </w:pPr>
      <w:r>
        <w:rPr>
          <w:rFonts w:ascii="仿宋_GB2312" w:hAnsi="仿宋_GB2312" w:cs="仿宋_GB2312" w:eastAsia="仿宋_GB2312"/>
          <w:sz w:val="28"/>
          <w:b/>
        </w:rPr>
        <w:t>采购单位：</w:t>
      </w:r>
    </w:p>
    <w:p>
      <w:pPr>
        <w:pStyle w:val="null3"/>
        <w:outlineLvl w:val="2"/>
      </w:pPr>
      <w:r>
        <w:rPr>
          <w:rFonts w:ascii="仿宋_GB2312" w:hAnsi="仿宋_GB2312" w:cs="仿宋_GB2312" w:eastAsia="仿宋_GB2312"/>
          <w:sz w:val="28"/>
          <w:b/>
        </w:rPr>
        <w:t>西安市殡仪馆</w:t>
      </w:r>
    </w:p>
    <w:p>
      <w:pPr>
        <w:pStyle w:val="null3"/>
        <w:jc w:val="right"/>
        <w:outlineLvl w:val="2"/>
      </w:pPr>
      <w:r>
        <w:rPr>
          <w:rFonts w:ascii="仿宋_GB2312" w:hAnsi="仿宋_GB2312" w:cs="仿宋_GB2312" w:eastAsia="仿宋_GB2312"/>
          <w:sz w:val="28"/>
          <w:b/>
        </w:rPr>
        <w:t>所属年度：</w:t>
      </w:r>
    </w:p>
    <w:p>
      <w:pPr>
        <w:pStyle w:val="null3"/>
        <w:outlineLvl w:val="2"/>
      </w:pPr>
      <w:r>
        <w:rPr>
          <w:rFonts w:ascii="仿宋_GB2312" w:hAnsi="仿宋_GB2312" w:cs="仿宋_GB2312" w:eastAsia="仿宋_GB2312"/>
          <w:sz w:val="28"/>
          <w:b/>
        </w:rPr>
        <w:t>2026</w:t>
      </w:r>
      <w:r>
        <w:rPr>
          <w:rFonts w:ascii="仿宋_GB2312" w:hAnsi="仿宋_GB2312" w:cs="仿宋_GB2312" w:eastAsia="仿宋_GB2312"/>
          <w:sz w:val="28"/>
          <w:b/>
        </w:rPr>
        <w:t>年</w:t>
      </w:r>
    </w:p>
    <w:p>
      <w:pPr>
        <w:pStyle w:val="null3"/>
        <w:jc w:val="right"/>
        <w:outlineLvl w:val="2"/>
      </w:pPr>
      <w:r>
        <w:rPr>
          <w:rFonts w:ascii="仿宋_GB2312" w:hAnsi="仿宋_GB2312" w:cs="仿宋_GB2312" w:eastAsia="仿宋_GB2312"/>
          <w:sz w:val="28"/>
          <w:b/>
        </w:rPr>
        <w:t>编制单位：</w:t>
      </w:r>
    </w:p>
    <w:p>
      <w:pPr>
        <w:pStyle w:val="null3"/>
        <w:outlineLvl w:val="2"/>
      </w:pPr>
      <w:r>
        <w:rPr>
          <w:rFonts w:ascii="仿宋_GB2312" w:hAnsi="仿宋_GB2312" w:cs="仿宋_GB2312" w:eastAsia="仿宋_GB2312"/>
          <w:sz w:val="28"/>
          <w:b/>
        </w:rPr>
        <w:t>西安市殡仪馆</w:t>
      </w:r>
    </w:p>
    <w:p>
      <w:pPr>
        <w:pStyle w:val="null3"/>
        <w:jc w:val="right"/>
        <w:outlineLvl w:val="2"/>
      </w:pPr>
      <w:r>
        <w:rPr>
          <w:rFonts w:ascii="仿宋_GB2312" w:hAnsi="仿宋_GB2312" w:cs="仿宋_GB2312" w:eastAsia="仿宋_GB2312"/>
          <w:sz w:val="28"/>
          <w:b/>
        </w:rPr>
        <w:t>编制时间：</w:t>
      </w:r>
    </w:p>
    <w:p>
      <w:pPr>
        <w:pStyle w:val="null3"/>
        <w:outlineLvl w:val="2"/>
      </w:pPr>
      <w:r>
        <w:rPr>
          <w:rFonts w:ascii="仿宋_GB2312" w:hAnsi="仿宋_GB2312" w:cs="仿宋_GB2312" w:eastAsia="仿宋_GB2312"/>
          <w:sz w:val="28"/>
          <w:b/>
        </w:rPr>
        <w:t>2026年05月15日</w:t>
      </w:r>
    </w:p>
    <w:p>
      <w:pPr>
        <w:pStyle w:val="null3"/>
        <w:outlineLvl w:val="2"/>
      </w:pPr>
      <w:r>
        <w:rPr>
          <w:rFonts w:ascii="仿宋_GB2312" w:hAnsi="仿宋_GB2312" w:cs="仿宋_GB2312" w:eastAsia="仿宋_GB2312"/>
          <w:sz w:val="28"/>
          <w:b/>
        </w:rPr>
        <w:t>一、项目总体情况</w:t>
      </w:r>
    </w:p>
    <w:p>
      <w:pPr>
        <w:pStyle w:val="null3"/>
      </w:pPr>
      <w:r>
        <w:rPr>
          <w:rFonts w:ascii="仿宋_GB2312" w:hAnsi="仿宋_GB2312" w:cs="仿宋_GB2312" w:eastAsia="仿宋_GB2312"/>
        </w:rPr>
        <w:t xml:space="preserve"> （一）项目名称： </w:t>
      </w:r>
      <w:r>
        <w:rPr>
          <w:rFonts w:ascii="仿宋_GB2312" w:hAnsi="仿宋_GB2312" w:cs="仿宋_GB2312" w:eastAsia="仿宋_GB2312"/>
        </w:rPr>
        <w:t>鲜花花材及殡葬商品采购</w:t>
      </w:r>
    </w:p>
    <w:p>
      <w:pPr>
        <w:pStyle w:val="null3"/>
      </w:pPr>
      <w:r>
        <w:rPr>
          <w:rFonts w:ascii="仿宋_GB2312" w:hAnsi="仿宋_GB2312" w:cs="仿宋_GB2312" w:eastAsia="仿宋_GB2312"/>
        </w:rPr>
        <w:t xml:space="preserve"> （二）项目所属年度： </w:t>
      </w:r>
      <w:r>
        <w:rPr>
          <w:rFonts w:ascii="仿宋_GB2312" w:hAnsi="仿宋_GB2312" w:cs="仿宋_GB2312" w:eastAsia="仿宋_GB2312"/>
        </w:rPr>
        <w:t>2026</w:t>
      </w:r>
      <w:r>
        <w:rPr>
          <w:rFonts w:ascii="仿宋_GB2312" w:hAnsi="仿宋_GB2312" w:cs="仿宋_GB2312" w:eastAsia="仿宋_GB2312"/>
        </w:rPr>
        <w:t>年</w:t>
      </w:r>
    </w:p>
    <w:p>
      <w:pPr>
        <w:pStyle w:val="null3"/>
      </w:pPr>
      <w:r>
        <w:rPr>
          <w:rFonts w:ascii="仿宋_GB2312" w:hAnsi="仿宋_GB2312" w:cs="仿宋_GB2312" w:eastAsia="仿宋_GB2312"/>
        </w:rPr>
        <w:t xml:space="preserve"> （三）项目所属分类： </w:t>
      </w:r>
      <w:r>
        <w:rPr>
          <w:rFonts w:ascii="仿宋_GB2312" w:hAnsi="仿宋_GB2312" w:cs="仿宋_GB2312" w:eastAsia="仿宋_GB2312"/>
        </w:rPr>
        <w:t>货物</w:t>
      </w:r>
    </w:p>
    <w:p>
      <w:pPr>
        <w:pStyle w:val="null3"/>
      </w:pPr>
      <w:r>
        <w:rPr>
          <w:rFonts w:ascii="仿宋_GB2312" w:hAnsi="仿宋_GB2312" w:cs="仿宋_GB2312" w:eastAsia="仿宋_GB2312"/>
        </w:rPr>
        <w:t xml:space="preserve"> （四）预算金额（元）：</w:t>
      </w:r>
      <w:r>
        <w:rPr>
          <w:rFonts w:ascii="仿宋_GB2312" w:hAnsi="仿宋_GB2312" w:cs="仿宋_GB2312" w:eastAsia="仿宋_GB2312"/>
        </w:rPr>
        <w:t>2,610,000.00</w:t>
      </w:r>
      <w:r>
        <w:rPr>
          <w:rFonts w:ascii="仿宋_GB2312" w:hAnsi="仿宋_GB2312" w:cs="仿宋_GB2312" w:eastAsia="仿宋_GB2312"/>
        </w:rPr>
        <w:t>元 ，大写（人民币）：</w:t>
      </w:r>
      <w:r>
        <w:rPr>
          <w:rFonts w:ascii="仿宋_GB2312" w:hAnsi="仿宋_GB2312" w:cs="仿宋_GB2312" w:eastAsia="仿宋_GB2312"/>
        </w:rPr>
        <w:t>贰佰陆拾壹万元整</w:t>
      </w:r>
    </w:p>
    <w:p>
      <w:pPr>
        <w:pStyle w:val="null3"/>
        <w:ind w:firstLine="1200"/>
      </w:pPr>
      <w:r>
        <w:rPr>
          <w:rFonts w:ascii="仿宋_GB2312" w:hAnsi="仿宋_GB2312" w:cs="仿宋_GB2312" w:eastAsia="仿宋_GB2312"/>
        </w:rPr>
        <w:t xml:space="preserve"> （五）项目概况：</w:t>
      </w:r>
    </w:p>
    <w:p>
      <w:pPr>
        <w:pStyle w:val="null3"/>
        <w:ind w:left="480"/>
      </w:pPr>
      <w:r>
        <w:rPr>
          <w:rFonts w:ascii="仿宋_GB2312" w:hAnsi="仿宋_GB2312" w:cs="仿宋_GB2312" w:eastAsia="仿宋_GB2312"/>
        </w:rPr>
        <w:t>根据殡葬行业规范与采购人服务需求，为传承丧葬民俗文化、满足群众庄重、文明、优质、惠民的多元化治丧需求，西安市殡仪馆开展殡葬鲜花、辅材及殡葬用品采购。本项目聚焦供应稳定、新鲜完好、绿色环保、安全合规、质优价廉，全面提升治丧服务品质与群众满意度。中标人须按照甲方要求，按时、按质、按量完成采购、运输、现场交付与保障服务，全力保障殡仪馆业务高效有序开展。</w:t>
      </w:r>
    </w:p>
    <w:p>
      <w:pPr>
        <w:pStyle w:val="null3"/>
      </w:pPr>
      <w:r>
        <w:rPr>
          <w:rFonts w:ascii="仿宋_GB2312" w:hAnsi="仿宋_GB2312" w:cs="仿宋_GB2312" w:eastAsia="仿宋_GB2312"/>
        </w:rPr>
        <w:t xml:space="preserve"> （六）本项目是否有为采购项目提供整体设计、规范编制或者项目管理、监理、检测等服务的供应商：</w:t>
      </w:r>
      <w:r>
        <w:rPr>
          <w:rFonts w:ascii="仿宋_GB2312" w:hAnsi="仿宋_GB2312" w:cs="仿宋_GB2312" w:eastAsia="仿宋_GB2312"/>
        </w:rPr>
        <w:t>否</w:t>
      </w:r>
    </w:p>
    <w:p>
      <w:pPr>
        <w:pStyle w:val="null3"/>
        <w:outlineLvl w:val="2"/>
      </w:pPr>
      <w:r>
        <w:rPr>
          <w:rFonts w:ascii="仿宋_GB2312" w:hAnsi="仿宋_GB2312" w:cs="仿宋_GB2312" w:eastAsia="仿宋_GB2312"/>
          <w:sz w:val="28"/>
          <w:b/>
        </w:rPr>
        <w:t>二、项目需求调查情况</w:t>
      </w:r>
    </w:p>
    <w:p>
      <w:pPr>
        <w:pStyle w:val="null3"/>
      </w:pPr>
      <w:r>
        <w:rPr>
          <w:rFonts w:ascii="仿宋_GB2312" w:hAnsi="仿宋_GB2312" w:cs="仿宋_GB2312" w:eastAsia="仿宋_GB2312"/>
        </w:rPr>
        <w:t>依据《政府采购需求管理办法》的规定，本项目</w:t>
      </w:r>
      <w:r>
        <w:rPr>
          <w:rFonts w:ascii="仿宋_GB2312" w:hAnsi="仿宋_GB2312" w:cs="仿宋_GB2312" w:eastAsia="仿宋_GB2312"/>
        </w:rPr>
        <w:t>不需要</w:t>
      </w:r>
      <w:r>
        <w:rPr>
          <w:rFonts w:ascii="仿宋_GB2312" w:hAnsi="仿宋_GB2312" w:cs="仿宋_GB2312" w:eastAsia="仿宋_GB2312"/>
        </w:rPr>
        <w:t>需求调查，具体情况如下：</w:t>
      </w:r>
    </w:p>
    <w:p>
      <w:pPr>
        <w:pStyle w:val="null3"/>
      </w:pPr>
      <w:r>
        <w:rPr>
          <w:rFonts w:ascii="仿宋_GB2312" w:hAnsi="仿宋_GB2312" w:cs="仿宋_GB2312" w:eastAsia="仿宋_GB2312"/>
        </w:rPr>
        <w:t>（一）需求调查方式</w:t>
      </w:r>
    </w:p>
    <w:p>
      <w:pPr>
        <w:pStyle w:val="null3"/>
        <w:ind w:firstLine="840"/>
      </w:pPr>
      <w:r>
        <w:rPr>
          <w:rFonts w:ascii="仿宋_GB2312" w:hAnsi="仿宋_GB2312" w:cs="仿宋_GB2312" w:eastAsia="仿宋_GB2312"/>
        </w:rPr>
        <w:t>（二）需求调查对象</w:t>
      </w:r>
    </w:p>
    <w:p>
      <w:pPr>
        <w:pStyle w:val="null3"/>
        <w:ind w:firstLine="840"/>
      </w:pPr>
      <w:r>
        <w:rPr>
          <w:rFonts w:ascii="仿宋_GB2312" w:hAnsi="仿宋_GB2312" w:cs="仿宋_GB2312" w:eastAsia="仿宋_GB2312"/>
        </w:rPr>
        <w:t>（三）需求调查结果</w:t>
      </w:r>
    </w:p>
    <w:p>
      <w:pPr>
        <w:pStyle w:val="null3"/>
        <w:ind w:firstLine="840"/>
      </w:pPr>
      <w:r>
        <w:rPr>
          <w:rFonts w:ascii="仿宋_GB2312" w:hAnsi="仿宋_GB2312" w:cs="仿宋_GB2312" w:eastAsia="仿宋_GB2312"/>
        </w:rPr>
        <w:t>1.相关产业发展情况</w:t>
      </w:r>
    </w:p>
    <w:p>
      <w:pPr>
        <w:pStyle w:val="null3"/>
        <w:ind w:firstLine="840"/>
      </w:pPr>
      <w:r>
        <w:rPr>
          <w:rFonts w:ascii="仿宋_GB2312" w:hAnsi="仿宋_GB2312" w:cs="仿宋_GB2312" w:eastAsia="仿宋_GB2312"/>
        </w:rPr>
        <w:t>2.市场供给情况</w:t>
      </w:r>
    </w:p>
    <w:p>
      <w:pPr>
        <w:pStyle w:val="null3"/>
        <w:ind w:firstLine="840"/>
      </w:pPr>
      <w:r>
        <w:rPr>
          <w:rFonts w:ascii="仿宋_GB2312" w:hAnsi="仿宋_GB2312" w:cs="仿宋_GB2312" w:eastAsia="仿宋_GB2312"/>
        </w:rPr>
        <w:t>3.同类采购项目历史成交信息情况</w:t>
      </w:r>
    </w:p>
    <w:p>
      <w:pPr>
        <w:pStyle w:val="null3"/>
        <w:ind w:firstLine="840"/>
      </w:pPr>
      <w:r>
        <w:rPr>
          <w:rFonts w:ascii="仿宋_GB2312" w:hAnsi="仿宋_GB2312" w:cs="仿宋_GB2312" w:eastAsia="仿宋_GB2312"/>
        </w:rPr>
        <w:t>4.可能涉及的运行维护、升级更新、备品备件、耗材等后续采购情况</w:t>
      </w:r>
    </w:p>
    <w:p>
      <w:pPr>
        <w:pStyle w:val="null3"/>
        <w:ind w:firstLine="840"/>
      </w:pPr>
      <w:r>
        <w:rPr>
          <w:rFonts w:ascii="仿宋_GB2312" w:hAnsi="仿宋_GB2312" w:cs="仿宋_GB2312" w:eastAsia="仿宋_GB2312"/>
        </w:rPr>
        <w:t>5.其他相关情况</w:t>
      </w:r>
    </w:p>
    <w:p>
      <w:pPr>
        <w:pStyle w:val="null3"/>
        <w:ind w:firstLine="840"/>
        <w:outlineLvl w:val="2"/>
      </w:pPr>
      <w:r>
        <w:rPr>
          <w:rFonts w:ascii="仿宋_GB2312" w:hAnsi="仿宋_GB2312" w:cs="仿宋_GB2312" w:eastAsia="仿宋_GB2312"/>
          <w:sz w:val="28"/>
          <w:b/>
        </w:rPr>
        <w:t>三、项目采购实施计划</w:t>
      </w:r>
    </w:p>
    <w:p>
      <w:pPr>
        <w:pStyle w:val="null3"/>
      </w:pPr>
      <w:r>
        <w:rPr>
          <w:rFonts w:ascii="仿宋_GB2312" w:hAnsi="仿宋_GB2312" w:cs="仿宋_GB2312" w:eastAsia="仿宋_GB2312"/>
        </w:rPr>
        <w:t>（一）采购组织形式：</w:t>
      </w:r>
      <w:r>
        <w:rPr>
          <w:rFonts w:ascii="仿宋_GB2312" w:hAnsi="仿宋_GB2312" w:cs="仿宋_GB2312" w:eastAsia="仿宋_GB2312"/>
        </w:rPr>
        <w:t>部门集中采购</w:t>
      </w:r>
    </w:p>
    <w:p>
      <w:pPr>
        <w:pStyle w:val="null3"/>
      </w:pPr>
      <w:r>
        <w:rPr>
          <w:rFonts w:ascii="仿宋_GB2312" w:hAnsi="仿宋_GB2312" w:cs="仿宋_GB2312" w:eastAsia="仿宋_GB2312"/>
        </w:rPr>
        <w:t>（二）采购方式：</w:t>
      </w:r>
      <w:r>
        <w:rPr>
          <w:rFonts w:ascii="仿宋_GB2312" w:hAnsi="仿宋_GB2312" w:cs="仿宋_GB2312" w:eastAsia="仿宋_GB2312"/>
        </w:rPr>
        <w:t>公开招标</w:t>
      </w:r>
    </w:p>
    <w:p>
      <w:pPr>
        <w:pStyle w:val="null3"/>
      </w:pPr>
      <w:r>
        <w:rPr>
          <w:rFonts w:ascii="仿宋_GB2312" w:hAnsi="仿宋_GB2312" w:cs="仿宋_GB2312" w:eastAsia="仿宋_GB2312"/>
        </w:rPr>
        <w:t>（三）本项目是否单位自行组织采购：</w:t>
      </w:r>
      <w:r>
        <w:rPr>
          <w:rFonts w:ascii="仿宋_GB2312" w:hAnsi="仿宋_GB2312" w:cs="仿宋_GB2312" w:eastAsia="仿宋_GB2312"/>
        </w:rPr>
        <w:t>否</w:t>
      </w:r>
    </w:p>
    <w:p>
      <w:pPr>
        <w:pStyle w:val="null3"/>
      </w:pPr>
      <w:r>
        <w:rPr>
          <w:rFonts w:ascii="仿宋_GB2312" w:hAnsi="仿宋_GB2312" w:cs="仿宋_GB2312" w:eastAsia="仿宋_GB2312"/>
        </w:rPr>
        <w:t>（四）采购包划分：</w:t>
      </w:r>
      <w:r>
        <w:rPr>
          <w:rFonts w:ascii="仿宋_GB2312" w:hAnsi="仿宋_GB2312" w:cs="仿宋_GB2312" w:eastAsia="仿宋_GB2312"/>
        </w:rPr>
        <w:t>分包采购</w:t>
      </w:r>
    </w:p>
    <w:p>
      <w:pPr>
        <w:pStyle w:val="null3"/>
      </w:pPr>
      <w:r>
        <w:rPr>
          <w:rFonts w:ascii="仿宋_GB2312" w:hAnsi="仿宋_GB2312" w:cs="仿宋_GB2312" w:eastAsia="仿宋_GB2312"/>
        </w:rPr>
        <w:t>（五）执行政府采购促进中小企业发展的相关政策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i/>
        </w:rPr>
        <w:t>注：监狱企业和残疾人福利单位视同小微企业。</w:t>
      </w:r>
    </w:p>
    <w:p>
      <w:pPr>
        <w:pStyle w:val="null3"/>
      </w:pPr>
      <w:r>
        <w:rPr>
          <w:rFonts w:ascii="仿宋_GB2312" w:hAnsi="仿宋_GB2312" w:cs="仿宋_GB2312" w:eastAsia="仿宋_GB2312"/>
        </w:rPr>
        <w:t>（六）是否采购环境标识产品：</w:t>
      </w:r>
      <w:r>
        <w:rPr>
          <w:rFonts w:ascii="仿宋_GB2312" w:hAnsi="仿宋_GB2312" w:cs="仿宋_GB2312" w:eastAsia="仿宋_GB2312"/>
        </w:rPr>
        <w:t>否</w:t>
      </w:r>
    </w:p>
    <w:p>
      <w:pPr>
        <w:pStyle w:val="null3"/>
      </w:pPr>
      <w:r>
        <w:rPr>
          <w:rFonts w:ascii="仿宋_GB2312" w:hAnsi="仿宋_GB2312" w:cs="仿宋_GB2312" w:eastAsia="仿宋_GB2312"/>
        </w:rPr>
        <w:t>（七）是否采购节能产品：</w:t>
      </w:r>
      <w:r>
        <w:rPr>
          <w:rFonts w:ascii="仿宋_GB2312" w:hAnsi="仿宋_GB2312" w:cs="仿宋_GB2312" w:eastAsia="仿宋_GB2312"/>
        </w:rPr>
        <w:t>否</w:t>
      </w:r>
    </w:p>
    <w:p>
      <w:pPr>
        <w:pStyle w:val="null3"/>
      </w:pPr>
      <w:r>
        <w:rPr>
          <w:rFonts w:ascii="仿宋_GB2312" w:hAnsi="仿宋_GB2312" w:cs="仿宋_GB2312" w:eastAsia="仿宋_GB2312"/>
        </w:rPr>
        <w:t>（八）项目的采购标的是否包含进口产品：</w:t>
      </w:r>
      <w:r>
        <w:rPr>
          <w:rFonts w:ascii="仿宋_GB2312" w:hAnsi="仿宋_GB2312" w:cs="仿宋_GB2312" w:eastAsia="仿宋_GB2312"/>
        </w:rPr>
        <w:t>否</w:t>
      </w:r>
    </w:p>
    <w:p>
      <w:pPr>
        <w:pStyle w:val="null3"/>
      </w:pPr>
      <w:r>
        <w:rPr>
          <w:rFonts w:ascii="仿宋_GB2312" w:hAnsi="仿宋_GB2312" w:cs="仿宋_GB2312" w:eastAsia="仿宋_GB2312"/>
        </w:rPr>
        <w:t>（九）采购标的是否属于政府购买服务：</w:t>
      </w:r>
      <w:r>
        <w:rPr>
          <w:rFonts w:ascii="仿宋_GB2312" w:hAnsi="仿宋_GB2312" w:cs="仿宋_GB2312" w:eastAsia="仿宋_GB2312"/>
        </w:rPr>
        <w:t>否</w:t>
      </w:r>
    </w:p>
    <w:p>
      <w:pPr>
        <w:pStyle w:val="null3"/>
      </w:pPr>
      <w:r>
        <w:rPr>
          <w:rFonts w:ascii="仿宋_GB2312" w:hAnsi="仿宋_GB2312" w:cs="仿宋_GB2312" w:eastAsia="仿宋_GB2312"/>
        </w:rPr>
        <w:t>（十）是否属于政务信息系统项目：</w:t>
      </w:r>
      <w:r>
        <w:rPr>
          <w:rFonts w:ascii="仿宋_GB2312" w:hAnsi="仿宋_GB2312" w:cs="仿宋_GB2312" w:eastAsia="仿宋_GB2312"/>
        </w:rPr>
        <w:t>否</w:t>
      </w:r>
    </w:p>
    <w:p>
      <w:pPr>
        <w:pStyle w:val="null3"/>
      </w:pPr>
      <w:r>
        <w:rPr>
          <w:rFonts w:ascii="仿宋_GB2312" w:hAnsi="仿宋_GB2312" w:cs="仿宋_GB2312" w:eastAsia="仿宋_GB2312"/>
        </w:rPr>
        <w:t>（十一）是否属于高校、科研院所的科研仪器设备采购：</w:t>
      </w:r>
      <w:r>
        <w:rPr>
          <w:rFonts w:ascii="仿宋_GB2312" w:hAnsi="仿宋_GB2312" w:cs="仿宋_GB2312" w:eastAsia="仿宋_GB2312"/>
        </w:rPr>
        <w:t>否</w:t>
      </w:r>
    </w:p>
    <w:p>
      <w:pPr>
        <w:pStyle w:val="null3"/>
      </w:pPr>
      <w:r>
        <w:rPr>
          <w:rFonts w:ascii="仿宋_GB2312" w:hAnsi="仿宋_GB2312" w:cs="仿宋_GB2312" w:eastAsia="仿宋_GB2312"/>
        </w:rPr>
        <w:t>（十二）是否属于一签多年项目：</w:t>
      </w:r>
      <w:r>
        <w:rPr>
          <w:rFonts w:ascii="仿宋_GB2312" w:hAnsi="仿宋_GB2312" w:cs="仿宋_GB2312" w:eastAsia="仿宋_GB2312"/>
        </w:rPr>
        <w:t>否</w:t>
      </w:r>
    </w:p>
    <w:p>
      <w:pPr>
        <w:pStyle w:val="null3"/>
        <w:ind w:firstLine="1275"/>
        <w:outlineLvl w:val="2"/>
      </w:pPr>
      <w:r>
        <w:rPr>
          <w:rFonts w:ascii="仿宋_GB2312" w:hAnsi="仿宋_GB2312" w:cs="仿宋_GB2312" w:eastAsia="仿宋_GB2312"/>
          <w:sz w:val="28"/>
          <w:b/>
        </w:rPr>
        <w:t>四、项目需求及分包情况、采购标的</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一</w:t>
      </w:r>
      <w:r>
        <w:rPr>
          <w:rFonts w:ascii="仿宋_GB2312" w:hAnsi="仿宋_GB2312" w:cs="仿宋_GB2312" w:eastAsia="仿宋_GB2312"/>
          <w:sz w:val="20"/>
          <w:b/>
        </w:rPr>
        <w:t>）分包名称：</w:t>
      </w:r>
      <w:r>
        <w:rPr>
          <w:rFonts w:ascii="仿宋_GB2312" w:hAnsi="仿宋_GB2312" w:cs="仿宋_GB2312" w:eastAsia="仿宋_GB2312"/>
          <w:sz w:val="20"/>
          <w:b/>
        </w:rPr>
        <w:t>殡葬商品采购</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800,000.00</w:t>
      </w:r>
      <w:r>
        <w:rPr>
          <w:rFonts w:ascii="仿宋_GB2312" w:hAnsi="仿宋_GB2312" w:cs="仿宋_GB2312" w:eastAsia="仿宋_GB2312"/>
        </w:rPr>
        <w:t xml:space="preserve"> ，大写（人民币）： </w:t>
      </w:r>
      <w:r>
        <w:rPr>
          <w:rFonts w:ascii="仿宋_GB2312" w:hAnsi="仿宋_GB2312" w:cs="仿宋_GB2312" w:eastAsia="仿宋_GB2312"/>
        </w:rPr>
        <w:t>捌拾万元整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800,000.00</w:t>
      </w:r>
      <w:r>
        <w:rPr>
          <w:rFonts w:ascii="仿宋_GB2312" w:hAnsi="仿宋_GB2312" w:cs="仿宋_GB2312" w:eastAsia="仿宋_GB2312"/>
        </w:rPr>
        <w:t xml:space="preserve"> ，大写（人民币）： </w:t>
      </w:r>
      <w:r>
        <w:rPr>
          <w:rFonts w:ascii="仿宋_GB2312" w:hAnsi="仿宋_GB2312" w:cs="仿宋_GB2312" w:eastAsia="仿宋_GB2312"/>
        </w:rPr>
        <w:t>捌拾万元整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其他橡胶、塑料、玻璃和陶瓷制品</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殡葬商品采购</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800,000.00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800,000.00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工业</w:t>
            </w:r>
          </w:p>
        </w:tc>
      </w:tr>
    </w:tbl>
    <w:p>
      <w:pPr>
        <w:pStyle w:val="null3"/>
      </w:pPr>
      <w:r>
        <w:rPr>
          <w:rFonts w:ascii="仿宋_GB2312" w:hAnsi="仿宋_GB2312" w:cs="仿宋_GB2312" w:eastAsia="仿宋_GB2312"/>
        </w:rPr>
        <w:t>标的名称：殡葬商品采购</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tbl>
            <w:tblPr>
              <w:tblInd w:type="dxa" w:w="135"/>
              <w:tblBorders>
                <w:top w:val="none" w:color="000000" w:sz="4"/>
                <w:left w:val="none" w:color="000000" w:sz="4"/>
                <w:bottom w:val="none" w:color="000000" w:sz="4"/>
                <w:right w:val="none" w:color="000000" w:sz="4"/>
                <w:insideH w:val="none"/>
                <w:insideV w:val="none"/>
              </w:tblBorders>
            </w:tblPr>
            <w:tblGrid>
              <w:gridCol w:w="277"/>
              <w:gridCol w:w="601"/>
              <w:gridCol w:w="333"/>
              <w:gridCol w:w="486"/>
              <w:gridCol w:w="456"/>
              <w:gridCol w:w="392"/>
            </w:tblGrid>
            <w:tr>
              <w:tc>
                <w:tcPr>
                  <w:tcW w:type="dxa" w:w="27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 xml:space="preserve"> </w:t>
                  </w:r>
                  <w:r>
                    <w:rPr>
                      <w:rFonts w:ascii="仿宋_GB2312" w:hAnsi="仿宋_GB2312" w:cs="仿宋_GB2312" w:eastAsia="仿宋_GB2312"/>
                      <w:sz w:val="24"/>
                      <w:color w:val="000000"/>
                    </w:rPr>
                    <w:t>序号</w:t>
                  </w:r>
                </w:p>
              </w:tc>
              <w:tc>
                <w:tcPr>
                  <w:tcW w:type="dxa" w:w="601"/>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名称</w:t>
                  </w:r>
                </w:p>
              </w:tc>
              <w:tc>
                <w:tcPr>
                  <w:tcW w:type="dxa" w:w="333"/>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单位</w:t>
                  </w:r>
                </w:p>
              </w:tc>
              <w:tc>
                <w:tcPr>
                  <w:tcW w:type="dxa" w:w="48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参数（</w:t>
                  </w:r>
                  <w:r>
                    <w:rPr>
                      <w:rFonts w:ascii="仿宋_GB2312" w:hAnsi="仿宋_GB2312" w:cs="仿宋_GB2312" w:eastAsia="仿宋_GB2312"/>
                      <w:sz w:val="24"/>
                      <w:color w:val="000000"/>
                    </w:rPr>
                    <w:t>CM）</w:t>
                  </w:r>
                </w:p>
              </w:tc>
              <w:tc>
                <w:tcPr>
                  <w:tcW w:type="dxa" w:w="456"/>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材质</w:t>
                  </w:r>
                </w:p>
              </w:tc>
              <w:tc>
                <w:tcPr>
                  <w:tcW w:type="dxa" w:w="392"/>
                  <w:tcBorders>
                    <w:top w:val="singl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限价（元）</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包骨灰白绸</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75*75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色丁绸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8.6</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包骨灰盒红布</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90*90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色丁绸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8.6</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烧纸</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沓</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20*10*10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纸币</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沓</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10本/捆</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骨灰盒盖布</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34*22.5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骨灰盒保护罩</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37*27*26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树脂</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88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7</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被面</w:t>
                  </w:r>
                  <w:r>
                    <w:rPr>
                      <w:rFonts w:ascii="仿宋_GB2312" w:hAnsi="仿宋_GB2312" w:cs="仿宋_GB2312" w:eastAsia="仿宋_GB2312"/>
                      <w:sz w:val="24"/>
                      <w:color w:val="000000"/>
                    </w:rPr>
                    <w:t>1</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185*135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31</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8</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孝牌</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3*3</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9</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臂志（黑纱）</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20*13</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绸布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10</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仿真松</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5*3*12</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6.5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木灵位（写字）</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11.5*5*20.5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松木</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160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小灵位</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9.5*3.5*12.5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亚克力</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6.5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祭饭</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直径：</w:t>
                  </w:r>
                  <w:r>
                    <w:rPr>
                      <w:rFonts w:ascii="仿宋_GB2312" w:hAnsi="仿宋_GB2312" w:cs="仿宋_GB2312" w:eastAsia="仿宋_GB2312"/>
                      <w:sz w:val="24"/>
                      <w:color w:val="000000"/>
                    </w:rPr>
                    <w:t>5.5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骨灰盒垫子</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45*35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9</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孝布</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条</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120*20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16</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孝衣</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件</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195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16</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17</w:t>
                  </w:r>
                </w:p>
              </w:tc>
              <w:tc>
                <w:tcPr>
                  <w:tcW w:type="dxa" w:w="601"/>
                  <w:tcBorders>
                    <w:top w:val="none" w:color="000000" w:sz="4"/>
                    <w:left w:val="none" w:color="000000" w:sz="4"/>
                    <w:bottom w:val="single" w:color="000000" w:sz="4"/>
                    <w:right w:val="single" w:color="000000" w:sz="4"/>
                  </w:tcBorders>
                  <w:shd w:fill="FFFFFF"/>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相框</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36*27</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15.5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18</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相框黑纱</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长：</w:t>
                  </w:r>
                  <w:r>
                    <w:rPr>
                      <w:rFonts w:ascii="仿宋_GB2312" w:hAnsi="仿宋_GB2312" w:cs="仿宋_GB2312" w:eastAsia="仿宋_GB2312"/>
                      <w:sz w:val="24"/>
                      <w:color w:val="000000"/>
                    </w:rPr>
                    <w:t>125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绸布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11</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19</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工艺鸡</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高：</w:t>
                  </w:r>
                  <w:r>
                    <w:rPr>
                      <w:rFonts w:ascii="仿宋_GB2312" w:hAnsi="仿宋_GB2312" w:cs="仿宋_GB2312" w:eastAsia="仿宋_GB2312"/>
                      <w:sz w:val="24"/>
                      <w:color w:val="000000"/>
                    </w:rPr>
                    <w:t>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泡沫</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20</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礼单（含记号笔</w:t>
                  </w:r>
                  <w:r>
                    <w:rPr>
                      <w:rFonts w:ascii="仿宋_GB2312" w:hAnsi="仿宋_GB2312" w:cs="仿宋_GB2312" w:eastAsia="仿宋_GB2312"/>
                      <w:sz w:val="24"/>
                      <w:color w:val="000000"/>
                    </w:rPr>
                    <w:t>1支）</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本</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36.5*26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签到本</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本</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无烟盒蜡</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对</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34.5*13*7</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石蜡</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24</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中奠蜡</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对</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5*2*18</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石蜡</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圆钱</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沓</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7*7</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线香</w:t>
                  </w:r>
                  <w:r>
                    <w:rPr>
                      <w:rFonts w:ascii="仿宋_GB2312" w:hAnsi="仿宋_GB2312" w:cs="仿宋_GB2312" w:eastAsia="仿宋_GB2312"/>
                      <w:sz w:val="24"/>
                      <w:color w:val="000000"/>
                    </w:rPr>
                    <w:t>1</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把</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27.5*3</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木粉</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1.2</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26</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香炉</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12*10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陶瓷</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9</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27</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高香炉</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18*13</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陶瓷</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53</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28</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火盆</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31*11</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陶瓷</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29</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线香</w:t>
                  </w:r>
                  <w:r>
                    <w:rPr>
                      <w:rFonts w:ascii="仿宋_GB2312" w:hAnsi="仿宋_GB2312" w:cs="仿宋_GB2312" w:eastAsia="仿宋_GB2312"/>
                      <w:sz w:val="24"/>
                      <w:color w:val="000000"/>
                    </w:rPr>
                    <w:t>2</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盒</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7.5*33</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木粉</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30</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盘子</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直径：</w:t>
                  </w:r>
                  <w:r>
                    <w:rPr>
                      <w:rFonts w:ascii="仿宋_GB2312" w:hAnsi="仿宋_GB2312" w:cs="仿宋_GB2312" w:eastAsia="仿宋_GB2312"/>
                      <w:sz w:val="24"/>
                      <w:color w:val="000000"/>
                    </w:rPr>
                    <w:t>19</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首饰</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盒</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10*10*6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复合材料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护灵伞</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把</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长：</w:t>
                  </w:r>
                  <w:r>
                    <w:rPr>
                      <w:rFonts w:ascii="仿宋_GB2312" w:hAnsi="仿宋_GB2312" w:cs="仿宋_GB2312" w:eastAsia="仿宋_GB2312"/>
                      <w:sz w:val="24"/>
                      <w:color w:val="000000"/>
                    </w:rPr>
                    <w:t>90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复合材料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26</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腰带</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条</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100*3.5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五谷</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瓶</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29*19</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粮食</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16</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铜钱</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直径：</w:t>
                  </w:r>
                  <w:r>
                    <w:rPr>
                      <w:rFonts w:ascii="仿宋_GB2312" w:hAnsi="仿宋_GB2312" w:cs="仿宋_GB2312" w:eastAsia="仿宋_GB2312"/>
                      <w:sz w:val="24"/>
                      <w:color w:val="000000"/>
                    </w:rPr>
                    <w:t>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玉石</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36</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跪垫</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46*46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37</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枕头</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50*30*6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38</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高枕头</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50*32*6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39</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手帕</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41*41</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40</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寿鞋</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双</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35码—45码</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21.5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袜子</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双</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均码</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帽子</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顶</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直径：</w:t>
                  </w:r>
                  <w:r>
                    <w:rPr>
                      <w:rFonts w:ascii="仿宋_GB2312" w:hAnsi="仿宋_GB2312" w:cs="仿宋_GB2312" w:eastAsia="仿宋_GB2312"/>
                      <w:sz w:val="24"/>
                      <w:color w:val="000000"/>
                    </w:rPr>
                    <w:t>25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17</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小商品套盒一</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35*30*4</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口铃腰带等</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53</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小商品套盒二</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35*30*4</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下葬套盒</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106</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小商品套盒三</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35*30*4</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下葬大套</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153</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46</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灵堂布（含胶带）</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155*165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18.5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47</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拣灰工具</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33*10*44</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复合材料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48</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水晶贡品</w:t>
                  </w:r>
                  <w:r>
                    <w:rPr>
                      <w:rFonts w:ascii="仿宋_GB2312" w:hAnsi="仿宋_GB2312" w:cs="仿宋_GB2312" w:eastAsia="仿宋_GB2312"/>
                      <w:sz w:val="24"/>
                      <w:color w:val="000000"/>
                    </w:rPr>
                    <w:t>1</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8*8*5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仿水晶</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12</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49</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电子蜡</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26*17*8</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塑料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50</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黄表</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沓</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28*17*5</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骨灰盒衬板</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34*23.5*1</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仿水晶</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可降解骨灰盒</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22*24</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可降解</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220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花圈（纸）</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7圈</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纸</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25</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被面</w:t>
                  </w:r>
                  <w:r>
                    <w:rPr>
                      <w:rFonts w:ascii="仿宋_GB2312" w:hAnsi="仿宋_GB2312" w:cs="仿宋_GB2312" w:eastAsia="仿宋_GB2312"/>
                      <w:sz w:val="24"/>
                      <w:color w:val="000000"/>
                    </w:rPr>
                    <w:t>2</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150*200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棉布</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48</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寿被褥</w:t>
                  </w:r>
                  <w:r>
                    <w:rPr>
                      <w:rFonts w:ascii="仿宋_GB2312" w:hAnsi="仿宋_GB2312" w:cs="仿宋_GB2312" w:eastAsia="仿宋_GB2312"/>
                      <w:sz w:val="24"/>
                      <w:color w:val="000000"/>
                    </w:rPr>
                    <w:t>1</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200*100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仿人丝面料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140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56</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寿被褥</w:t>
                  </w:r>
                  <w:r>
                    <w:rPr>
                      <w:rFonts w:ascii="仿宋_GB2312" w:hAnsi="仿宋_GB2312" w:cs="仿宋_GB2312" w:eastAsia="仿宋_GB2312"/>
                      <w:sz w:val="24"/>
                      <w:color w:val="000000"/>
                    </w:rPr>
                    <w:t>2</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200*100</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天丝面料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220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57</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唐装</w:t>
                  </w:r>
                  <w:r>
                    <w:rPr>
                      <w:rFonts w:ascii="仿宋_GB2312" w:hAnsi="仿宋_GB2312" w:cs="仿宋_GB2312" w:eastAsia="仿宋_GB2312"/>
                      <w:sz w:val="24"/>
                      <w:color w:val="000000"/>
                    </w:rPr>
                    <w:t>A</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5领3腰</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天丝面料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530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58</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唐装</w:t>
                  </w:r>
                  <w:r>
                    <w:rPr>
                      <w:rFonts w:ascii="仿宋_GB2312" w:hAnsi="仿宋_GB2312" w:cs="仿宋_GB2312" w:eastAsia="仿宋_GB2312"/>
                      <w:sz w:val="24"/>
                      <w:color w:val="000000"/>
                    </w:rPr>
                    <w:t>B</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5领3腰</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仿香云纱面料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760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59</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唐装</w:t>
                  </w:r>
                  <w:r>
                    <w:rPr>
                      <w:rFonts w:ascii="仿宋_GB2312" w:hAnsi="仿宋_GB2312" w:cs="仿宋_GB2312" w:eastAsia="仿宋_GB2312"/>
                      <w:sz w:val="24"/>
                      <w:color w:val="000000"/>
                    </w:rPr>
                    <w:t>C</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5领3腰</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宫廷织锦提花面料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1300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60</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现代装</w:t>
                  </w:r>
                  <w:r>
                    <w:rPr>
                      <w:rFonts w:ascii="仿宋_GB2312" w:hAnsi="仿宋_GB2312" w:cs="仿宋_GB2312" w:eastAsia="仿宋_GB2312"/>
                      <w:sz w:val="24"/>
                      <w:color w:val="000000"/>
                    </w:rPr>
                    <w:t>A</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5领3腰</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男混纺，女呢料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530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61</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现代装</w:t>
                  </w:r>
                  <w:r>
                    <w:rPr>
                      <w:rFonts w:ascii="仿宋_GB2312" w:hAnsi="仿宋_GB2312" w:cs="仿宋_GB2312" w:eastAsia="仿宋_GB2312"/>
                      <w:sz w:val="24"/>
                      <w:color w:val="000000"/>
                    </w:rPr>
                    <w:t>B</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5领3腰</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男精纺，女仿羊绒</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760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62</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现代装</w:t>
                  </w:r>
                  <w:r>
                    <w:rPr>
                      <w:rFonts w:ascii="仿宋_GB2312" w:hAnsi="仿宋_GB2312" w:cs="仿宋_GB2312" w:eastAsia="仿宋_GB2312"/>
                      <w:sz w:val="24"/>
                      <w:color w:val="000000"/>
                    </w:rPr>
                    <w:t>C</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套</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5领3腰</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羊绒面料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1300</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63</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水晶贡品</w:t>
                  </w:r>
                  <w:r>
                    <w:rPr>
                      <w:rFonts w:ascii="仿宋_GB2312" w:hAnsi="仿宋_GB2312" w:cs="仿宋_GB2312" w:eastAsia="仿宋_GB2312"/>
                      <w:sz w:val="24"/>
                      <w:color w:val="000000"/>
                    </w:rPr>
                    <w:t>2</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3.5*4*8</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仿水晶</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22</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64</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元宝</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3*1*3</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复合材料</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5.2</w:t>
                  </w:r>
                </w:p>
              </w:tc>
            </w:tr>
            <w:tr>
              <w:tc>
                <w:tcPr>
                  <w:tcW w:type="dxa" w:w="27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19"/>
                    </w:rPr>
                    <w:t>65</w:t>
                  </w:r>
                </w:p>
              </w:tc>
              <w:tc>
                <w:tcPr>
                  <w:tcW w:type="dxa" w:w="601"/>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小白花</w:t>
                  </w:r>
                </w:p>
              </w:tc>
              <w:tc>
                <w:tcPr>
                  <w:tcW w:type="dxa" w:w="333"/>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个</w:t>
                  </w:r>
                </w:p>
              </w:tc>
              <w:tc>
                <w:tcPr>
                  <w:tcW w:type="dxa" w:w="48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9*16</w:t>
                  </w:r>
                </w:p>
              </w:tc>
              <w:tc>
                <w:tcPr>
                  <w:tcW w:type="dxa" w:w="456"/>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4"/>
                      <w:color w:val="000000"/>
                    </w:rPr>
                    <w:t>胸花绢布材质；佩戴方式为夹子</w:t>
                  </w:r>
                </w:p>
              </w:tc>
              <w:tc>
                <w:tcPr>
                  <w:tcW w:type="dxa" w:w="392"/>
                  <w:tcBorders>
                    <w:top w:val="none" w:color="000000" w:sz="4"/>
                    <w:left w:val="non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4"/>
                      <w:color w:val="000000"/>
                    </w:rPr>
                    <w:t>1.1</w:t>
                  </w:r>
                </w:p>
              </w:tc>
            </w:tr>
          </w:tbl>
          <w:p/>
        </w:tc>
      </w:tr>
      <w:tr>
        <w:tc>
          <w:tcPr>
            <w:tcW w:type="dxa" w:w="2769"/>
          </w:tcPr>
          <w:p/>
        </w:tc>
        <w:tc>
          <w:tcPr>
            <w:tcW w:type="dxa" w:w="2769"/>
          </w:tcPr>
          <w:p>
            <w:pPr>
              <w:pStyle w:val="null3"/>
            </w:pPr>
            <w:r>
              <w:rPr>
                <w:rFonts w:ascii="仿宋_GB2312" w:hAnsi="仿宋_GB2312" w:cs="仿宋_GB2312" w:eastAsia="仿宋_GB2312"/>
              </w:rPr>
              <w:t>2</w:t>
            </w:r>
          </w:p>
        </w:tc>
        <w:tc>
          <w:tcPr>
            <w:tcW w:type="dxa" w:w="2769"/>
          </w:tcPr>
          <w:p>
            <w:pPr>
              <w:pStyle w:val="null3"/>
              <w:jc w:val="both"/>
            </w:pPr>
            <w:r>
              <w:rPr>
                <w:rFonts w:ascii="仿宋_GB2312" w:hAnsi="仿宋_GB2312" w:cs="仿宋_GB2312" w:eastAsia="仿宋_GB2312"/>
                <w:sz w:val="21"/>
                <w:b/>
                <w:color w:val="000000"/>
              </w:rPr>
              <w:t>技术要求</w:t>
            </w:r>
            <w:r>
              <w:rPr>
                <w:rFonts w:ascii="仿宋_GB2312" w:hAnsi="仿宋_GB2312" w:cs="仿宋_GB2312" w:eastAsia="仿宋_GB2312"/>
                <w:sz w:val="21"/>
                <w:b/>
                <w:color w:val="000000"/>
              </w:rPr>
              <w:t>：</w:t>
            </w:r>
          </w:p>
          <w:p>
            <w:pPr>
              <w:pStyle w:val="null3"/>
            </w:pPr>
            <w:r>
              <w:rPr>
                <w:rFonts w:ascii="仿宋_GB2312" w:hAnsi="仿宋_GB2312" w:cs="仿宋_GB2312" w:eastAsia="仿宋_GB2312"/>
                <w:sz w:val="21"/>
                <w:color w:val="000000"/>
              </w:rPr>
              <w:t>1、投标人务必了解中国殡葬现状，了解丧葬习俗，熟悉殡葬用品的材质、用途、文化内涵。根据西安市殡仪馆的服务现状制定适用的殡葬用品方案。</w:t>
            </w:r>
          </w:p>
          <w:p>
            <w:pPr>
              <w:pStyle w:val="null3"/>
            </w:pPr>
            <w:r>
              <w:rPr>
                <w:rFonts w:ascii="仿宋_GB2312" w:hAnsi="仿宋_GB2312" w:cs="仿宋_GB2312" w:eastAsia="仿宋_GB2312"/>
                <w:sz w:val="21"/>
                <w:color w:val="000000"/>
              </w:rPr>
              <w:t>2、投标人要随时了解中国殡葬商品的市场动向，有能力及时提供国内最新颖的殡葬用品。</w:t>
            </w:r>
          </w:p>
          <w:p>
            <w:pPr>
              <w:pStyle w:val="null3"/>
            </w:pPr>
            <w:r>
              <w:rPr>
                <w:rFonts w:ascii="仿宋_GB2312" w:hAnsi="仿宋_GB2312" w:cs="仿宋_GB2312" w:eastAsia="仿宋_GB2312"/>
                <w:sz w:val="21"/>
                <w:color w:val="000000"/>
              </w:rPr>
              <w:t>3、殡葬用品种类繁多，材质多样，价格离散性大，本项目要求满足不同的消费文化、不同的消费层次的需求，拒绝接受低质、劣质商品。</w:t>
            </w:r>
          </w:p>
          <w:p>
            <w:pPr>
              <w:pStyle w:val="null3"/>
            </w:pPr>
            <w:r>
              <w:rPr>
                <w:rFonts w:ascii="仿宋_GB2312" w:hAnsi="仿宋_GB2312" w:cs="仿宋_GB2312" w:eastAsia="仿宋_GB2312"/>
                <w:sz w:val="21"/>
                <w:color w:val="000000"/>
              </w:rPr>
              <w:t>4、鉴于殡葬用品的多元化，本项目欢迎殡葬理念创新商品和绿色环保型商品。</w:t>
            </w:r>
          </w:p>
          <w:p>
            <w:pPr>
              <w:pStyle w:val="null3"/>
            </w:pPr>
            <w:r>
              <w:rPr>
                <w:rFonts w:ascii="仿宋_GB2312" w:hAnsi="仿宋_GB2312" w:cs="仿宋_GB2312" w:eastAsia="仿宋_GB2312"/>
                <w:sz w:val="21"/>
                <w:b/>
                <w:color w:val="000000"/>
              </w:rPr>
              <w:t>★</w:t>
            </w:r>
            <w:r>
              <w:rPr>
                <w:rFonts w:ascii="仿宋_GB2312" w:hAnsi="仿宋_GB2312" w:cs="仿宋_GB2312" w:eastAsia="仿宋_GB2312"/>
                <w:sz w:val="21"/>
                <w:color w:val="000000"/>
              </w:rPr>
              <w:t>5、中标人要根据西安市殡仪馆的销售情况及时配送商品，并不断满足治丧群众的个性化商品需求。</w:t>
            </w:r>
          </w:p>
          <w:p>
            <w:pPr>
              <w:pStyle w:val="null3"/>
            </w:pPr>
            <w:r>
              <w:rPr>
                <w:rFonts w:ascii="仿宋_GB2312" w:hAnsi="仿宋_GB2312" w:cs="仿宋_GB2312" w:eastAsia="仿宋_GB2312"/>
                <w:sz w:val="21"/>
                <w:b/>
                <w:color w:val="000000"/>
              </w:rPr>
              <w:t>★</w:t>
            </w:r>
            <w:r>
              <w:rPr>
                <w:rFonts w:ascii="仿宋_GB2312" w:hAnsi="仿宋_GB2312" w:cs="仿宋_GB2312" w:eastAsia="仿宋_GB2312"/>
                <w:sz w:val="21"/>
                <w:color w:val="000000"/>
              </w:rPr>
              <w:t>6、中标</w:t>
            </w:r>
            <w:r>
              <w:rPr>
                <w:rFonts w:ascii="仿宋_GB2312" w:hAnsi="仿宋_GB2312" w:cs="仿宋_GB2312" w:eastAsia="仿宋_GB2312"/>
                <w:sz w:val="21"/>
                <w:color w:val="000000"/>
              </w:rPr>
              <w:t>人</w:t>
            </w:r>
            <w:r>
              <w:rPr>
                <w:rFonts w:ascii="仿宋_GB2312" w:hAnsi="仿宋_GB2312" w:cs="仿宋_GB2312" w:eastAsia="仿宋_GB2312"/>
                <w:sz w:val="21"/>
                <w:color w:val="000000"/>
              </w:rPr>
              <w:t>所提供的殡葬用品有国家或行业标准的，须达到国家或行业相关标准，没有标准的须达到同类中高档质量。如出现商品质量问题由中标单位负责更换，由此引发的群众投诉和政府部门处罚由中标单位负责。</w:t>
            </w:r>
          </w:p>
        </w:tc>
      </w:tr>
      <w:tr>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sz w:val="21"/>
                <w:b/>
                <w:color w:val="000000"/>
              </w:rPr>
              <w:t>服务要求</w:t>
            </w:r>
          </w:p>
          <w:p>
            <w:pPr>
              <w:pStyle w:val="null3"/>
            </w:pPr>
            <w:r>
              <w:rPr>
                <w:rFonts w:ascii="仿宋_GB2312" w:hAnsi="仿宋_GB2312" w:cs="仿宋_GB2312" w:eastAsia="仿宋_GB2312"/>
                <w:sz w:val="21"/>
                <w:color w:val="000000"/>
              </w:rPr>
              <w:t>1、所选原材料必须保证质量可靠、进货渠道正规，符合国家相关标准，并满足招标文件要求。</w:t>
            </w:r>
          </w:p>
          <w:p>
            <w:pPr>
              <w:pStyle w:val="null3"/>
            </w:pPr>
            <w:r>
              <w:rPr>
                <w:rFonts w:ascii="仿宋_GB2312" w:hAnsi="仿宋_GB2312" w:cs="仿宋_GB2312" w:eastAsia="仿宋_GB2312"/>
                <w:sz w:val="21"/>
                <w:color w:val="000000"/>
              </w:rPr>
              <w:t>2、所供成品保证质量合格，符合国家有关技术规范，确保无水货、假货、翻新货及残次品，并能按期交货。</w:t>
            </w:r>
          </w:p>
          <w:p>
            <w:pPr>
              <w:pStyle w:val="null3"/>
            </w:pPr>
            <w:r>
              <w:rPr>
                <w:rFonts w:ascii="仿宋_GB2312" w:hAnsi="仿宋_GB2312" w:cs="仿宋_GB2312" w:eastAsia="仿宋_GB2312"/>
                <w:sz w:val="21"/>
                <w:color w:val="000000"/>
              </w:rPr>
              <w:t>3、保证所供货物在装卸、运输和仓储过程中有安全的包装保护措施，防止货物受潮、腐烂、物理损毁及其他不可预见的损坏。</w:t>
            </w:r>
          </w:p>
          <w:p>
            <w:pPr>
              <w:pStyle w:val="null3"/>
            </w:pPr>
            <w:r>
              <w:rPr>
                <w:rFonts w:ascii="仿宋_GB2312" w:hAnsi="仿宋_GB2312" w:cs="仿宋_GB2312" w:eastAsia="仿宋_GB2312"/>
                <w:sz w:val="21"/>
                <w:color w:val="000000"/>
              </w:rPr>
              <w:t>4、中标供应商所供货物，由于侵权而引发的一切问题及后果，由中标方负责。采购方保留索赔权利。</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投标人主体</w:t>
            </w:r>
          </w:p>
        </w:tc>
        <w:tc>
          <w:tcPr>
            <w:tcW w:type="dxa" w:w="2769"/>
          </w:tcPr>
          <w:p>
            <w:pPr>
              <w:pStyle w:val="null3"/>
            </w:pPr>
            <w:r>
              <w:rPr>
                <w:rFonts w:ascii="仿宋_GB2312" w:hAnsi="仿宋_GB2312" w:cs="仿宋_GB2312" w:eastAsia="仿宋_GB2312"/>
              </w:rPr>
              <w:t>提供投标人有效存续的的法人或其他组织的营业执照/事业单位法人证书/非企业专业服务机构执业许可证/民办非企业单位登记证书；</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财务状况</w:t>
            </w:r>
          </w:p>
        </w:tc>
        <w:tc>
          <w:tcPr>
            <w:tcW w:type="dxa" w:w="2769"/>
          </w:tcPr>
          <w:p>
            <w:pPr>
              <w:pStyle w:val="null3"/>
            </w:pPr>
            <w:r>
              <w:rPr>
                <w:rFonts w:ascii="仿宋_GB2312" w:hAnsi="仿宋_GB2312" w:cs="仿宋_GB2312" w:eastAsia="仿宋_GB2312"/>
              </w:rPr>
              <w:t>财务状况报告（以下三种资料提供任意一种即可）：（1）提供2024或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2）其开标前半年内基本开户银行出具的资信证明；（3）信用担保机构出具的投标担保函；</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纳税证明</w:t>
            </w:r>
          </w:p>
        </w:tc>
        <w:tc>
          <w:tcPr>
            <w:tcW w:type="dxa" w:w="2769"/>
          </w:tcPr>
          <w:p>
            <w:pPr>
              <w:pStyle w:val="null3"/>
            </w:pPr>
            <w:r>
              <w:rPr>
                <w:rFonts w:ascii="仿宋_GB2312" w:hAnsi="仿宋_GB2312" w:cs="仿宋_GB2312" w:eastAsia="仿宋_GB2312"/>
              </w:rPr>
              <w:t>提供投标人2025年5月至今已缴纳任意一个月完税凭证或税务机关开具的完税证明（时间以税款所属日期为准，凭据应有税务机关或代收机关的公章或业务专用章）；依法免税的应提供相关文件证明；</w:t>
            </w:r>
          </w:p>
        </w:tc>
      </w:tr>
      <w:tr>
        <w:tc>
          <w:tcPr>
            <w:tcW w:type="dxa" w:w="2769"/>
          </w:tcPr>
          <w:p>
            <w:pPr>
              <w:pStyle w:val="null3"/>
            </w:pPr>
            <w:r>
              <w:rPr>
                <w:rFonts w:ascii="仿宋_GB2312" w:hAnsi="仿宋_GB2312" w:cs="仿宋_GB2312" w:eastAsia="仿宋_GB2312"/>
              </w:rPr>
              <w:t>4</w:t>
            </w:r>
          </w:p>
        </w:tc>
        <w:tc>
          <w:tcPr>
            <w:tcW w:type="dxa" w:w="2769"/>
          </w:tcPr>
          <w:p>
            <w:pPr>
              <w:pStyle w:val="null3"/>
            </w:pPr>
            <w:r>
              <w:rPr>
                <w:rFonts w:ascii="仿宋_GB2312" w:hAnsi="仿宋_GB2312" w:cs="仿宋_GB2312" w:eastAsia="仿宋_GB2312"/>
              </w:rPr>
              <w:t>社会保障资金缴纳证明</w:t>
            </w:r>
          </w:p>
        </w:tc>
        <w:tc>
          <w:tcPr>
            <w:tcW w:type="dxa" w:w="2769"/>
          </w:tcPr>
          <w:p>
            <w:pPr>
              <w:pStyle w:val="null3"/>
            </w:pPr>
            <w:r>
              <w:rPr>
                <w:rFonts w:ascii="仿宋_GB2312" w:hAnsi="仿宋_GB2312" w:cs="仿宋_GB2312" w:eastAsia="仿宋_GB2312"/>
              </w:rPr>
              <w:t>提供供应商2025年5月至今已缴存的任意一个月的社会保障资金缴存单据或社保机构开具的社会保险参保缴费情况证明；依法不需要缴纳社会保障资金的应提供相关文件证明；</w:t>
            </w:r>
          </w:p>
        </w:tc>
      </w:tr>
      <w:tr>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rPr>
              <w:t>参加政府采购活动前3年内在经营活动中没有重大违法记录</w:t>
            </w:r>
          </w:p>
        </w:tc>
        <w:tc>
          <w:tcPr>
            <w:tcW w:type="dxa" w:w="2769"/>
          </w:tcPr>
          <w:p>
            <w:pPr>
              <w:pStyle w:val="null3"/>
            </w:pPr>
            <w:r>
              <w:rPr>
                <w:rFonts w:ascii="仿宋_GB2312" w:hAnsi="仿宋_GB2312" w:cs="仿宋_GB2312" w:eastAsia="仿宋_GB2312"/>
              </w:rPr>
              <w:t>参加政府采购活动前3年内在经营活动中没有重大违法记录的书面声明；</w:t>
            </w:r>
          </w:p>
        </w:tc>
      </w:tr>
      <w:tr>
        <w:tc>
          <w:tcPr>
            <w:tcW w:type="dxa" w:w="2769"/>
          </w:tcPr>
          <w:p>
            <w:pPr>
              <w:pStyle w:val="null3"/>
            </w:pPr>
            <w:r>
              <w:rPr>
                <w:rFonts w:ascii="仿宋_GB2312" w:hAnsi="仿宋_GB2312" w:cs="仿宋_GB2312" w:eastAsia="仿宋_GB2312"/>
              </w:rPr>
              <w:t>6</w:t>
            </w:r>
          </w:p>
        </w:tc>
        <w:tc>
          <w:tcPr>
            <w:tcW w:type="dxa" w:w="2769"/>
          </w:tcPr>
          <w:p>
            <w:pPr>
              <w:pStyle w:val="null3"/>
            </w:pPr>
            <w:r>
              <w:rPr>
                <w:rFonts w:ascii="仿宋_GB2312" w:hAnsi="仿宋_GB2312" w:cs="仿宋_GB2312" w:eastAsia="仿宋_GB2312"/>
              </w:rPr>
              <w:t>具有履行合同所必需的设备和专业技术能力</w:t>
            </w:r>
          </w:p>
        </w:tc>
        <w:tc>
          <w:tcPr>
            <w:tcW w:type="dxa" w:w="2769"/>
          </w:tcPr>
          <w:p>
            <w:pPr>
              <w:pStyle w:val="null3"/>
            </w:pPr>
            <w:r>
              <w:rPr>
                <w:rFonts w:ascii="仿宋_GB2312" w:hAnsi="仿宋_GB2312" w:cs="仿宋_GB2312" w:eastAsia="仿宋_GB2312"/>
              </w:rPr>
              <w:t>具有履行合同所必需的设备和专业技术能力的承诺函；</w:t>
            </w:r>
          </w:p>
        </w:tc>
      </w:tr>
      <w:tr>
        <w:tc>
          <w:tcPr>
            <w:tcW w:type="dxa" w:w="2769"/>
          </w:tcPr>
          <w:p>
            <w:pPr>
              <w:pStyle w:val="null3"/>
            </w:pPr>
            <w:r>
              <w:rPr>
                <w:rFonts w:ascii="仿宋_GB2312" w:hAnsi="仿宋_GB2312" w:cs="仿宋_GB2312" w:eastAsia="仿宋_GB2312"/>
              </w:rPr>
              <w:t>7</w:t>
            </w:r>
          </w:p>
        </w:tc>
        <w:tc>
          <w:tcPr>
            <w:tcW w:type="dxa" w:w="2769"/>
          </w:tcPr>
          <w:p>
            <w:pPr>
              <w:pStyle w:val="null3"/>
            </w:pPr>
            <w:r>
              <w:rPr>
                <w:rFonts w:ascii="仿宋_GB2312" w:hAnsi="仿宋_GB2312" w:cs="仿宋_GB2312" w:eastAsia="仿宋_GB2312"/>
              </w:rPr>
              <w:t>信用记录</w:t>
            </w:r>
          </w:p>
        </w:tc>
        <w:tc>
          <w:tcPr>
            <w:tcW w:type="dxa" w:w="2769"/>
          </w:tcPr>
          <w:p>
            <w:pPr>
              <w:pStyle w:val="null3"/>
            </w:pPr>
            <w:r>
              <w:rPr>
                <w:rFonts w:ascii="仿宋_GB2312" w:hAnsi="仿宋_GB2312" w:cs="仿宋_GB2312" w:eastAsia="仿宋_GB2312"/>
              </w:rPr>
              <w:t>未被列入“信用中国”网站及“中国政府采购网”网站失信被执行人、 重大税收违法案件当事人名单、政府采购严重违法失信行为记录名单。</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服务方案</w:t>
            </w:r>
          </w:p>
        </w:tc>
        <w:tc>
          <w:tcPr>
            <w:tcW w:type="dxa" w:w="1384"/>
          </w:tcPr>
          <w:p>
            <w:pPr>
              <w:pStyle w:val="null3"/>
            </w:pPr>
            <w:r>
              <w:rPr>
                <w:rFonts w:ascii="仿宋_GB2312" w:hAnsi="仿宋_GB2312" w:cs="仿宋_GB2312" w:eastAsia="仿宋_GB2312"/>
              </w:rPr>
              <w:t>供应商针对本项目制定详细的提供切实可行的服务方案（包括但不限于①服务目标②日常管理制度③人员配置方案④实施过程管理方案）等内容赋分：1服务方案内容齐全、针对性及可行性强，得3分； 2.服务方案内容基本齐全，针对性及可行性基本可行，得2分；3.服务方案内容简单，针对性及可行性基本较差得1分；4.方案存在严重缺陷或未提供具体方案，该项不得分。注：以上4项内容，每项3分，最高得12分。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产品规格与适配性</w:t>
            </w:r>
          </w:p>
        </w:tc>
        <w:tc>
          <w:tcPr>
            <w:tcW w:type="dxa" w:w="1384"/>
          </w:tcPr>
          <w:p>
            <w:pPr>
              <w:pStyle w:val="null3"/>
            </w:pPr>
            <w:r>
              <w:rPr>
                <w:rFonts w:ascii="仿宋_GB2312" w:hAnsi="仿宋_GB2312" w:cs="仿宋_GB2312" w:eastAsia="仿宋_GB2312"/>
              </w:rPr>
              <w:t>根据招标文件中所要求的货物，提供全部的产品样图（效果图）进行评审： 1、产品规格（4分）： ①全部商品完全匹配采购需求的规格、尺寸、材质，得4分； ②90%-99%商品匹配采购需求的规格、尺寸、材质，得3分； ③80%-89%商品匹配采购需求的规格、尺寸、材质，得2分； ④70%-79%商品匹配采购需求的规格、尺寸、材质，得1分； ⑤60%-69%商品匹配采购需求的规格、尺寸、材质，得0.5分。 产品适配性（5分）： ①样图清晰真实，完整呈现商品外观、细节、商品做工精细，美观，无瑕疵，符合殡葬礼仪规范，适配殡葬场景使用，得5分； ②样图清晰，基本呈现商品核心特征，商品基本美观，基本符合殡葬礼仪规范，适配殡葬场景使用，得3分； ③ 样图模糊，未完整呈现商品特征，且做工粗糙，得1分； ④未提供样图或样图虚假，得0分</w:t>
            </w:r>
          </w:p>
        </w:tc>
        <w:tc>
          <w:tcPr>
            <w:tcW w:type="dxa" w:w="1384"/>
          </w:tcPr>
          <w:p>
            <w:pPr>
              <w:pStyle w:val="null3"/>
              <w:jc w:val="right"/>
            </w:pPr>
            <w:r>
              <w:rPr>
                <w:rFonts w:ascii="仿宋_GB2312" w:hAnsi="仿宋_GB2312" w:cs="仿宋_GB2312" w:eastAsia="仿宋_GB2312"/>
              </w:rPr>
              <w:t>9.0000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供货方案</w:t>
            </w:r>
          </w:p>
        </w:tc>
        <w:tc>
          <w:tcPr>
            <w:tcW w:type="dxa" w:w="1384"/>
          </w:tcPr>
          <w:p>
            <w:pPr>
              <w:pStyle w:val="null3"/>
            </w:pPr>
            <w:r>
              <w:rPr>
                <w:rFonts w:ascii="仿宋_GB2312" w:hAnsi="仿宋_GB2312" w:cs="仿宋_GB2312" w:eastAsia="仿宋_GB2312"/>
              </w:rPr>
              <w:t>针对本次项目提供详细的供货方案（包括但不限于①供货计划②采购渠道（提供货源、渠道证明材料）③供货保障④仓储管理等⑤产品质量保证措施） 1、供货方案完整、科学合理、有针对性，保障措施完善，可完全满足本次采购需求3分；2、供货方案基本完整、合理可行，保障措施基本完善，基本满足本次采购需求，计2分；供货方案不完整、合理性、可行性及保障措施较差，部分满足本次采购需求，计1分； 未提供本项或完全不满足采购人需求得的不得分。注：以上5项内容，每项3分，最高得15分。</w:t>
            </w:r>
          </w:p>
        </w:tc>
        <w:tc>
          <w:tcPr>
            <w:tcW w:type="dxa" w:w="1384"/>
          </w:tcPr>
          <w:p>
            <w:pPr>
              <w:pStyle w:val="null3"/>
              <w:jc w:val="right"/>
            </w:pPr>
            <w:r>
              <w:rPr>
                <w:rFonts w:ascii="仿宋_GB2312" w:hAnsi="仿宋_GB2312" w:cs="仿宋_GB2312" w:eastAsia="仿宋_GB2312"/>
              </w:rPr>
              <w:t>15.0000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配送方案</w:t>
            </w:r>
          </w:p>
        </w:tc>
        <w:tc>
          <w:tcPr>
            <w:tcW w:type="dxa" w:w="1384"/>
          </w:tcPr>
          <w:p>
            <w:pPr>
              <w:pStyle w:val="null3"/>
            </w:pPr>
            <w:r>
              <w:rPr>
                <w:rFonts w:ascii="仿宋_GB2312" w:hAnsi="仿宋_GB2312" w:cs="仿宋_GB2312" w:eastAsia="仿宋_GB2312"/>
              </w:rPr>
              <w:t>针对本次项目提供详细的配送实施方案（包括但不限于①配送流程②配送保障③配送时效④成品包装运输方案等）。 1、配送实施方案完整、科学合理、有针对性，措施完善，可完全满足本次采购需求3分；2、配送实施方案基本完整、合理可行，措施基本完善，基本满足本次采购需求，计2分；3、配送实施方案不完整、合理性、可行性及措施较差，部分满足本次采购需求，计1分；4、 未提供本项或完全不满足采购人需求得的不得分。注：以上4项内容，每项3分，最高得12分。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应急预案及措施</w:t>
            </w:r>
          </w:p>
        </w:tc>
        <w:tc>
          <w:tcPr>
            <w:tcW w:type="dxa" w:w="1384"/>
          </w:tcPr>
          <w:p>
            <w:pPr>
              <w:pStyle w:val="null3"/>
            </w:pPr>
            <w:r>
              <w:rPr>
                <w:rFonts w:ascii="仿宋_GB2312" w:hAnsi="仿宋_GB2312" w:cs="仿宋_GB2312" w:eastAsia="仿宋_GB2312"/>
              </w:rPr>
              <w:t>针对本项目的应急预案及措施（包括但不限于①应急情况保障措施；②突发事件处理措施；③问题产品召回等内容。 1、应急预案及措施内容完整，科学、合理、针对性强，计4分；2、应急预案及措施内容基本完整，较为科学、合理、有针对性，计2分；3、应急预案及措施内容不完善、可行性及针对想性差计1分；4、未提供本项或完全不满足采购人需求得的不得分。</w:t>
            </w:r>
          </w:p>
        </w:tc>
        <w:tc>
          <w:tcPr>
            <w:tcW w:type="dxa" w:w="1384"/>
          </w:tcPr>
          <w:p>
            <w:pPr>
              <w:pStyle w:val="null3"/>
              <w:jc w:val="right"/>
            </w:pPr>
            <w:r>
              <w:rPr>
                <w:rFonts w:ascii="仿宋_GB2312" w:hAnsi="仿宋_GB2312" w:cs="仿宋_GB2312" w:eastAsia="仿宋_GB2312"/>
              </w:rPr>
              <w:t>4.0000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服务质量跟进制度</w:t>
            </w:r>
          </w:p>
        </w:tc>
        <w:tc>
          <w:tcPr>
            <w:tcW w:type="dxa" w:w="1384"/>
          </w:tcPr>
          <w:p>
            <w:pPr>
              <w:pStyle w:val="null3"/>
            </w:pPr>
            <w:r>
              <w:rPr>
                <w:rFonts w:ascii="仿宋_GB2312" w:hAnsi="仿宋_GB2312" w:cs="仿宋_GB2312" w:eastAsia="仿宋_GB2312"/>
              </w:rPr>
              <w:t>1.管理制度健全、规范，实施计划详细、可行性强，得3分； 2.管理制度简单，实施计划基本可行，得2分； 3.无明确管理制度，实施计划简单，得1分；4.方案存在严重缺陷或未提供具体方案，该项不得分。</w:t>
            </w:r>
          </w:p>
        </w:tc>
        <w:tc>
          <w:tcPr>
            <w:tcW w:type="dxa" w:w="1384"/>
          </w:tcPr>
          <w:p>
            <w:pPr>
              <w:pStyle w:val="null3"/>
              <w:jc w:val="right"/>
            </w:pPr>
            <w:r>
              <w:rPr>
                <w:rFonts w:ascii="仿宋_GB2312" w:hAnsi="仿宋_GB2312" w:cs="仿宋_GB2312" w:eastAsia="仿宋_GB2312"/>
              </w:rPr>
              <w:t>3.0000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7</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售后服务方案</w:t>
            </w:r>
          </w:p>
        </w:tc>
        <w:tc>
          <w:tcPr>
            <w:tcW w:type="dxa" w:w="1384"/>
          </w:tcPr>
          <w:p>
            <w:pPr>
              <w:pStyle w:val="null3"/>
            </w:pPr>
            <w:r>
              <w:rPr>
                <w:rFonts w:ascii="仿宋_GB2312" w:hAnsi="仿宋_GB2312" w:cs="仿宋_GB2312" w:eastAsia="仿宋_GB2312"/>
              </w:rPr>
              <w:t>供应商根据招标文件要求提供项目售后服务方案，内容包含但不限于： ①退换货及缺送、漏送的处理方案；②售后服务承诺；③售后人员安排及售后响应时间承诺方案。 1、售后服务方案内容完整、科学合理，针对性及可行性强，可完全满足本次采购需求2分；2、售后服务方案内容基本完整、针对性及可行性基本可行，基本满足本次采购需求，计1分；3、售后服务方案不完整、针对性及可行性较差，部分满足本次采购需求，计0.5分；4、 未提供本项或完全不满足采购人需求得的不得分。注：以上3项内容，每项2分，最高得6分。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8</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增值服务</w:t>
            </w:r>
          </w:p>
        </w:tc>
        <w:tc>
          <w:tcPr>
            <w:tcW w:type="dxa" w:w="1384"/>
          </w:tcPr>
          <w:p>
            <w:pPr>
              <w:pStyle w:val="null3"/>
            </w:pPr>
            <w:r>
              <w:rPr>
                <w:rFonts w:ascii="仿宋_GB2312" w:hAnsi="仿宋_GB2312" w:cs="仿宋_GB2312" w:eastAsia="仿宋_GB2312"/>
              </w:rPr>
              <w:t>提供惠民平价套餐，得2分。</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9</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节能环保</w:t>
            </w:r>
          </w:p>
        </w:tc>
        <w:tc>
          <w:tcPr>
            <w:tcW w:type="dxa" w:w="1384"/>
          </w:tcPr>
          <w:p>
            <w:pPr>
              <w:pStyle w:val="null3"/>
            </w:pPr>
            <w:r>
              <w:rPr>
                <w:rFonts w:ascii="仿宋_GB2312" w:hAnsi="仿宋_GB2312" w:cs="仿宋_GB2312" w:eastAsia="仿宋_GB2312"/>
              </w:rPr>
              <w:t>提供可降解环保商品，得2分。注：须提供相关证明材料。</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10</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w:t>
            </w:r>
          </w:p>
        </w:tc>
        <w:tc>
          <w:tcPr>
            <w:tcW w:type="dxa" w:w="1384"/>
          </w:tcPr>
          <w:p>
            <w:pPr>
              <w:pStyle w:val="null3"/>
            </w:pPr>
            <w:r>
              <w:rPr>
                <w:rFonts w:ascii="仿宋_GB2312" w:hAnsi="仿宋_GB2312" w:cs="仿宋_GB2312" w:eastAsia="仿宋_GB2312"/>
              </w:rPr>
              <w:t>提供供应商2022年1月1日起至投标文件递交截止之日类似项目的业绩，每提供一项得1分，最多得5分（提供业绩的合同复印件或扫描件，以合同签订时间为准），未提供不得分；</w:t>
            </w:r>
          </w:p>
        </w:tc>
        <w:tc>
          <w:tcPr>
            <w:tcW w:type="dxa" w:w="1384"/>
          </w:tcPr>
          <w:p>
            <w:pPr>
              <w:pStyle w:val="null3"/>
              <w:jc w:val="right"/>
            </w:pPr>
            <w:r>
              <w:rPr>
                <w:rFonts w:ascii="仿宋_GB2312" w:hAnsi="仿宋_GB2312" w:cs="仿宋_GB2312" w:eastAsia="仿宋_GB2312"/>
              </w:rPr>
              <w:t>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采用低价优先法计算，即通过资格审查和符合性审查且价格最低的有效投标报价为评标基准价，其价格分为满分。 投标报价得分＝（评标基准价/投标报价）×价格权值</w:t>
            </w:r>
          </w:p>
        </w:tc>
        <w:tc>
          <w:tcPr>
            <w:tcW w:type="dxa" w:w="1384"/>
          </w:tcPr>
          <w:p>
            <w:pPr>
              <w:pStyle w:val="null3"/>
              <w:jc w:val="right"/>
            </w:pPr>
            <w:r>
              <w:rPr>
                <w:rFonts w:ascii="仿宋_GB2312" w:hAnsi="仿宋_GB2312" w:cs="仿宋_GB2312" w:eastAsia="仿宋_GB2312"/>
              </w:rPr>
              <w:t>30.0000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买卖合同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合同签署之日起一年或累计结算金额达到采购预算，以先到达者为准；交货时间：接到采购人要货通知后3天内完成供货；如遇特殊情况甲乙双方协商送货时间。</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西安市殡仪馆馆内</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一次付清</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1、</w:t>
      </w:r>
      <w:r>
        <w:rPr>
          <w:rFonts w:ascii="仿宋_GB2312" w:hAnsi="仿宋_GB2312" w:cs="仿宋_GB2312" w:eastAsia="仿宋_GB2312"/>
        </w:rPr>
        <w:t xml:space="preserve"> 付款条件说明： </w:t>
      </w:r>
      <w:r>
        <w:rPr>
          <w:rFonts w:ascii="仿宋_GB2312" w:hAnsi="仿宋_GB2312" w:cs="仿宋_GB2312" w:eastAsia="仿宋_GB2312"/>
        </w:rPr>
        <w:t>合同签订后以西安市殡仪馆实际销售商品的成本进行据实结算货款</w:t>
      </w:r>
      <w:r>
        <w:rPr>
          <w:rFonts w:ascii="仿宋_GB2312" w:hAnsi="仿宋_GB2312" w:cs="仿宋_GB2312" w:eastAsia="仿宋_GB2312"/>
        </w:rPr>
        <w:t xml:space="preserve"> ，达到付款条件起 </w:t>
      </w:r>
      <w:r>
        <w:rPr>
          <w:rFonts w:ascii="仿宋_GB2312" w:hAnsi="仿宋_GB2312" w:cs="仿宋_GB2312" w:eastAsia="仿宋_GB2312"/>
        </w:rPr>
        <w:t>10</w:t>
      </w:r>
      <w:r>
        <w:rPr>
          <w:rFonts w:ascii="仿宋_GB2312" w:hAnsi="仿宋_GB2312" w:cs="仿宋_GB2312" w:eastAsia="仿宋_GB2312"/>
        </w:rPr>
        <w:t xml:space="preserve"> 日内，支付合同总金额的 </w:t>
      </w:r>
      <w:r>
        <w:rPr>
          <w:rFonts w:ascii="仿宋_GB2312" w:hAnsi="仿宋_GB2312" w:cs="仿宋_GB2312" w:eastAsia="仿宋_GB2312"/>
        </w:rPr>
        <w:t>100.00</w:t>
      </w:r>
      <w:r>
        <w:rPr>
          <w:rFonts w:ascii="仿宋_GB2312" w:hAnsi="仿宋_GB2312" w:cs="仿宋_GB2312" w:eastAsia="仿宋_GB2312"/>
        </w:rPr>
        <w:t>%。</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根据业务完成量、家属满意度调查及合同要求进行验收对此项业务开展进行综合评估，使此项业务达到社会效益和经济效益的双达标。必要时委托具有相关资质的第三方检测机构或邀请行业专家对货物质量等进行抽样检验，检验费用由中标方承担。</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自货物出厂之日起至少12个月，若该质量保证期小于国家标准，则以国家标准为准。质量保修范围：1、30天内，如出现质量问题，可以选择换货或退货；2、30天至60天内，如出现质量问题，可选择换货。</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按行业相关标准执行</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无</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一、违约责任 1、中标供应商未按“接到采购人要货通知后3日内完成供货”约定供货的，每延迟1日，按该批次供货金额的5%向采购人支付违约金（不足1日按1日计算）；延迟超过5日的，采购人有权单方解除该批次供货约定，且乙方需向甲方支付该批次预计供货金额20%的违约金。 2、针对采购人临时特殊规格产品需求，若双方已协商确定供货时间，中标供应商未按时供货的，每延迟1小时按该批货物金额的1%支付违约金；延迟超过24小时的，采购人有权拒绝接收该批货物，且中标供应商需赔偿采购人因临时调货产生的差价（采购人可向第三方采购，差价由中标供应商承担）及家属投诉处理费用。 3、验收不合格需换货的，中标供应商未在24小时内完成换货的，每延迟12小时按该批货物金额的3%支付违约金；延迟超过48小时的，采购人有权直接扣除该批货物对应货款的20%，且中标供应商需重新提供符合要求的货物（费用自担） 4、若中标供应商提供的货物不符合本合同约定，经采购人验收或第三方检测确认不合格的，中标供应商除需免费更换合格货物外，每出现1批次不合格产品，需按该批次货物金额的10%向采购人支付违约金；因产品质量引发家属投诉的，中标供应商需在2小时内响应处理，若导致采购人承担赔偿责任（如家属索赔），中标供应商需全额赔付；若引发诉讼，中标供应商需承担全部诉讼费、律师费及采购人因此产生的名誉损失赔偿（每次诉讼最低赔偿5万元）；同一品类产品累计出现3次质量不合格（含换货后仍不合格）的，采购人有权永久终止该品类合作，且中标供应商需按该品类近3个月平均月销售额的2倍支付违约金。 二、争议解决 产生争议，甲乙双方应本着友好积极态度进行协商解决；协商不成，可提请有关部门进行调解，调解不成的向甲方所在地人民法院提出诉讼。</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无</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分段/分期验收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5</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以招标文件、投标文件及签订合同要求为准。</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按合同约定执行</w:t>
      </w:r>
    </w:p>
    <w:p>
      <w:pPr>
        <w:pStyle w:val="null3"/>
        <w:outlineLvl w:val="4"/>
      </w:pPr>
      <w:r>
        <w:rPr>
          <w:rFonts w:ascii="仿宋_GB2312" w:hAnsi="仿宋_GB2312" w:cs="仿宋_GB2312" w:eastAsia="仿宋_GB2312"/>
          <w:sz w:val="20"/>
          <w:b/>
        </w:rPr>
        <w:t>（</w:t>
      </w:r>
      <w:r>
        <w:rPr>
          <w:rFonts w:ascii="仿宋_GB2312" w:hAnsi="仿宋_GB2312" w:cs="仿宋_GB2312" w:eastAsia="仿宋_GB2312"/>
          <w:sz w:val="20"/>
          <w:b/>
        </w:rPr>
        <w:t>二</w:t>
      </w:r>
      <w:r>
        <w:rPr>
          <w:rFonts w:ascii="仿宋_GB2312" w:hAnsi="仿宋_GB2312" w:cs="仿宋_GB2312" w:eastAsia="仿宋_GB2312"/>
          <w:sz w:val="20"/>
          <w:b/>
        </w:rPr>
        <w:t>）分包名称：</w:t>
      </w:r>
      <w:r>
        <w:rPr>
          <w:rFonts w:ascii="仿宋_GB2312" w:hAnsi="仿宋_GB2312" w:cs="仿宋_GB2312" w:eastAsia="仿宋_GB2312"/>
          <w:sz w:val="20"/>
          <w:b/>
        </w:rPr>
        <w:t>鲜花花材采购</w:t>
      </w:r>
    </w:p>
    <w:p>
      <w:pPr>
        <w:pStyle w:val="null3"/>
      </w:pPr>
      <w:r>
        <w:rPr>
          <w:rFonts w:ascii="仿宋_GB2312" w:hAnsi="仿宋_GB2312" w:cs="仿宋_GB2312" w:eastAsia="仿宋_GB2312"/>
        </w:rPr>
        <w:t>1、执行政府采购促进中小企业发展的相关政策</w:t>
      </w:r>
    </w:p>
    <w:p>
      <w:pPr>
        <w:pStyle w:val="null3"/>
      </w:pPr>
      <w:r>
        <w:rPr>
          <w:rFonts w:ascii="仿宋_GB2312" w:hAnsi="仿宋_GB2312" w:cs="仿宋_GB2312" w:eastAsia="仿宋_GB2312"/>
          <w:color w:val="000000"/>
        </w:rPr>
        <w:t>1)</w:t>
      </w:r>
      <w:r>
        <w:rPr>
          <w:rFonts w:ascii="仿宋_GB2312" w:hAnsi="仿宋_GB2312" w:cs="仿宋_GB2312" w:eastAsia="仿宋_GB2312"/>
        </w:rPr>
        <w:t>专门面向中小企业采购</w:t>
      </w:r>
    </w:p>
    <w:p>
      <w:pPr>
        <w:pStyle w:val="null3"/>
        <w:ind w:firstLine="840"/>
      </w:pPr>
      <w:r>
        <w:rPr>
          <w:rFonts w:ascii="仿宋_GB2312" w:hAnsi="仿宋_GB2312" w:cs="仿宋_GB2312" w:eastAsia="仿宋_GB2312"/>
          <w:color w:val="000000"/>
        </w:rPr>
        <w:t>2)面向的企业规模：</w:t>
      </w:r>
      <w:r>
        <w:rPr>
          <w:rFonts w:ascii="仿宋_GB2312" w:hAnsi="仿宋_GB2312" w:cs="仿宋_GB2312" w:eastAsia="仿宋_GB2312"/>
        </w:rPr>
        <w:t>中小企业</w:t>
      </w:r>
    </w:p>
    <w:p>
      <w:pPr>
        <w:pStyle w:val="null3"/>
        <w:ind w:firstLine="840"/>
      </w:pPr>
      <w:r>
        <w:rPr>
          <w:rFonts w:ascii="仿宋_GB2312" w:hAnsi="仿宋_GB2312" w:cs="仿宋_GB2312" w:eastAsia="仿宋_GB2312"/>
          <w:color w:val="000000"/>
        </w:rPr>
        <w:t>3)预留形式：</w:t>
      </w:r>
      <w:r>
        <w:rPr>
          <w:rFonts w:ascii="仿宋_GB2312" w:hAnsi="仿宋_GB2312" w:cs="仿宋_GB2312" w:eastAsia="仿宋_GB2312"/>
        </w:rPr>
        <w:t>设置专门采购包</w:t>
      </w:r>
    </w:p>
    <w:p>
      <w:pPr>
        <w:pStyle w:val="null3"/>
        <w:ind w:firstLine="840"/>
      </w:pPr>
      <w:r>
        <w:rPr>
          <w:rFonts w:ascii="仿宋_GB2312" w:hAnsi="仿宋_GB2312" w:cs="仿宋_GB2312" w:eastAsia="仿宋_GB2312"/>
          <w:color w:val="000000"/>
        </w:rPr>
        <w:t>4)预留比例：</w:t>
      </w:r>
      <w:r>
        <w:rPr>
          <w:rFonts w:ascii="仿宋_GB2312" w:hAnsi="仿宋_GB2312" w:cs="仿宋_GB2312" w:eastAsia="仿宋_GB2312"/>
        </w:rPr>
        <w:t>100%</w:t>
      </w:r>
    </w:p>
    <w:p>
      <w:pPr>
        <w:pStyle w:val="null3"/>
      </w:pPr>
      <w:r>
        <w:rPr>
          <w:rFonts w:ascii="仿宋_GB2312" w:hAnsi="仿宋_GB2312" w:cs="仿宋_GB2312" w:eastAsia="仿宋_GB2312"/>
        </w:rPr>
        <w:t>2、预算金额（元）：</w:t>
      </w:r>
      <w:r>
        <w:rPr>
          <w:rFonts w:ascii="仿宋_GB2312" w:hAnsi="仿宋_GB2312" w:cs="仿宋_GB2312" w:eastAsia="仿宋_GB2312"/>
        </w:rPr>
        <w:t>1,810,000.00</w:t>
      </w:r>
      <w:r>
        <w:rPr>
          <w:rFonts w:ascii="仿宋_GB2312" w:hAnsi="仿宋_GB2312" w:cs="仿宋_GB2312" w:eastAsia="仿宋_GB2312"/>
        </w:rPr>
        <w:t xml:space="preserve"> ，大写（人民币）： </w:t>
      </w:r>
      <w:r>
        <w:rPr>
          <w:rFonts w:ascii="仿宋_GB2312" w:hAnsi="仿宋_GB2312" w:cs="仿宋_GB2312" w:eastAsia="仿宋_GB2312"/>
        </w:rPr>
        <w:t>壹佰捌拾壹万元整</w:t>
      </w:r>
    </w:p>
    <w:p>
      <w:pPr>
        <w:pStyle w:val="null3"/>
        <w:ind w:firstLine="780"/>
      </w:pPr>
      <w:r>
        <w:rPr>
          <w:rFonts w:ascii="仿宋_GB2312" w:hAnsi="仿宋_GB2312" w:cs="仿宋_GB2312" w:eastAsia="仿宋_GB2312"/>
        </w:rPr>
        <w:t xml:space="preserve"> 最高限价（元）： </w:t>
      </w:r>
      <w:r>
        <w:rPr>
          <w:rFonts w:ascii="仿宋_GB2312" w:hAnsi="仿宋_GB2312" w:cs="仿宋_GB2312" w:eastAsia="仿宋_GB2312"/>
        </w:rPr>
        <w:t>1,810,000.00</w:t>
      </w:r>
      <w:r>
        <w:rPr>
          <w:rFonts w:ascii="仿宋_GB2312" w:hAnsi="仿宋_GB2312" w:cs="仿宋_GB2312" w:eastAsia="仿宋_GB2312"/>
        </w:rPr>
        <w:t xml:space="preserve"> ，大写（人民币）： </w:t>
      </w:r>
      <w:r>
        <w:rPr>
          <w:rFonts w:ascii="仿宋_GB2312" w:hAnsi="仿宋_GB2312" w:cs="仿宋_GB2312" w:eastAsia="仿宋_GB2312"/>
        </w:rPr>
        <w:t>壹佰捌拾壹万元整</w:t>
      </w:r>
    </w:p>
    <w:p>
      <w:pPr>
        <w:pStyle w:val="null3"/>
      </w:pPr>
      <w:r>
        <w:rPr>
          <w:rFonts w:ascii="仿宋_GB2312" w:hAnsi="仿宋_GB2312" w:cs="仿宋_GB2312" w:eastAsia="仿宋_GB2312"/>
        </w:rPr>
        <w:t>3、评审方法：</w:t>
      </w:r>
      <w:r>
        <w:rPr>
          <w:rFonts w:ascii="仿宋_GB2312" w:hAnsi="仿宋_GB2312" w:cs="仿宋_GB2312" w:eastAsia="仿宋_GB2312"/>
        </w:rPr>
        <w:t>综合评分法</w:t>
      </w:r>
    </w:p>
    <w:p>
      <w:pPr>
        <w:pStyle w:val="null3"/>
      </w:pPr>
      <w:r>
        <w:rPr>
          <w:rFonts w:ascii="仿宋_GB2312" w:hAnsi="仿宋_GB2312" w:cs="仿宋_GB2312" w:eastAsia="仿宋_GB2312"/>
        </w:rPr>
        <w:t>4、是否支持联合体投标：</w:t>
      </w:r>
      <w:r>
        <w:rPr>
          <w:rFonts w:ascii="仿宋_GB2312" w:hAnsi="仿宋_GB2312" w:cs="仿宋_GB2312" w:eastAsia="仿宋_GB2312"/>
        </w:rPr>
        <w:t>否</w:t>
      </w:r>
    </w:p>
    <w:p>
      <w:pPr>
        <w:pStyle w:val="null3"/>
      </w:pPr>
      <w:r>
        <w:rPr>
          <w:rFonts w:ascii="仿宋_GB2312" w:hAnsi="仿宋_GB2312" w:cs="仿宋_GB2312" w:eastAsia="仿宋_GB2312"/>
        </w:rPr>
        <w:t>5、是否允许合同分包选项：</w:t>
      </w:r>
      <w:r>
        <w:rPr>
          <w:rFonts w:ascii="仿宋_GB2312" w:hAnsi="仿宋_GB2312" w:cs="仿宋_GB2312" w:eastAsia="仿宋_GB2312"/>
        </w:rPr>
        <w:t>否</w:t>
      </w:r>
    </w:p>
    <w:p>
      <w:pPr>
        <w:pStyle w:val="null3"/>
      </w:pPr>
      <w:r>
        <w:rPr>
          <w:rFonts w:ascii="仿宋_GB2312" w:hAnsi="仿宋_GB2312" w:cs="仿宋_GB2312" w:eastAsia="仿宋_GB2312"/>
        </w:rPr>
        <w:t>6、拟采购标的的技术要求</w:t>
      </w:r>
    </w:p>
    <w:tbl>
      <w:tblPr>
        <w:tblW w:w="0" w:type="auto"/>
        <w:tblBorders>
          <w:top w:val="single"/>
          <w:left w:val="single"/>
          <w:bottom w:val="single"/>
          <w:right w:val="single"/>
          <w:insideH w:val="single"/>
          <w:insideV w:val="single"/>
        </w:tblBorders>
      </w:tblPr>
      <w:tblGrid>
        <w:gridCol w:w="997"/>
        <w:gridCol w:w="1993"/>
        <w:gridCol w:w="1661"/>
        <w:gridCol w:w="1993"/>
        <w:gridCol w:w="1661"/>
      </w:tblGrid>
      <w:tr>
        <w:tc>
          <w:tcPr>
            <w:tcW w:type="dxa" w:w="997"/>
            <w:vMerge w:val="restart"/>
          </w:tcPr>
          <w:p>
            <w:pPr>
              <w:pStyle w:val="null3"/>
            </w:pPr>
            <w:r>
              <w:rPr>
                <w:rFonts w:ascii="仿宋_GB2312" w:hAnsi="仿宋_GB2312" w:cs="仿宋_GB2312" w:eastAsia="仿宋_GB2312"/>
              </w:rPr>
              <w:t>1</w:t>
            </w:r>
          </w:p>
        </w:tc>
        <w:tc>
          <w:tcPr>
            <w:tcW w:type="dxa" w:w="1993"/>
          </w:tcPr>
          <w:p>
            <w:pPr>
              <w:pStyle w:val="null3"/>
              <w:jc w:val="center"/>
            </w:pPr>
            <w:r>
              <w:rPr>
                <w:rFonts w:ascii="仿宋_GB2312" w:hAnsi="仿宋_GB2312" w:cs="仿宋_GB2312" w:eastAsia="仿宋_GB2312"/>
                <w:b/>
                <w:color w:val="000000"/>
              </w:rPr>
              <w:t>采购品目</w:t>
            </w:r>
          </w:p>
        </w:tc>
        <w:tc>
          <w:tcPr>
            <w:tcW w:type="dxa" w:w="1661"/>
          </w:tcPr>
          <w:p>
            <w:pPr>
              <w:pStyle w:val="null3"/>
            </w:pPr>
            <w:r>
              <w:rPr>
                <w:rFonts w:ascii="仿宋_GB2312" w:hAnsi="仿宋_GB2312" w:cs="仿宋_GB2312" w:eastAsia="仿宋_GB2312"/>
              </w:rPr>
              <w:t>其他特种用途植物</w:t>
            </w:r>
          </w:p>
        </w:tc>
        <w:tc>
          <w:tcPr>
            <w:tcW w:type="dxa" w:w="1993"/>
          </w:tcPr>
          <w:p>
            <w:pPr>
              <w:pStyle w:val="null3"/>
              <w:jc w:val="center"/>
            </w:pPr>
            <w:r>
              <w:rPr>
                <w:rFonts w:ascii="仿宋_GB2312" w:hAnsi="仿宋_GB2312" w:cs="仿宋_GB2312" w:eastAsia="仿宋_GB2312"/>
                <w:b/>
                <w:color w:val="000000"/>
              </w:rPr>
              <w:t>标的名称</w:t>
            </w:r>
          </w:p>
        </w:tc>
        <w:tc>
          <w:tcPr>
            <w:tcW w:type="dxa" w:w="1661"/>
          </w:tcPr>
          <w:p>
            <w:pPr>
              <w:pStyle w:val="null3"/>
            </w:pPr>
            <w:r>
              <w:rPr>
                <w:rFonts w:ascii="仿宋_GB2312" w:hAnsi="仿宋_GB2312" w:cs="仿宋_GB2312" w:eastAsia="仿宋_GB2312"/>
              </w:rPr>
              <w:t>鲜花花材采购</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数量</w:t>
            </w:r>
          </w:p>
        </w:tc>
        <w:tc>
          <w:tcPr>
            <w:tcW w:type="dxa" w:w="1661"/>
          </w:tcPr>
          <w:p>
            <w:pPr>
              <w:pStyle w:val="null3"/>
              <w:jc w:val="right"/>
            </w:pPr>
            <w:r>
              <w:rPr>
                <w:rFonts w:ascii="仿宋_GB2312" w:hAnsi="仿宋_GB2312" w:cs="仿宋_GB2312" w:eastAsia="仿宋_GB2312"/>
              </w:rPr>
              <w:t>1.00</w:t>
            </w:r>
          </w:p>
        </w:tc>
        <w:tc>
          <w:tcPr>
            <w:tcW w:type="dxa" w:w="1993"/>
          </w:tcPr>
          <w:p>
            <w:pPr>
              <w:pStyle w:val="null3"/>
              <w:jc w:val="center"/>
            </w:pPr>
            <w:r>
              <w:rPr>
                <w:rFonts w:ascii="仿宋_GB2312" w:hAnsi="仿宋_GB2312" w:cs="仿宋_GB2312" w:eastAsia="仿宋_GB2312"/>
                <w:b/>
                <w:color w:val="000000"/>
              </w:rPr>
              <w:t>单位</w:t>
            </w:r>
          </w:p>
        </w:tc>
        <w:tc>
          <w:tcPr>
            <w:tcW w:type="dxa" w:w="1661"/>
          </w:tcPr>
          <w:p>
            <w:pPr>
              <w:pStyle w:val="null3"/>
            </w:pPr>
            <w:r>
              <w:rPr>
                <w:rFonts w:ascii="仿宋_GB2312" w:hAnsi="仿宋_GB2312" w:cs="仿宋_GB2312" w:eastAsia="仿宋_GB2312"/>
              </w:rPr>
              <w:t>批</w:t>
            </w:r>
          </w:p>
        </w:tc>
      </w:tr>
      <w:tr>
        <w:tc>
          <w:tcPr>
            <w:tcW w:type="dxa" w:w="997"/>
            <w:vMerge/>
          </w:tcPr>
          <w:p/>
        </w:tc>
        <w:tc>
          <w:tcPr>
            <w:tcW w:type="dxa" w:w="1993"/>
          </w:tcPr>
          <w:p>
            <w:pPr>
              <w:pStyle w:val="null3"/>
              <w:jc w:val="center"/>
            </w:pPr>
            <w:r>
              <w:rPr>
                <w:rFonts w:ascii="仿宋_GB2312" w:hAnsi="仿宋_GB2312" w:cs="仿宋_GB2312" w:eastAsia="仿宋_GB2312"/>
                <w:b/>
                <w:color w:val="000000"/>
              </w:rPr>
              <w:t>合计金额（元）</w:t>
            </w:r>
          </w:p>
        </w:tc>
        <w:tc>
          <w:tcPr>
            <w:tcW w:type="dxa" w:w="1661"/>
          </w:tcPr>
          <w:p>
            <w:pPr>
              <w:pStyle w:val="null3"/>
              <w:jc w:val="right"/>
            </w:pPr>
            <w:r>
              <w:rPr>
                <w:rFonts w:ascii="仿宋_GB2312" w:hAnsi="仿宋_GB2312" w:cs="仿宋_GB2312" w:eastAsia="仿宋_GB2312"/>
              </w:rPr>
              <w:t>1,810,000.00</w:t>
            </w:r>
          </w:p>
        </w:tc>
        <w:tc>
          <w:tcPr>
            <w:tcW w:type="dxa" w:w="1993"/>
          </w:tcPr>
          <w:p>
            <w:pPr>
              <w:pStyle w:val="null3"/>
              <w:jc w:val="center"/>
            </w:pPr>
            <w:r>
              <w:rPr>
                <w:rFonts w:ascii="仿宋_GB2312" w:hAnsi="仿宋_GB2312" w:cs="仿宋_GB2312" w:eastAsia="仿宋_GB2312"/>
                <w:b/>
                <w:color w:val="000000"/>
              </w:rPr>
              <w:t>单价（元）</w:t>
            </w:r>
          </w:p>
        </w:tc>
        <w:tc>
          <w:tcPr>
            <w:tcW w:type="dxa" w:w="1661"/>
          </w:tcPr>
          <w:p>
            <w:pPr>
              <w:pStyle w:val="null3"/>
              <w:jc w:val="right"/>
            </w:pPr>
            <w:r>
              <w:rPr>
                <w:rFonts w:ascii="仿宋_GB2312" w:hAnsi="仿宋_GB2312" w:cs="仿宋_GB2312" w:eastAsia="仿宋_GB2312"/>
              </w:rPr>
              <w:t>1,810,000.00</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是否采购节能产品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未采购节能产品原因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是否采购环保产品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未采购环保产品原因</w:t>
            </w:r>
          </w:p>
        </w:tc>
        <w:tc>
          <w:tcPr>
            <w:tcW w:type="dxa" w:w="1661"/>
          </w:tcPr>
          <w:p>
            <w:pPr>
              <w:pStyle w:val="null3"/>
            </w:pPr>
            <w:r>
              <w:rPr>
                <w:rFonts w:ascii="仿宋_GB2312" w:hAnsi="仿宋_GB2312" w:cs="仿宋_GB2312" w:eastAsia="仿宋_GB2312"/>
              </w:rPr>
              <w:t>无</w:t>
            </w:r>
          </w:p>
        </w:tc>
      </w:tr>
      <w:tr>
        <w:tc>
          <w:tcPr>
            <w:tcW w:type="dxa" w:w="997"/>
            <w:vMerge/>
          </w:tcPr>
          <w:p/>
        </w:tc>
        <w:tc>
          <w:tcPr>
            <w:tcW w:type="dxa" w:w="1993"/>
          </w:tcPr>
          <w:p>
            <w:pPr>
              <w:pStyle w:val="null3"/>
              <w:jc w:val="center"/>
            </w:pPr>
            <w:r>
              <w:rPr>
                <w:rFonts w:ascii="仿宋_GB2312" w:hAnsi="仿宋_GB2312" w:cs="仿宋_GB2312" w:eastAsia="仿宋_GB2312"/>
                <w:b/>
                <w:color w:val="000000"/>
              </w:rPr>
              <w:t>是否采购进口产品</w:t>
            </w:r>
          </w:p>
        </w:tc>
        <w:tc>
          <w:tcPr>
            <w:tcW w:type="dxa" w:w="1661"/>
          </w:tcPr>
          <w:p>
            <w:pPr>
              <w:pStyle w:val="null3"/>
            </w:pPr>
            <w:r>
              <w:rPr>
                <w:rFonts w:ascii="仿宋_GB2312" w:hAnsi="仿宋_GB2312" w:cs="仿宋_GB2312" w:eastAsia="仿宋_GB2312"/>
              </w:rPr>
              <w:t>否</w:t>
            </w:r>
          </w:p>
        </w:tc>
        <w:tc>
          <w:tcPr>
            <w:tcW w:type="dxa" w:w="1993"/>
          </w:tcPr>
          <w:p>
            <w:pPr>
              <w:pStyle w:val="null3"/>
              <w:jc w:val="center"/>
            </w:pPr>
            <w:r>
              <w:rPr>
                <w:rFonts w:ascii="仿宋_GB2312" w:hAnsi="仿宋_GB2312" w:cs="仿宋_GB2312" w:eastAsia="仿宋_GB2312"/>
                <w:b/>
                <w:color w:val="000000"/>
              </w:rPr>
              <w:t>标的物所属行业</w:t>
            </w:r>
          </w:p>
        </w:tc>
        <w:tc>
          <w:tcPr>
            <w:tcW w:type="dxa" w:w="1661"/>
          </w:tcPr>
          <w:p>
            <w:pPr>
              <w:pStyle w:val="null3"/>
            </w:pPr>
            <w:r>
              <w:rPr>
                <w:rFonts w:ascii="仿宋_GB2312" w:hAnsi="仿宋_GB2312" w:cs="仿宋_GB2312" w:eastAsia="仿宋_GB2312"/>
              </w:rPr>
              <w:t>批发业</w:t>
            </w:r>
          </w:p>
        </w:tc>
      </w:tr>
    </w:tbl>
    <w:p>
      <w:pPr>
        <w:pStyle w:val="null3"/>
      </w:pPr>
      <w:r>
        <w:rPr>
          <w:rFonts w:ascii="仿宋_GB2312" w:hAnsi="仿宋_GB2312" w:cs="仿宋_GB2312" w:eastAsia="仿宋_GB2312"/>
        </w:rPr>
        <w:t>标的名称：鲜花花材采购</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tc>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sz w:val="30"/>
              </w:rPr>
              <w:t xml:space="preserve">花材类 </w:t>
            </w:r>
          </w:p>
          <w:tbl>
            <w:tblPr>
              <w:tblInd w:type="dxa" w:w="135"/>
              <w:tblBorders>
                <w:top w:val="none" w:color="000000" w:sz="4"/>
                <w:left w:val="none" w:color="000000" w:sz="4"/>
                <w:bottom w:val="none" w:color="000000" w:sz="4"/>
                <w:right w:val="none" w:color="000000" w:sz="4"/>
                <w:insideH w:val="none"/>
                <w:insideV w:val="none"/>
              </w:tblBorders>
            </w:tblPr>
            <w:tblGrid>
              <w:gridCol w:w="146"/>
              <w:gridCol w:w="246"/>
              <w:gridCol w:w="255"/>
              <w:gridCol w:w="133"/>
              <w:gridCol w:w="841"/>
              <w:gridCol w:w="560"/>
              <w:gridCol w:w="355"/>
            </w:tblGrid>
            <w:tr>
              <w:tc>
                <w:tcPr>
                  <w:tcW w:type="dxa" w:w="146"/>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序号</w:t>
                  </w:r>
                </w:p>
              </w:tc>
              <w:tc>
                <w:tcPr>
                  <w:tcW w:type="dxa" w:w="246"/>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商品名称</w:t>
                  </w:r>
                </w:p>
              </w:tc>
              <w:tc>
                <w:tcPr>
                  <w:tcW w:type="dxa" w:w="255"/>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单位</w:t>
                  </w:r>
                </w:p>
              </w:tc>
              <w:tc>
                <w:tcPr>
                  <w:tcW w:type="dxa" w:w="133"/>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数量</w:t>
                  </w:r>
                </w:p>
              </w:tc>
              <w:tc>
                <w:tcPr>
                  <w:tcW w:type="dxa" w:w="841"/>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质量要求</w:t>
                  </w:r>
                </w:p>
              </w:tc>
              <w:tc>
                <w:tcPr>
                  <w:tcW w:type="dxa" w:w="560"/>
                  <w:tcBorders>
                    <w:top w:val="single" w:color="000000" w:sz="4"/>
                    <w:left w:val="single" w:color="000000" w:sz="4"/>
                    <w:bottom w:val="single" w:color="000000" w:sz="4"/>
                    <w:right w:val="single" w:color="000000" w:sz="4"/>
                  </w:tcBorders>
                  <w:shd w:fill="FFFFFF"/>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规格尺寸</w:t>
                  </w:r>
                </w:p>
              </w:tc>
              <w:tc>
                <w:tcPr>
                  <w:tcW w:type="dxa" w:w="355"/>
                  <w:tcBorders>
                    <w:top w:val="single" w:color="000000" w:sz="4"/>
                    <w:left w:val="single" w:color="000000" w:sz="4"/>
                    <w:bottom w:val="single" w:color="000000" w:sz="4"/>
                    <w:right w:val="single" w:color="000000" w:sz="4"/>
                  </w:tcBorders>
                  <w:shd w:fill="FFFFFF"/>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最高</w:t>
                  </w:r>
                  <w:r>
                    <w:rPr>
                      <w:rFonts w:ascii="仿宋_GB2312" w:hAnsi="仿宋_GB2312" w:cs="仿宋_GB2312" w:eastAsia="仿宋_GB2312"/>
                      <w:sz w:val="21"/>
                      <w:b/>
                      <w:color w:val="000000"/>
                    </w:rPr>
                    <w:t>限价（</w:t>
                  </w:r>
                  <w:r>
                    <w:rPr>
                      <w:rFonts w:ascii="仿宋_GB2312" w:hAnsi="仿宋_GB2312" w:cs="仿宋_GB2312" w:eastAsia="仿宋_GB2312"/>
                      <w:sz w:val="21"/>
                      <w:b/>
                      <w:color w:val="000000"/>
                    </w:rPr>
                    <w:t>元</w:t>
                  </w:r>
                  <w:r>
                    <w:rPr>
                      <w:rFonts w:ascii="仿宋_GB2312" w:hAnsi="仿宋_GB2312" w:cs="仿宋_GB2312" w:eastAsia="仿宋_GB2312"/>
                      <w:sz w:val="21"/>
                      <w:b/>
                      <w:color w:val="000000"/>
                    </w:rPr>
                    <w:t>）</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菊花</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花：花色纯正鲜艳，具光泽；花形完整，端正饱满，花瓣均匀对称</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径：挺直、强健，有韧性，粗细均匀，与花序协调</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叶：亮绿、要有光泽、完好整齐</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花头直径。生花</w:t>
                  </w:r>
                  <w:r>
                    <w:rPr>
                      <w:rFonts w:ascii="仿宋_GB2312" w:hAnsi="仿宋_GB2312" w:cs="仿宋_GB2312" w:eastAsia="仿宋_GB2312"/>
                      <w:sz w:val="21"/>
                      <w:color w:val="000000"/>
                    </w:rPr>
                    <w:t>4-5厘米熟花6--9厘米，枝条长度不小于90厘米。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1.8</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小菊</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numPr>
                      <w:ilvl w:val="0"/>
                      <w:numId w:val="1"/>
                    </w:numPr>
                    <w:jc w:val="both"/>
                  </w:pPr>
                  <w:r>
                    <w:rPr>
                      <w:rFonts w:ascii="仿宋_GB2312" w:hAnsi="仿宋_GB2312" w:cs="仿宋_GB2312" w:eastAsia="仿宋_GB2312"/>
                      <w:sz w:val="21"/>
                      <w:color w:val="000000"/>
                    </w:rPr>
                    <w:t>.生花1-3厘米，熟花3-5厘米。枝条长度不小于90厘米，单枝不少于20朵花头。</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3</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百合</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花冠高度不小于</w:t>
                  </w:r>
                  <w:r>
                    <w:rPr>
                      <w:rFonts w:ascii="仿宋_GB2312" w:hAnsi="仿宋_GB2312" w:cs="仿宋_GB2312" w:eastAsia="仿宋_GB2312"/>
                      <w:sz w:val="21"/>
                      <w:color w:val="000000"/>
                    </w:rPr>
                    <w:t>15厘米，单枝白色花苞不少于2朵。枝条长度不小于90厘米。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6</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4</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向日葵</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10-15厘米，枝条长度不小于90厘米。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3.6</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5</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乒乓菊</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花：花色纯正鲜艳，具光泽；花形完整，端正饱满，花瓣均匀对称。</w:t>
                  </w:r>
                </w:p>
                <w:p>
                  <w:pPr>
                    <w:pStyle w:val="null3"/>
                  </w:pPr>
                  <w:r>
                    <w:rPr>
                      <w:rFonts w:ascii="仿宋_GB2312" w:hAnsi="仿宋_GB2312" w:cs="仿宋_GB2312" w:eastAsia="仿宋_GB2312"/>
                      <w:sz w:val="21"/>
                      <w:color w:val="000000"/>
                    </w:rPr>
                    <w:t>径：挺直、强健，有韧性，粗细均匀，与花序协调。</w:t>
                  </w:r>
                </w:p>
                <w:p>
                  <w:pPr>
                    <w:pStyle w:val="null3"/>
                  </w:pPr>
                  <w:r>
                    <w:rPr>
                      <w:rFonts w:ascii="仿宋_GB2312" w:hAnsi="仿宋_GB2312" w:cs="仿宋_GB2312" w:eastAsia="仿宋_GB2312"/>
                      <w:sz w:val="21"/>
                      <w:color w:val="000000"/>
                    </w:rPr>
                    <w:t>叶：亮绿、要有光泽、完好整齐</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5-8厘米，枝条长度不小于90厘米。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6</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芍药</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10-20厘米，枝条长度不小于60厘米。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8</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7</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彩色玫瑰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5-8厘米，枝条长度不小于80厘米。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8</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康乃馨</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3-5厘米，枝条长度不小于50厘米。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9</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飞燕草</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花序高度不小于</w:t>
                  </w:r>
                  <w:r>
                    <w:rPr>
                      <w:rFonts w:ascii="仿宋_GB2312" w:hAnsi="仿宋_GB2312" w:cs="仿宋_GB2312" w:eastAsia="仿宋_GB2312"/>
                      <w:sz w:val="21"/>
                      <w:color w:val="000000"/>
                    </w:rPr>
                    <w:t>30厘米，枝条长度不小于90厘米。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10</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洋桔梗</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4-7厘米，枝条长度不小于80厘米，单枝不少于6朵花头。</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4</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11</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剑兰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花序高度不小于</w:t>
                  </w:r>
                  <w:r>
                    <w:rPr>
                      <w:rFonts w:ascii="仿宋_GB2312" w:hAnsi="仿宋_GB2312" w:cs="仿宋_GB2312" w:eastAsia="仿宋_GB2312"/>
                      <w:sz w:val="21"/>
                      <w:color w:val="000000"/>
                    </w:rPr>
                    <w:t>40厘米，枝条长度不小于90厘米。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4</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12</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火焰兰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花序高度不小于</w:t>
                  </w:r>
                  <w:r>
                    <w:rPr>
                      <w:rFonts w:ascii="仿宋_GB2312" w:hAnsi="仿宋_GB2312" w:cs="仿宋_GB2312" w:eastAsia="仿宋_GB2312"/>
                      <w:sz w:val="21"/>
                      <w:color w:val="000000"/>
                    </w:rPr>
                    <w:t>20厘米，枝条长度不小于90厘米。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13</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紫罗兰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花序高度不小于</w:t>
                  </w:r>
                  <w:r>
                    <w:rPr>
                      <w:rFonts w:ascii="仿宋_GB2312" w:hAnsi="仿宋_GB2312" w:cs="仿宋_GB2312" w:eastAsia="仿宋_GB2312"/>
                      <w:sz w:val="21"/>
                      <w:color w:val="000000"/>
                    </w:rPr>
                    <w:t>25厘米，枝条长度不小于80厘米。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14</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洋兰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花序长度不小于</w:t>
                  </w:r>
                  <w:r>
                    <w:rPr>
                      <w:rFonts w:ascii="仿宋_GB2312" w:hAnsi="仿宋_GB2312" w:cs="仿宋_GB2312" w:eastAsia="仿宋_GB2312"/>
                      <w:sz w:val="21"/>
                      <w:color w:val="000000"/>
                    </w:rPr>
                    <w:t>25厘米，枝条长度不小于35厘米，单枝不少于8朵花头。</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15</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跳舞兰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花序长度不小于</w:t>
                  </w:r>
                  <w:r>
                    <w:rPr>
                      <w:rFonts w:ascii="仿宋_GB2312" w:hAnsi="仿宋_GB2312" w:cs="仿宋_GB2312" w:eastAsia="仿宋_GB2312"/>
                      <w:sz w:val="21"/>
                      <w:color w:val="000000"/>
                    </w:rPr>
                    <w:t>40厘米，枝条长度不小于60厘米，单枝不少于30朵花头。</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6</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16</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蝴蝶兰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5-8厘米，枝条长度不小于800厘米，单枝不少于8朵花头。</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17</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红掌</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10-15厘米，枝条长度不小于80厘米。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9</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18</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鹤望兰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花冠长度不小于</w:t>
                  </w:r>
                  <w:r>
                    <w:rPr>
                      <w:rFonts w:ascii="仿宋_GB2312" w:hAnsi="仿宋_GB2312" w:cs="仿宋_GB2312" w:eastAsia="仿宋_GB2312"/>
                      <w:sz w:val="21"/>
                      <w:color w:val="000000"/>
                    </w:rPr>
                    <w:t>12厘米，枝条长度不小于90厘米。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19</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洋牡丹</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3-4厘米，枝条长度不小于40厘米。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20</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绣球</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花头直径不小于</w:t>
                  </w:r>
                  <w:r>
                    <w:rPr>
                      <w:rFonts w:ascii="仿宋_GB2312" w:hAnsi="仿宋_GB2312" w:cs="仿宋_GB2312" w:eastAsia="仿宋_GB2312"/>
                      <w:sz w:val="21"/>
                      <w:color w:val="000000"/>
                    </w:rPr>
                    <w:t>25厘米，枝条长度不小于60厘米。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21</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非洲菊</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8-10厘米，枝条长度不小于50厘米。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0.9</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22</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马蹄莲</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花冠高度不小于</w:t>
                  </w:r>
                  <w:r>
                    <w:rPr>
                      <w:rFonts w:ascii="仿宋_GB2312" w:hAnsi="仿宋_GB2312" w:cs="仿宋_GB2312" w:eastAsia="仿宋_GB2312"/>
                      <w:sz w:val="21"/>
                      <w:color w:val="000000"/>
                    </w:rPr>
                    <w:t>10厘米，枝条长度不小于80厘米。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23</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天鹅绒</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.生花4-8厘米，枝条长度不小于800厘米。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4</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24</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红瑞木</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枝条长度不小于</w:t>
                  </w:r>
                  <w:r>
                    <w:rPr>
                      <w:rFonts w:ascii="仿宋_GB2312" w:hAnsi="仿宋_GB2312" w:cs="仿宋_GB2312" w:eastAsia="仿宋_GB2312"/>
                      <w:sz w:val="21"/>
                      <w:color w:val="000000"/>
                    </w:rPr>
                    <w:t>90厘米。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3</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25</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大丽花</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6-9厘米，枝条长度不小于40厘米。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26</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大花蕙兰</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花序高度不小于</w:t>
                  </w:r>
                  <w:r>
                    <w:rPr>
                      <w:rFonts w:ascii="仿宋_GB2312" w:hAnsi="仿宋_GB2312" w:cs="仿宋_GB2312" w:eastAsia="仿宋_GB2312"/>
                      <w:sz w:val="21"/>
                      <w:color w:val="000000"/>
                    </w:rPr>
                    <w:t>30厘米，枝条长度不小于60厘米，单枝不少于15朵花头。</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30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27</w:t>
                  </w:r>
                </w:p>
              </w:tc>
              <w:tc>
                <w:tcPr>
                  <w:tcW w:type="dxa" w:w="2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海芋</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33"/>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pPr>
                  <w:r>
                    <w:rPr>
                      <w:rFonts w:ascii="仿宋_GB2312" w:hAnsi="仿宋_GB2312" w:cs="仿宋_GB2312" w:eastAsia="仿宋_GB2312"/>
                      <w:sz w:val="21"/>
                      <w:color w:val="000000"/>
                    </w:rPr>
                    <w:t>花：花色纯正鲜艳，要有光泽，无变色、花苞不松散外、层花瓣整齐、无损伤</w:t>
                  </w:r>
                  <w:r>
                    <w:rPr>
                      <w:rFonts w:ascii="仿宋_GB2312" w:hAnsi="仿宋_GB2312" w:cs="仿宋_GB2312" w:eastAsia="仿宋_GB2312"/>
                      <w:sz w:val="21"/>
                      <w:color w:val="000000"/>
                    </w:rPr>
                    <w:t>。</w:t>
                  </w:r>
                </w:p>
                <w:p>
                  <w:pPr>
                    <w:pStyle w:val="null3"/>
                  </w:pPr>
                  <w:r>
                    <w:rPr>
                      <w:rFonts w:ascii="仿宋_GB2312" w:hAnsi="仿宋_GB2312" w:cs="仿宋_GB2312" w:eastAsia="仿宋_GB2312"/>
                      <w:sz w:val="21"/>
                      <w:color w:val="000000"/>
                    </w:rPr>
                    <w:t>径：挺直、强健，有韧性，粗细均匀</w:t>
                  </w:r>
                  <w:r>
                    <w:rPr>
                      <w:rFonts w:ascii="仿宋_GB2312" w:hAnsi="仿宋_GB2312" w:cs="仿宋_GB2312" w:eastAsia="仿宋_GB2312"/>
                      <w:sz w:val="21"/>
                      <w:color w:val="000000"/>
                    </w:rPr>
                    <w:t>。</w:t>
                  </w:r>
                </w:p>
              </w:tc>
              <w:tc>
                <w:tcPr>
                  <w:tcW w:type="dxa" w:w="560"/>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both"/>
                  </w:pPr>
                  <w:r>
                    <w:rPr>
                      <w:rFonts w:ascii="仿宋_GB2312" w:hAnsi="仿宋_GB2312" w:cs="仿宋_GB2312" w:eastAsia="仿宋_GB2312"/>
                      <w:sz w:val="21"/>
                      <w:color w:val="000000"/>
                    </w:rPr>
                    <w:t>花冠高度不小于</w:t>
                  </w:r>
                  <w:r>
                    <w:rPr>
                      <w:rFonts w:ascii="仿宋_GB2312" w:hAnsi="仿宋_GB2312" w:cs="仿宋_GB2312" w:eastAsia="仿宋_GB2312"/>
                      <w:sz w:val="21"/>
                      <w:color w:val="000000"/>
                    </w:rPr>
                    <w:t>10厘米，枝条长度不小于40厘米。</w:t>
                  </w:r>
                </w:p>
              </w:tc>
              <w:tc>
                <w:tcPr>
                  <w:tcW w:type="dxa" w:w="355"/>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7</w:t>
                  </w:r>
                </w:p>
              </w:tc>
            </w:tr>
          </w:tbl>
          <w:p/>
        </w:tc>
      </w:tr>
      <w:tr>
        <w:tc>
          <w:tcPr>
            <w:tcW w:type="dxa" w:w="2769"/>
          </w:tcPr>
          <w:p/>
        </w:tc>
        <w:tc>
          <w:tcPr>
            <w:tcW w:type="dxa" w:w="2769"/>
          </w:tcPr>
          <w:p>
            <w:pPr>
              <w:pStyle w:val="null3"/>
            </w:pPr>
            <w:r>
              <w:rPr>
                <w:rFonts w:ascii="仿宋_GB2312" w:hAnsi="仿宋_GB2312" w:cs="仿宋_GB2312" w:eastAsia="仿宋_GB2312"/>
              </w:rPr>
              <w:t>2</w:t>
            </w:r>
          </w:p>
        </w:tc>
        <w:tc>
          <w:tcPr>
            <w:tcW w:type="dxa" w:w="2769"/>
          </w:tcPr>
          <w:p>
            <w:pPr>
              <w:pStyle w:val="null3"/>
              <w:numPr>
                <w:ilvl w:val="2"/>
                <w:numId w:val="2"/>
              </w:numPr>
            </w:pPr>
            <w:r>
              <w:rPr>
                <w:rFonts w:ascii="仿宋_GB2312" w:hAnsi="仿宋_GB2312" w:cs="仿宋_GB2312" w:eastAsia="仿宋_GB2312"/>
                <w:sz w:val="28"/>
                <w:b/>
                <w:color w:val="000000"/>
              </w:rPr>
              <w:t>叶材类</w:t>
            </w:r>
          </w:p>
          <w:tbl>
            <w:tblPr>
              <w:tblInd w:type="dxa" w:w="135"/>
              <w:tblBorders>
                <w:top w:val="none" w:color="000000" w:sz="4"/>
                <w:left w:val="none" w:color="000000" w:sz="4"/>
                <w:bottom w:val="none" w:color="000000" w:sz="4"/>
                <w:right w:val="none" w:color="000000" w:sz="4"/>
                <w:insideH w:val="none"/>
                <w:insideV w:val="none"/>
              </w:tblBorders>
            </w:tblPr>
            <w:tblGrid>
              <w:gridCol w:w="146"/>
              <w:gridCol w:w="251"/>
              <w:gridCol w:w="255"/>
              <w:gridCol w:w="142"/>
              <w:gridCol w:w="845"/>
              <w:gridCol w:w="556"/>
              <w:gridCol w:w="347"/>
            </w:tblGrid>
            <w:tr>
              <w:tc>
                <w:tcPr>
                  <w:tcW w:type="dxa" w:w="146"/>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序号</w:t>
                  </w:r>
                </w:p>
              </w:tc>
              <w:tc>
                <w:tcPr>
                  <w:tcW w:type="dxa" w:w="251"/>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商品名称</w:t>
                  </w:r>
                </w:p>
              </w:tc>
              <w:tc>
                <w:tcPr>
                  <w:tcW w:type="dxa" w:w="255"/>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单位</w:t>
                  </w:r>
                </w:p>
              </w:tc>
              <w:tc>
                <w:tcPr>
                  <w:tcW w:type="dxa" w:w="142"/>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数量</w:t>
                  </w:r>
                </w:p>
              </w:tc>
              <w:tc>
                <w:tcPr>
                  <w:tcW w:type="dxa" w:w="845"/>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质量要求</w:t>
                  </w:r>
                </w:p>
              </w:tc>
              <w:tc>
                <w:tcPr>
                  <w:tcW w:type="dxa" w:w="556"/>
                  <w:tcBorders>
                    <w:top w:val="single" w:color="000000" w:sz="4"/>
                    <w:left w:val="single" w:color="000000" w:sz="4"/>
                    <w:bottom w:val="single" w:color="000000" w:sz="4"/>
                    <w:right w:val="single" w:color="000000" w:sz="4"/>
                  </w:tcBorders>
                  <w:shd w:fill="FFFFFF"/>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规格尺寸</w:t>
                  </w:r>
                </w:p>
              </w:tc>
              <w:tc>
                <w:tcPr>
                  <w:tcW w:type="dxa" w:w="347"/>
                  <w:tcBorders>
                    <w:top w:val="single" w:color="000000" w:sz="4"/>
                    <w:left w:val="single" w:color="000000" w:sz="4"/>
                    <w:bottom w:val="single" w:color="000000" w:sz="4"/>
                    <w:right w:val="single" w:color="000000" w:sz="4"/>
                  </w:tcBorders>
                  <w:shd w:fill="FFFFFF"/>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最高</w:t>
                  </w:r>
                  <w:r>
                    <w:rPr>
                      <w:rFonts w:ascii="仿宋_GB2312" w:hAnsi="仿宋_GB2312" w:cs="仿宋_GB2312" w:eastAsia="仿宋_GB2312"/>
                      <w:sz w:val="21"/>
                      <w:b/>
                      <w:color w:val="000000"/>
                    </w:rPr>
                    <w:t>限价（</w:t>
                  </w:r>
                  <w:r>
                    <w:rPr>
                      <w:rFonts w:ascii="仿宋_GB2312" w:hAnsi="仿宋_GB2312" w:cs="仿宋_GB2312" w:eastAsia="仿宋_GB2312"/>
                      <w:sz w:val="21"/>
                      <w:b/>
                      <w:color w:val="000000"/>
                    </w:rPr>
                    <w:t>元</w:t>
                  </w:r>
                  <w:r>
                    <w:rPr>
                      <w:rFonts w:ascii="仿宋_GB2312" w:hAnsi="仿宋_GB2312" w:cs="仿宋_GB2312" w:eastAsia="仿宋_GB2312"/>
                      <w:sz w:val="21"/>
                      <w:b/>
                      <w:color w:val="000000"/>
                    </w:rPr>
                    <w:t>）</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散尾叶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100厘米，</w:t>
                  </w:r>
                </w:p>
                <w:p>
                  <w:pPr>
                    <w:pStyle w:val="null3"/>
                    <w:jc w:val="left"/>
                  </w:pPr>
                  <w:r>
                    <w:rPr>
                      <w:rFonts w:ascii="仿宋_GB2312" w:hAnsi="仿宋_GB2312" w:cs="仿宋_GB2312" w:eastAsia="仿宋_GB2312"/>
                      <w:sz w:val="21"/>
                      <w:color w:val="000000"/>
                    </w:rPr>
                    <w:t>宽度不低于</w:t>
                  </w:r>
                  <w:r>
                    <w:rPr>
                      <w:rFonts w:ascii="仿宋_GB2312" w:hAnsi="仿宋_GB2312" w:cs="仿宋_GB2312" w:eastAsia="仿宋_GB2312"/>
                      <w:sz w:val="21"/>
                      <w:color w:val="000000"/>
                    </w:rPr>
                    <w:t>40厘米。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1.1</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八角叶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50厘米，</w:t>
                  </w:r>
                </w:p>
                <w:p>
                  <w:pPr>
                    <w:pStyle w:val="null3"/>
                    <w:jc w:val="left"/>
                  </w:pPr>
                  <w:r>
                    <w:rPr>
                      <w:rFonts w:ascii="仿宋_GB2312" w:hAnsi="仿宋_GB2312" w:cs="仿宋_GB2312" w:eastAsia="仿宋_GB2312"/>
                      <w:sz w:val="21"/>
                      <w:color w:val="000000"/>
                    </w:rPr>
                    <w:t>宽度不低于</w:t>
                  </w:r>
                  <w:r>
                    <w:rPr>
                      <w:rFonts w:ascii="仿宋_GB2312" w:hAnsi="仿宋_GB2312" w:cs="仿宋_GB2312" w:eastAsia="仿宋_GB2312"/>
                      <w:sz w:val="21"/>
                      <w:color w:val="000000"/>
                    </w:rPr>
                    <w:t>30厘米。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0.8</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3</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栀子叶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both"/>
                  </w:pPr>
                  <w:r>
                    <w:rPr>
                      <w:rFonts w:ascii="仿宋_GB2312" w:hAnsi="仿宋_GB2312" w:cs="仿宋_GB2312" w:eastAsia="仿宋_GB2312"/>
                      <w:sz w:val="21"/>
                      <w:color w:val="000000"/>
                    </w:rPr>
                    <w:t>扎（</w:t>
                  </w:r>
                  <w:r>
                    <w:rPr>
                      <w:rFonts w:ascii="仿宋_GB2312" w:hAnsi="仿宋_GB2312" w:cs="仿宋_GB2312" w:eastAsia="仿宋_GB2312"/>
                      <w:sz w:val="21"/>
                      <w:color w:val="000000"/>
                    </w:rPr>
                    <w:t>10枝)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叶序高度不低于</w:t>
                  </w:r>
                  <w:r>
                    <w:rPr>
                      <w:rFonts w:ascii="仿宋_GB2312" w:hAnsi="仿宋_GB2312" w:cs="仿宋_GB2312" w:eastAsia="仿宋_GB2312"/>
                      <w:sz w:val="21"/>
                      <w:color w:val="000000"/>
                    </w:rPr>
                    <w:t>40厘米。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4</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巴西叶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40厘米，</w:t>
                  </w:r>
                </w:p>
                <w:p>
                  <w:pPr>
                    <w:pStyle w:val="null3"/>
                    <w:jc w:val="left"/>
                  </w:pPr>
                  <w:r>
                    <w:rPr>
                      <w:rFonts w:ascii="仿宋_GB2312" w:hAnsi="仿宋_GB2312" w:cs="仿宋_GB2312" w:eastAsia="仿宋_GB2312"/>
                      <w:sz w:val="21"/>
                      <w:color w:val="000000"/>
                    </w:rPr>
                    <w:t>宽度不低于</w:t>
                  </w:r>
                  <w:r>
                    <w:rPr>
                      <w:rFonts w:ascii="仿宋_GB2312" w:hAnsi="仿宋_GB2312" w:cs="仿宋_GB2312" w:eastAsia="仿宋_GB2312"/>
                      <w:sz w:val="21"/>
                      <w:color w:val="000000"/>
                    </w:rPr>
                    <w:t>12厘米。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0.4</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5</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剑叶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80厘米。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0.4</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6</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龟背竹</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50厘米，</w:t>
                  </w:r>
                </w:p>
                <w:p>
                  <w:pPr>
                    <w:pStyle w:val="null3"/>
                    <w:jc w:val="left"/>
                  </w:pPr>
                  <w:r>
                    <w:rPr>
                      <w:rFonts w:ascii="仿宋_GB2312" w:hAnsi="仿宋_GB2312" w:cs="仿宋_GB2312" w:eastAsia="仿宋_GB2312"/>
                      <w:sz w:val="21"/>
                      <w:color w:val="000000"/>
                    </w:rPr>
                    <w:t>宽度不低于</w:t>
                  </w:r>
                  <w:r>
                    <w:rPr>
                      <w:rFonts w:ascii="仿宋_GB2312" w:hAnsi="仿宋_GB2312" w:cs="仿宋_GB2312" w:eastAsia="仿宋_GB2312"/>
                      <w:sz w:val="21"/>
                      <w:color w:val="000000"/>
                    </w:rPr>
                    <w:t>25厘米。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7</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富贵竹</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叶序高度不低于</w:t>
                  </w:r>
                  <w:r>
                    <w:rPr>
                      <w:rFonts w:ascii="仿宋_GB2312" w:hAnsi="仿宋_GB2312" w:cs="仿宋_GB2312" w:eastAsia="仿宋_GB2312"/>
                      <w:sz w:val="21"/>
                      <w:color w:val="000000"/>
                    </w:rPr>
                    <w:t>60厘米。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8</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高山羊齿</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35厘米，</w:t>
                  </w:r>
                </w:p>
                <w:p>
                  <w:pPr>
                    <w:pStyle w:val="null3"/>
                    <w:jc w:val="left"/>
                  </w:pPr>
                  <w:r>
                    <w:rPr>
                      <w:rFonts w:ascii="仿宋_GB2312" w:hAnsi="仿宋_GB2312" w:cs="仿宋_GB2312" w:eastAsia="仿宋_GB2312"/>
                      <w:sz w:val="21"/>
                      <w:color w:val="000000"/>
                    </w:rPr>
                    <w:t>宽度不低于</w:t>
                  </w:r>
                  <w:r>
                    <w:rPr>
                      <w:rFonts w:ascii="仿宋_GB2312" w:hAnsi="仿宋_GB2312" w:cs="仿宋_GB2312" w:eastAsia="仿宋_GB2312"/>
                      <w:sz w:val="21"/>
                      <w:color w:val="000000"/>
                    </w:rPr>
                    <w:t>15厘米。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0.8</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9</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蓬莱松</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叶序高度不低于</w:t>
                  </w:r>
                  <w:r>
                    <w:rPr>
                      <w:rFonts w:ascii="仿宋_GB2312" w:hAnsi="仿宋_GB2312" w:cs="仿宋_GB2312" w:eastAsia="仿宋_GB2312"/>
                      <w:sz w:val="21"/>
                      <w:color w:val="000000"/>
                    </w:rPr>
                    <w:t>50厘米。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10</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橘叶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50厘米，叶序高度不低于40厘米.。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11</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黄莺</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叶序高度不低于</w:t>
                  </w:r>
                  <w:r>
                    <w:rPr>
                      <w:rFonts w:ascii="仿宋_GB2312" w:hAnsi="仿宋_GB2312" w:cs="仿宋_GB2312" w:eastAsia="仿宋_GB2312"/>
                      <w:sz w:val="21"/>
                      <w:color w:val="000000"/>
                    </w:rPr>
                    <w:t>25厘米，枝条不低于90厘米。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0.5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12</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菖蒲叶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90厘米。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18</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13</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钢草</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90厘米。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14</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尤加利</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叶序高度不低于</w:t>
                  </w:r>
                  <w:r>
                    <w:rPr>
                      <w:rFonts w:ascii="仿宋_GB2312" w:hAnsi="仿宋_GB2312" w:cs="仿宋_GB2312" w:eastAsia="仿宋_GB2312"/>
                      <w:sz w:val="21"/>
                      <w:color w:val="000000"/>
                    </w:rPr>
                    <w:t>60厘米，枝条不低于80厘米。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15</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水竹叶</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120厘米。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16</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鸟巢蕨</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35厘米，</w:t>
                  </w:r>
                </w:p>
                <w:p>
                  <w:pPr>
                    <w:pStyle w:val="null3"/>
                    <w:jc w:val="left"/>
                  </w:pPr>
                  <w:r>
                    <w:rPr>
                      <w:rFonts w:ascii="仿宋_GB2312" w:hAnsi="仿宋_GB2312" w:cs="仿宋_GB2312" w:eastAsia="仿宋_GB2312"/>
                      <w:sz w:val="21"/>
                      <w:color w:val="000000"/>
                    </w:rPr>
                    <w:t>宽度不低于</w:t>
                  </w:r>
                  <w:r>
                    <w:rPr>
                      <w:rFonts w:ascii="仿宋_GB2312" w:hAnsi="仿宋_GB2312" w:cs="仿宋_GB2312" w:eastAsia="仿宋_GB2312"/>
                      <w:sz w:val="21"/>
                      <w:color w:val="000000"/>
                    </w:rPr>
                    <w:t>8厘米。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17</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银叶菊</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叶序高度不低于</w:t>
                  </w:r>
                  <w:r>
                    <w:rPr>
                      <w:rFonts w:ascii="仿宋_GB2312" w:hAnsi="仿宋_GB2312" w:cs="仿宋_GB2312" w:eastAsia="仿宋_GB2312"/>
                      <w:sz w:val="21"/>
                      <w:color w:val="000000"/>
                    </w:rPr>
                    <w:t>25厘米，枝条不低于40厘米。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18</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情人草</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质量不小于</w:t>
                  </w:r>
                  <w:r>
                    <w:rPr>
                      <w:rFonts w:ascii="仿宋_GB2312" w:hAnsi="仿宋_GB2312" w:cs="仿宋_GB2312" w:eastAsia="仿宋_GB2312"/>
                      <w:sz w:val="21"/>
                      <w:color w:val="000000"/>
                    </w:rPr>
                    <w:t>1公斤。</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19</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满天星</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质量不小于</w:t>
                  </w:r>
                  <w:r>
                    <w:rPr>
                      <w:rFonts w:ascii="仿宋_GB2312" w:hAnsi="仿宋_GB2312" w:cs="仿宋_GB2312" w:eastAsia="仿宋_GB2312"/>
                      <w:sz w:val="21"/>
                      <w:color w:val="000000"/>
                    </w:rPr>
                    <w:t>1公斤。</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20</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龙柳</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150厘米。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21</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天门冬</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80厘米。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22</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文竹</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80厘米。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23</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绿石竹</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both"/>
                  </w:pPr>
                  <w:r>
                    <w:rPr>
                      <w:rFonts w:ascii="仿宋_GB2312" w:hAnsi="仿宋_GB2312" w:cs="仿宋_GB2312" w:eastAsia="仿宋_GB2312"/>
                      <w:sz w:val="21"/>
                      <w:color w:val="000000"/>
                    </w:rPr>
                    <w:t>大小一致，</w:t>
                  </w: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花头直径</w:t>
                  </w:r>
                  <w:r>
                    <w:rPr>
                      <w:rFonts w:ascii="仿宋_GB2312" w:hAnsi="仿宋_GB2312" w:cs="仿宋_GB2312" w:eastAsia="仿宋_GB2312"/>
                      <w:sz w:val="21"/>
                      <w:color w:val="000000"/>
                    </w:rPr>
                    <w:t>5-8厘米，枝条长度不小于40厘米。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4</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24</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雪柳</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扎</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both"/>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90厘米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30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25</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马醉木</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both"/>
                  </w:pPr>
                  <w:r>
                    <w:rPr>
                      <w:rFonts w:ascii="仿宋_GB2312" w:hAnsi="仿宋_GB2312" w:cs="仿宋_GB2312" w:eastAsia="仿宋_GB2312"/>
                      <w:sz w:val="21"/>
                      <w:color w:val="000000"/>
                    </w:rPr>
                    <w:t>枝条柔韧，亮绿有光泽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150厘米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50</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26</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北美冬青</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both"/>
                  </w:pP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both"/>
                  </w:pPr>
                  <w:r>
                    <w:rPr>
                      <w:rFonts w:ascii="仿宋_GB2312" w:hAnsi="仿宋_GB2312" w:cs="仿宋_GB2312" w:eastAsia="仿宋_GB2312"/>
                      <w:sz w:val="21"/>
                      <w:color w:val="000000"/>
                    </w:rPr>
                    <w:t>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完好齐整，果实繁茂无掉落。</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70厘米。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17</w:t>
                  </w:r>
                </w:p>
              </w:tc>
            </w:tr>
            <w:tr>
              <w:tc>
                <w:tcPr>
                  <w:tcW w:type="dxa" w:w="14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24</w:t>
                  </w:r>
                </w:p>
              </w:tc>
              <w:tc>
                <w:tcPr>
                  <w:tcW w:type="dxa" w:w="25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吊钟</w:t>
                  </w:r>
                </w:p>
              </w:tc>
              <w:tc>
                <w:tcPr>
                  <w:tcW w:type="dxa" w:w="25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w:t>
                  </w:r>
                </w:p>
              </w:tc>
              <w:tc>
                <w:tcPr>
                  <w:tcW w:type="dxa" w:w="14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845"/>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枝条柔韧，亮绿有光泽</w:t>
                  </w:r>
                  <w:r>
                    <w:rPr>
                      <w:rFonts w:ascii="仿宋_GB2312" w:hAnsi="仿宋_GB2312" w:cs="仿宋_GB2312" w:eastAsia="仿宋_GB2312"/>
                      <w:sz w:val="21"/>
                      <w:color w:val="000000"/>
                    </w:rPr>
                    <w:t>，</w:t>
                  </w:r>
                  <w:r>
                    <w:rPr>
                      <w:rFonts w:ascii="仿宋_GB2312" w:hAnsi="仿宋_GB2312" w:cs="仿宋_GB2312" w:eastAsia="仿宋_GB2312"/>
                      <w:sz w:val="21"/>
                      <w:color w:val="000000"/>
                    </w:rPr>
                    <w:t>完好齐整。</w:t>
                  </w:r>
                </w:p>
              </w:tc>
              <w:tc>
                <w:tcPr>
                  <w:tcW w:type="dxa" w:w="55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21"/>
                      <w:color w:val="000000"/>
                    </w:rPr>
                    <w:t>长度不低于</w:t>
                  </w:r>
                  <w:r>
                    <w:rPr>
                      <w:rFonts w:ascii="仿宋_GB2312" w:hAnsi="仿宋_GB2312" w:cs="仿宋_GB2312" w:eastAsia="仿宋_GB2312"/>
                      <w:sz w:val="21"/>
                      <w:color w:val="000000"/>
                    </w:rPr>
                    <w:t>150厘米。</w:t>
                  </w:r>
                </w:p>
              </w:tc>
              <w:tc>
                <w:tcPr>
                  <w:tcW w:type="dxa" w:w="347"/>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90</w:t>
                  </w:r>
                </w:p>
              </w:tc>
            </w:tr>
          </w:tbl>
          <w:p/>
        </w:tc>
      </w:tr>
      <w:tr>
        <w:tc>
          <w:tcPr>
            <w:tcW w:type="dxa" w:w="2769"/>
          </w:tcPr>
          <w:p/>
        </w:tc>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sz w:val="28"/>
                <w:b/>
                <w:color w:val="000000"/>
              </w:rPr>
              <w:t>辅材类</w:t>
            </w:r>
          </w:p>
          <w:tbl>
            <w:tblPr>
              <w:tblInd w:type="dxa" w:w="135"/>
              <w:tblBorders>
                <w:top w:val="none" w:color="000000" w:sz="4"/>
                <w:left w:val="none" w:color="000000" w:sz="4"/>
                <w:bottom w:val="none" w:color="000000" w:sz="4"/>
                <w:right w:val="none" w:color="000000" w:sz="4"/>
                <w:insideH w:val="none"/>
                <w:insideV w:val="none"/>
              </w:tblBorders>
            </w:tblPr>
            <w:tblGrid>
              <w:gridCol w:w="162"/>
              <w:gridCol w:w="266"/>
              <w:gridCol w:w="129"/>
              <w:gridCol w:w="141"/>
              <w:gridCol w:w="678"/>
              <w:gridCol w:w="741"/>
              <w:gridCol w:w="416"/>
            </w:tblGrid>
            <w:tr>
              <w:tc>
                <w:tcPr>
                  <w:tcW w:type="dxa" w:w="162"/>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序号</w:t>
                  </w:r>
                </w:p>
              </w:tc>
              <w:tc>
                <w:tcPr>
                  <w:tcW w:type="dxa" w:w="266"/>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商品名称</w:t>
                  </w:r>
                </w:p>
              </w:tc>
              <w:tc>
                <w:tcPr>
                  <w:tcW w:type="dxa" w:w="129"/>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单位</w:t>
                  </w:r>
                </w:p>
              </w:tc>
              <w:tc>
                <w:tcPr>
                  <w:tcW w:type="dxa" w:w="141"/>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数量</w:t>
                  </w:r>
                </w:p>
              </w:tc>
              <w:tc>
                <w:tcPr>
                  <w:tcW w:type="dxa" w:w="678"/>
                  <w:tcBorders>
                    <w:top w:val="single" w:color="000000" w:sz="4"/>
                    <w:left w:val="single" w:color="000000" w:sz="4"/>
                    <w:bottom w:val="single" w:color="000000" w:sz="4"/>
                    <w:right w:val="single" w:color="000000" w:sz="4"/>
                  </w:tcBorders>
                  <w:shd w:fill="FFFFFF"/>
                  <w:tcMar>
                    <w:top w:type="dxa" w:w="15"/>
                    <w:left w:type="dxa" w:w="15"/>
                    <w:bottom w:type="dxa" w:w="0"/>
                    <w:right w:type="dxa" w:w="15"/>
                  </w:tcMar>
                  <w:vAlign w:val="top"/>
                </w:tcPr>
                <w:p>
                  <w:pPr>
                    <w:pStyle w:val="null3"/>
                    <w:jc w:val="center"/>
                  </w:pPr>
                  <w:r>
                    <w:rPr>
                      <w:rFonts w:ascii="仿宋_GB2312" w:hAnsi="仿宋_GB2312" w:cs="仿宋_GB2312" w:eastAsia="仿宋_GB2312"/>
                      <w:sz w:val="21"/>
                      <w:b/>
                      <w:color w:val="000000"/>
                    </w:rPr>
                    <w:t>规格</w:t>
                  </w:r>
                </w:p>
              </w:tc>
              <w:tc>
                <w:tcPr>
                  <w:tcW w:type="dxa" w:w="741"/>
                  <w:tcBorders>
                    <w:top w:val="single" w:color="000000" w:sz="4"/>
                    <w:left w:val="single" w:color="000000" w:sz="4"/>
                    <w:bottom w:val="single" w:color="000000" w:sz="4"/>
                    <w:right w:val="single" w:color="000000" w:sz="4"/>
                  </w:tcBorders>
                  <w:shd w:fill="FFFFFF"/>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尺寸</w:t>
                  </w:r>
                </w:p>
              </w:tc>
              <w:tc>
                <w:tcPr>
                  <w:tcW w:type="dxa" w:w="416"/>
                  <w:tcBorders>
                    <w:top w:val="single" w:color="000000" w:sz="4"/>
                    <w:left w:val="single" w:color="000000" w:sz="4"/>
                    <w:bottom w:val="single" w:color="000000" w:sz="4"/>
                    <w:right w:val="single" w:color="000000" w:sz="4"/>
                  </w:tcBorders>
                  <w:shd w:fill="FFFFFF"/>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最高</w:t>
                  </w:r>
                  <w:r>
                    <w:rPr>
                      <w:rFonts w:ascii="仿宋_GB2312" w:hAnsi="仿宋_GB2312" w:cs="仿宋_GB2312" w:eastAsia="仿宋_GB2312"/>
                      <w:sz w:val="21"/>
                      <w:b/>
                      <w:color w:val="000000"/>
                    </w:rPr>
                    <w:t>限价（</w:t>
                  </w:r>
                  <w:r>
                    <w:rPr>
                      <w:rFonts w:ascii="仿宋_GB2312" w:hAnsi="仿宋_GB2312" w:cs="仿宋_GB2312" w:eastAsia="仿宋_GB2312"/>
                      <w:sz w:val="21"/>
                      <w:b/>
                      <w:color w:val="000000"/>
                    </w:rPr>
                    <w:t>元</w:t>
                  </w:r>
                  <w:r>
                    <w:rPr>
                      <w:rFonts w:ascii="仿宋_GB2312" w:hAnsi="仿宋_GB2312" w:cs="仿宋_GB2312" w:eastAsia="仿宋_GB2312"/>
                      <w:sz w:val="21"/>
                      <w:b/>
                      <w:color w:val="000000"/>
                    </w:rPr>
                    <w:t>）</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花篮</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高度</w:t>
                  </w:r>
                  <w:r>
                    <w:rPr>
                      <w:rFonts w:ascii="仿宋_GB2312" w:hAnsi="仿宋_GB2312" w:cs="仿宋_GB2312" w:eastAsia="仿宋_GB2312"/>
                      <w:sz w:val="21"/>
                      <w:color w:val="000000"/>
                    </w:rPr>
                    <w:t>70 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10</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2</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三脚架</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高度</w:t>
                  </w:r>
                  <w:r>
                    <w:rPr>
                      <w:rFonts w:ascii="仿宋_GB2312" w:hAnsi="仿宋_GB2312" w:cs="仿宋_GB2312" w:eastAsia="仿宋_GB2312"/>
                      <w:sz w:val="21"/>
                      <w:color w:val="000000"/>
                    </w:rPr>
                    <w:t>125厘米。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3</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包装纸</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包</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55x55厘米。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10</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4</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花瓶</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20x35厘米。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5</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花艺剪刀</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把</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全长</w:t>
                  </w:r>
                  <w:r>
                    <w:rPr>
                      <w:rFonts w:ascii="仿宋_GB2312" w:hAnsi="仿宋_GB2312" w:cs="仿宋_GB2312" w:eastAsia="仿宋_GB2312"/>
                      <w:sz w:val="21"/>
                      <w:color w:val="000000"/>
                    </w:rPr>
                    <w:t>18厘米</w:t>
                  </w:r>
                </w:p>
                <w:p>
                  <w:pPr>
                    <w:pStyle w:val="null3"/>
                    <w:jc w:val="center"/>
                  </w:pPr>
                  <w:r>
                    <w:rPr>
                      <w:rFonts w:ascii="仿宋_GB2312" w:hAnsi="仿宋_GB2312" w:cs="仿宋_GB2312" w:eastAsia="仿宋_GB2312"/>
                      <w:sz w:val="21"/>
                      <w:color w:val="000000"/>
                    </w:rPr>
                    <w:t>刃口</w:t>
                  </w:r>
                  <w:r>
                    <w:rPr>
                      <w:rFonts w:ascii="仿宋_GB2312" w:hAnsi="仿宋_GB2312" w:cs="仿宋_GB2312" w:eastAsia="仿宋_GB2312"/>
                      <w:sz w:val="21"/>
                      <w:color w:val="000000"/>
                    </w:rPr>
                    <w:t>6厘米。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6</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花艺胶带</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卷</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20米。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7</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花泥</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箱</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20块。</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32</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8</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小花泥盒</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13x27厘米。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9</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大花泥盒</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30x90厘米。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160</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10</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丝带</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盘</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20米。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11</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缎带</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盘</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5米。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15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12</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喷壶</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1升。</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24</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13</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洒壶</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5升。</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24</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14</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花桶</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不小于</w:t>
                  </w:r>
                  <w:r>
                    <w:rPr>
                      <w:rFonts w:ascii="仿宋_GB2312" w:hAnsi="仿宋_GB2312" w:cs="仿宋_GB2312" w:eastAsia="仿宋_GB2312"/>
                      <w:sz w:val="21"/>
                      <w:color w:val="000000"/>
                    </w:rPr>
                    <w:t>20升。</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25</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15</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塑料箱</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个</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不小于</w:t>
                  </w:r>
                  <w:r>
                    <w:rPr>
                      <w:rFonts w:ascii="仿宋_GB2312" w:hAnsi="仿宋_GB2312" w:cs="仿宋_GB2312" w:eastAsia="仿宋_GB2312"/>
                      <w:sz w:val="21"/>
                      <w:color w:val="000000"/>
                    </w:rPr>
                    <w:t>50升。</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50</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16</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围裙</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不小于</w:t>
                  </w:r>
                  <w:r>
                    <w:rPr>
                      <w:rFonts w:ascii="仿宋_GB2312" w:hAnsi="仿宋_GB2312" w:cs="仿宋_GB2312" w:eastAsia="仿宋_GB2312"/>
                      <w:sz w:val="21"/>
                      <w:color w:val="000000"/>
                    </w:rPr>
                    <w:t>80x90厘米。</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20</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17</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不锈钢架子</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米</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定制</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800</w:t>
                  </w:r>
                </w:p>
              </w:tc>
            </w:tr>
            <w:tr>
              <w:tc>
                <w:tcPr>
                  <w:tcW w:type="dxa" w:w="162"/>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18</w:t>
                  </w:r>
                </w:p>
              </w:tc>
              <w:tc>
                <w:tcPr>
                  <w:tcW w:type="dxa" w:w="266"/>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布幔</w:t>
                  </w:r>
                </w:p>
              </w:tc>
              <w:tc>
                <w:tcPr>
                  <w:tcW w:type="dxa" w:w="129"/>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米</w:t>
                  </w:r>
                </w:p>
              </w:tc>
              <w:tc>
                <w:tcPr>
                  <w:tcW w:type="dxa" w:w="141"/>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1</w:t>
                  </w:r>
                </w:p>
              </w:tc>
              <w:tc>
                <w:tcPr>
                  <w:tcW w:type="dxa" w:w="678"/>
                  <w:tcBorders>
                    <w:top w:val="none" w:color="000000" w:sz="4"/>
                    <w:left w:val="single" w:color="000000" w:sz="4"/>
                    <w:bottom w:val="single" w:color="000000" w:sz="4"/>
                    <w:right w:val="single" w:color="000000" w:sz="4"/>
                  </w:tcBorders>
                  <w:tcMar>
                    <w:top w:type="dxa" w:w="15"/>
                    <w:left w:type="dxa" w:w="15"/>
                    <w:bottom w:type="dxa" w:w="0"/>
                    <w:right w:type="dxa" w:w="15"/>
                  </w:tcMar>
                  <w:vAlign w:val="top"/>
                </w:tcPr>
                <w:p>
                  <w:pPr>
                    <w:pStyle w:val="null3"/>
                    <w:jc w:val="center"/>
                  </w:pPr>
                  <w:r>
                    <w:rPr>
                      <w:rFonts w:ascii="仿宋_GB2312" w:hAnsi="仿宋_GB2312" w:cs="仿宋_GB2312" w:eastAsia="仿宋_GB2312"/>
                      <w:sz w:val="21"/>
                      <w:color w:val="000000"/>
                    </w:rPr>
                    <w:t>常规</w:t>
                  </w:r>
                </w:p>
              </w:tc>
              <w:tc>
                <w:tcPr>
                  <w:tcW w:type="dxa" w:w="741"/>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color w:val="000000"/>
                    </w:rPr>
                    <w:t>定制</w:t>
                  </w:r>
                </w:p>
              </w:tc>
              <w:tc>
                <w:tcPr>
                  <w:tcW w:type="dxa" w:w="416"/>
                  <w:tcBorders>
                    <w:top w:val="none" w:color="000000" w:sz="4"/>
                    <w:left w:val="single" w:color="000000" w:sz="4"/>
                    <w:bottom w:val="single" w:color="000000" w:sz="4"/>
                    <w:right w:val="single" w:color="000000" w:sz="4"/>
                  </w:tcBorders>
                  <w:tcMar>
                    <w:top w:type="dxa" w:w="0"/>
                    <w:left w:type="dxa" w:w="0"/>
                    <w:bottom w:type="dxa" w:w="0"/>
                    <w:right w:type="dxa" w:w="0"/>
                  </w:tcMar>
                  <w:vAlign w:val="top"/>
                </w:tcPr>
                <w:p>
                  <w:pPr>
                    <w:pStyle w:val="null3"/>
                    <w:jc w:val="center"/>
                  </w:pPr>
                  <w:r>
                    <w:rPr>
                      <w:rFonts w:ascii="仿宋_GB2312" w:hAnsi="仿宋_GB2312" w:cs="仿宋_GB2312" w:eastAsia="仿宋_GB2312"/>
                      <w:sz w:val="21"/>
                      <w:b/>
                      <w:color w:val="000000"/>
                    </w:rPr>
                    <w:t>60</w:t>
                  </w:r>
                </w:p>
              </w:tc>
            </w:tr>
          </w:tbl>
          <w:p/>
        </w:tc>
      </w:tr>
      <w:tr>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rPr>
              <w:t>4</w:t>
            </w:r>
          </w:p>
        </w:tc>
        <w:tc>
          <w:tcPr>
            <w:tcW w:type="dxa" w:w="2769"/>
          </w:tcPr>
          <w:p>
            <w:pPr>
              <w:pStyle w:val="null3"/>
              <w:jc w:val="both"/>
            </w:pPr>
            <w:r>
              <w:rPr>
                <w:rFonts w:ascii="仿宋_GB2312" w:hAnsi="仿宋_GB2312" w:cs="仿宋_GB2312" w:eastAsia="仿宋_GB2312"/>
                <w:sz w:val="21"/>
                <w:b/>
                <w:color w:val="000000"/>
              </w:rPr>
              <w:t>技术要求</w:t>
            </w:r>
            <w:r>
              <w:rPr>
                <w:rFonts w:ascii="仿宋_GB2312" w:hAnsi="仿宋_GB2312" w:cs="仿宋_GB2312" w:eastAsia="仿宋_GB2312"/>
                <w:sz w:val="21"/>
                <w:b/>
                <w:color w:val="000000"/>
              </w:rPr>
              <w:t>：</w:t>
            </w:r>
          </w:p>
          <w:p>
            <w:pPr>
              <w:pStyle w:val="null3"/>
            </w:pPr>
            <w:r>
              <w:rPr>
                <w:rFonts w:ascii="仿宋_GB2312" w:hAnsi="仿宋_GB2312" w:cs="仿宋_GB2312" w:eastAsia="仿宋_GB2312"/>
                <w:sz w:val="21"/>
                <w:color w:val="000000"/>
              </w:rPr>
              <w:t>花：花色纯正鲜艳具有光泽；花形完整，端正饱满；花瓣均匀对称。</w:t>
            </w:r>
          </w:p>
          <w:p>
            <w:pPr>
              <w:pStyle w:val="null3"/>
            </w:pPr>
            <w:r>
              <w:rPr>
                <w:rFonts w:ascii="仿宋_GB2312" w:hAnsi="仿宋_GB2312" w:cs="仿宋_GB2312" w:eastAsia="仿宋_GB2312"/>
                <w:sz w:val="21"/>
                <w:color w:val="000000"/>
              </w:rPr>
              <w:t>径：挺直、强健、有韧性、粗细均匀，与花序协调。</w:t>
            </w:r>
          </w:p>
          <w:p>
            <w:pPr>
              <w:pStyle w:val="null3"/>
            </w:pPr>
            <w:r>
              <w:rPr>
                <w:rFonts w:ascii="仿宋_GB2312" w:hAnsi="仿宋_GB2312" w:cs="仿宋_GB2312" w:eastAsia="仿宋_GB2312"/>
                <w:sz w:val="21"/>
                <w:color w:val="000000"/>
              </w:rPr>
              <w:t>叶：亮绿、要有光泽、完好整齐。</w:t>
            </w:r>
          </w:p>
        </w:tc>
      </w:tr>
      <w:tr>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sz w:val="21"/>
                <w:b/>
                <w:color w:val="000000"/>
              </w:rPr>
              <w:t>服务要求</w:t>
            </w:r>
          </w:p>
          <w:p>
            <w:pPr>
              <w:pStyle w:val="null3"/>
            </w:pPr>
            <w:r>
              <w:rPr>
                <w:rFonts w:ascii="仿宋_GB2312" w:hAnsi="仿宋_GB2312" w:cs="仿宋_GB2312" w:eastAsia="仿宋_GB2312"/>
                <w:sz w:val="21"/>
                <w:color w:val="000000"/>
              </w:rPr>
              <w:t>1、所选原材料必须保证质量可靠、进货渠道正规，符合国家相关标准，并满足招标文件所有要求。</w:t>
            </w:r>
          </w:p>
          <w:p>
            <w:pPr>
              <w:pStyle w:val="null3"/>
            </w:pPr>
            <w:r>
              <w:rPr>
                <w:rFonts w:ascii="仿宋_GB2312" w:hAnsi="仿宋_GB2312" w:cs="仿宋_GB2312" w:eastAsia="仿宋_GB2312"/>
                <w:sz w:val="21"/>
                <w:color w:val="000000"/>
              </w:rPr>
              <w:t>2、所供成品保证质量合格，符合国家有关技术规范。</w:t>
            </w:r>
          </w:p>
          <w:p>
            <w:pPr>
              <w:pStyle w:val="null3"/>
            </w:pPr>
            <w:r>
              <w:rPr>
                <w:rFonts w:ascii="仿宋_GB2312" w:hAnsi="仿宋_GB2312" w:cs="仿宋_GB2312" w:eastAsia="仿宋_GB2312"/>
                <w:sz w:val="21"/>
                <w:color w:val="000000"/>
              </w:rPr>
              <w:t>3、保证所供货物在装卸、运输和仓储过程中有足够的包装保护，防止货物受潮、腐烂、遭受冲撞及其他不可预见的损坏。</w:t>
            </w:r>
          </w:p>
          <w:p>
            <w:pPr>
              <w:pStyle w:val="null3"/>
            </w:pPr>
            <w:r>
              <w:rPr>
                <w:rFonts w:ascii="仿宋_GB2312" w:hAnsi="仿宋_GB2312" w:cs="仿宋_GB2312" w:eastAsia="仿宋_GB2312"/>
                <w:sz w:val="21"/>
                <w:color w:val="000000"/>
              </w:rPr>
              <w:t>4、中标供应商所供货物，若发生侵权而产生的一切后果，由中标供应商负责。采购人保留索赔权力。</w:t>
            </w:r>
          </w:p>
          <w:p>
            <w:pPr>
              <w:pStyle w:val="null3"/>
            </w:pPr>
            <w:r>
              <w:rPr>
                <w:rFonts w:ascii="仿宋_GB2312" w:hAnsi="仿宋_GB2312" w:cs="仿宋_GB2312" w:eastAsia="仿宋_GB2312"/>
                <w:sz w:val="21"/>
                <w:color w:val="000000"/>
              </w:rPr>
              <w:t>5、采购方所采购的所有商品内容，中标供货方必须附合所采购商品的全部资质要求。</w:t>
            </w:r>
          </w:p>
          <w:p>
            <w:pPr>
              <w:pStyle w:val="null3"/>
            </w:pPr>
            <w:r>
              <w:rPr>
                <w:rFonts w:ascii="仿宋_GB2312" w:hAnsi="仿宋_GB2312" w:cs="仿宋_GB2312" w:eastAsia="仿宋_GB2312"/>
                <w:sz w:val="21"/>
                <w:color w:val="000000"/>
              </w:rPr>
              <w:t>6、招标价格参照以下大批量（常用）鲜花为主：菊花、小菊、百合、彩色玫瑰、紫罗兰、散尾叶、八角叶、栀子叶、橘叶、花泥。</w:t>
            </w:r>
          </w:p>
        </w:tc>
      </w:tr>
    </w:tbl>
    <w:p>
      <w:pPr>
        <w:pStyle w:val="null3"/>
      </w:pPr>
      <w:r>
        <w:rPr>
          <w:rFonts w:ascii="仿宋_GB2312" w:hAnsi="仿宋_GB2312" w:cs="仿宋_GB2312" w:eastAsia="仿宋_GB2312"/>
        </w:rPr>
        <w:t>7、供应商一般资格要求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供应商应具备《中华人民共和国政府采购法》第二十二条规定的条件</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供应商应提供健全的财务会计制度的证明材料；</w:t>
            </w:r>
          </w:p>
        </w:tc>
        <w:tc>
          <w:tcPr>
            <w:tcW w:type="dxa" w:w="2769"/>
          </w:tcPr>
          <w:p>
            <w:pPr>
              <w:pStyle w:val="null3"/>
            </w:pPr>
            <w:r>
              <w:rPr>
                <w:rFonts w:ascii="仿宋_GB2312" w:hAnsi="仿宋_GB2312" w:cs="仿宋_GB2312" w:eastAsia="仿宋_GB2312"/>
              </w:rPr>
              <w:t>供应商需在项目电子化交易系统中按要求上传相应证明文件并进行电子签章。</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2769"/>
          </w:tcPr>
          <w:p>
            <w:pPr>
              <w:pStyle w:val="null3"/>
            </w:pPr>
            <w:r>
              <w:rPr>
                <w:rFonts w:ascii="仿宋_GB2312" w:hAnsi="仿宋_GB2312" w:cs="仿宋_GB2312" w:eastAsia="仿宋_GB2312"/>
              </w:rPr>
              <w:t>供应商需在项目电子化交易系统中按要求填写《投标函》完成承诺并进行电子签章。</w:t>
            </w:r>
          </w:p>
        </w:tc>
      </w:tr>
    </w:tbl>
    <w:p>
      <w:pPr>
        <w:pStyle w:val="null3"/>
      </w:pPr>
      <w:r>
        <w:rPr>
          <w:rFonts w:ascii="仿宋_GB2312" w:hAnsi="仿宋_GB2312" w:cs="仿宋_GB2312" w:eastAsia="仿宋_GB2312"/>
        </w:rPr>
        <w:t>8、供应商特殊资格要求</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序号</w:t>
            </w:r>
          </w:p>
        </w:tc>
        <w:tc>
          <w:tcPr>
            <w:tcW w:type="dxa" w:w="2769"/>
          </w:tcPr>
          <w:p>
            <w:pPr>
              <w:pStyle w:val="null3"/>
            </w:pPr>
            <w:r>
              <w:rPr>
                <w:rFonts w:ascii="仿宋_GB2312" w:hAnsi="仿宋_GB2312" w:cs="仿宋_GB2312" w:eastAsia="仿宋_GB2312"/>
              </w:rPr>
              <w:t>资格要求名称</w:t>
            </w:r>
          </w:p>
        </w:tc>
        <w:tc>
          <w:tcPr>
            <w:tcW w:type="dxa" w:w="2769"/>
          </w:tcPr>
          <w:p>
            <w:pPr>
              <w:pStyle w:val="null3"/>
            </w:pPr>
            <w:r>
              <w:rPr>
                <w:rFonts w:ascii="仿宋_GB2312" w:hAnsi="仿宋_GB2312" w:cs="仿宋_GB2312" w:eastAsia="仿宋_GB2312"/>
              </w:rPr>
              <w:t>资格要求详细说明</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投标人主体</w:t>
            </w:r>
          </w:p>
        </w:tc>
        <w:tc>
          <w:tcPr>
            <w:tcW w:type="dxa" w:w="2769"/>
          </w:tcPr>
          <w:p>
            <w:pPr>
              <w:pStyle w:val="null3"/>
            </w:pPr>
            <w:r>
              <w:rPr>
                <w:rFonts w:ascii="仿宋_GB2312" w:hAnsi="仿宋_GB2312" w:cs="仿宋_GB2312" w:eastAsia="仿宋_GB2312"/>
              </w:rPr>
              <w:t>提供投标人有效存续的的法人或其他组织的营业执照/事业单位法人证书/非企业专业服务机构执业许可证/民办非企业单位登记证书；</w:t>
            </w:r>
          </w:p>
        </w:tc>
      </w:tr>
      <w:tr>
        <w:tc>
          <w:tcPr>
            <w:tcW w:type="dxa" w:w="2769"/>
          </w:tcPr>
          <w:p>
            <w:pPr>
              <w:pStyle w:val="null3"/>
            </w:pPr>
            <w:r>
              <w:rPr>
                <w:rFonts w:ascii="仿宋_GB2312" w:hAnsi="仿宋_GB2312" w:cs="仿宋_GB2312" w:eastAsia="仿宋_GB2312"/>
              </w:rPr>
              <w:t>2</w:t>
            </w:r>
          </w:p>
        </w:tc>
        <w:tc>
          <w:tcPr>
            <w:tcW w:type="dxa" w:w="2769"/>
          </w:tcPr>
          <w:p>
            <w:pPr>
              <w:pStyle w:val="null3"/>
            </w:pPr>
            <w:r>
              <w:rPr>
                <w:rFonts w:ascii="仿宋_GB2312" w:hAnsi="仿宋_GB2312" w:cs="仿宋_GB2312" w:eastAsia="仿宋_GB2312"/>
              </w:rPr>
              <w:t>财务状况</w:t>
            </w:r>
          </w:p>
        </w:tc>
        <w:tc>
          <w:tcPr>
            <w:tcW w:type="dxa" w:w="2769"/>
          </w:tcPr>
          <w:p>
            <w:pPr>
              <w:pStyle w:val="null3"/>
            </w:pPr>
            <w:r>
              <w:rPr>
                <w:rFonts w:ascii="仿宋_GB2312" w:hAnsi="仿宋_GB2312" w:cs="仿宋_GB2312" w:eastAsia="仿宋_GB2312"/>
              </w:rPr>
              <w:t>财务状况报告（以下三种资料提供任意一种即可）：（1）提供2024或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2）其开标前半年内基本开户银行出具的资信证明；（3）信用担保机构出具的投标担保函；</w:t>
            </w:r>
          </w:p>
        </w:tc>
      </w:tr>
      <w:tr>
        <w:tc>
          <w:tcPr>
            <w:tcW w:type="dxa" w:w="2769"/>
          </w:tcPr>
          <w:p>
            <w:pPr>
              <w:pStyle w:val="null3"/>
            </w:pPr>
            <w:r>
              <w:rPr>
                <w:rFonts w:ascii="仿宋_GB2312" w:hAnsi="仿宋_GB2312" w:cs="仿宋_GB2312" w:eastAsia="仿宋_GB2312"/>
              </w:rPr>
              <w:t>3</w:t>
            </w:r>
          </w:p>
        </w:tc>
        <w:tc>
          <w:tcPr>
            <w:tcW w:type="dxa" w:w="2769"/>
          </w:tcPr>
          <w:p>
            <w:pPr>
              <w:pStyle w:val="null3"/>
            </w:pPr>
            <w:r>
              <w:rPr>
                <w:rFonts w:ascii="仿宋_GB2312" w:hAnsi="仿宋_GB2312" w:cs="仿宋_GB2312" w:eastAsia="仿宋_GB2312"/>
              </w:rPr>
              <w:t>纳税证明</w:t>
            </w:r>
          </w:p>
        </w:tc>
        <w:tc>
          <w:tcPr>
            <w:tcW w:type="dxa" w:w="2769"/>
          </w:tcPr>
          <w:p>
            <w:pPr>
              <w:pStyle w:val="null3"/>
            </w:pPr>
            <w:r>
              <w:rPr>
                <w:rFonts w:ascii="仿宋_GB2312" w:hAnsi="仿宋_GB2312" w:cs="仿宋_GB2312" w:eastAsia="仿宋_GB2312"/>
              </w:rPr>
              <w:t>提供供应商2025年5月至今已缴纳任意一个月完税凭证或税务机关开具的完税证明（时间以税款所属日期为准，凭据应有税务机关或代收机关的公章或业务专用章）；依法免税的应提供相关文件证明；</w:t>
            </w:r>
          </w:p>
        </w:tc>
      </w:tr>
      <w:tr>
        <w:tc>
          <w:tcPr>
            <w:tcW w:type="dxa" w:w="2769"/>
          </w:tcPr>
          <w:p>
            <w:pPr>
              <w:pStyle w:val="null3"/>
            </w:pPr>
            <w:r>
              <w:rPr>
                <w:rFonts w:ascii="仿宋_GB2312" w:hAnsi="仿宋_GB2312" w:cs="仿宋_GB2312" w:eastAsia="仿宋_GB2312"/>
              </w:rPr>
              <w:t>4</w:t>
            </w:r>
          </w:p>
        </w:tc>
        <w:tc>
          <w:tcPr>
            <w:tcW w:type="dxa" w:w="2769"/>
          </w:tcPr>
          <w:p>
            <w:pPr>
              <w:pStyle w:val="null3"/>
            </w:pPr>
            <w:r>
              <w:rPr>
                <w:rFonts w:ascii="仿宋_GB2312" w:hAnsi="仿宋_GB2312" w:cs="仿宋_GB2312" w:eastAsia="仿宋_GB2312"/>
              </w:rPr>
              <w:t>社会保障资金缴纳证明</w:t>
            </w:r>
          </w:p>
        </w:tc>
        <w:tc>
          <w:tcPr>
            <w:tcW w:type="dxa" w:w="2769"/>
          </w:tcPr>
          <w:p>
            <w:pPr>
              <w:pStyle w:val="null3"/>
            </w:pPr>
            <w:r>
              <w:rPr>
                <w:rFonts w:ascii="仿宋_GB2312" w:hAnsi="仿宋_GB2312" w:cs="仿宋_GB2312" w:eastAsia="仿宋_GB2312"/>
              </w:rPr>
              <w:t>提供供应商2025年5月至今已缴存的任意一个月的社会保障资金缴存单据或社保机构开具的社会保险参保缴费情况证明；依法不需要缴纳社会保障资金的应提供相关文件证明；</w:t>
            </w:r>
          </w:p>
        </w:tc>
      </w:tr>
      <w:tr>
        <w:tc>
          <w:tcPr>
            <w:tcW w:type="dxa" w:w="2769"/>
          </w:tcPr>
          <w:p>
            <w:pPr>
              <w:pStyle w:val="null3"/>
            </w:pPr>
            <w:r>
              <w:rPr>
                <w:rFonts w:ascii="仿宋_GB2312" w:hAnsi="仿宋_GB2312" w:cs="仿宋_GB2312" w:eastAsia="仿宋_GB2312"/>
              </w:rPr>
              <w:t>5</w:t>
            </w:r>
          </w:p>
        </w:tc>
        <w:tc>
          <w:tcPr>
            <w:tcW w:type="dxa" w:w="2769"/>
          </w:tcPr>
          <w:p>
            <w:pPr>
              <w:pStyle w:val="null3"/>
            </w:pPr>
            <w:r>
              <w:rPr>
                <w:rFonts w:ascii="仿宋_GB2312" w:hAnsi="仿宋_GB2312" w:cs="仿宋_GB2312" w:eastAsia="仿宋_GB2312"/>
              </w:rPr>
              <w:t>参加政府采购活动前3年内在经营活动中没有重大违法记录</w:t>
            </w:r>
          </w:p>
        </w:tc>
        <w:tc>
          <w:tcPr>
            <w:tcW w:type="dxa" w:w="2769"/>
          </w:tcPr>
          <w:p>
            <w:pPr>
              <w:pStyle w:val="null3"/>
            </w:pPr>
            <w:r>
              <w:rPr>
                <w:rFonts w:ascii="仿宋_GB2312" w:hAnsi="仿宋_GB2312" w:cs="仿宋_GB2312" w:eastAsia="仿宋_GB2312"/>
              </w:rPr>
              <w:t>参加政府采购活动前3年内在经营活动中没有重大违法记录的书面声明；</w:t>
            </w:r>
          </w:p>
        </w:tc>
      </w:tr>
      <w:tr>
        <w:tc>
          <w:tcPr>
            <w:tcW w:type="dxa" w:w="2769"/>
          </w:tcPr>
          <w:p>
            <w:pPr>
              <w:pStyle w:val="null3"/>
            </w:pPr>
            <w:r>
              <w:rPr>
                <w:rFonts w:ascii="仿宋_GB2312" w:hAnsi="仿宋_GB2312" w:cs="仿宋_GB2312" w:eastAsia="仿宋_GB2312"/>
              </w:rPr>
              <w:t>6</w:t>
            </w:r>
          </w:p>
        </w:tc>
        <w:tc>
          <w:tcPr>
            <w:tcW w:type="dxa" w:w="2769"/>
          </w:tcPr>
          <w:p>
            <w:pPr>
              <w:pStyle w:val="null3"/>
            </w:pPr>
            <w:r>
              <w:rPr>
                <w:rFonts w:ascii="仿宋_GB2312" w:hAnsi="仿宋_GB2312" w:cs="仿宋_GB2312" w:eastAsia="仿宋_GB2312"/>
              </w:rPr>
              <w:t>具有履行合同所必需的设备和专业技术能力</w:t>
            </w:r>
          </w:p>
        </w:tc>
        <w:tc>
          <w:tcPr>
            <w:tcW w:type="dxa" w:w="2769"/>
          </w:tcPr>
          <w:p>
            <w:pPr>
              <w:pStyle w:val="null3"/>
            </w:pPr>
            <w:r>
              <w:rPr>
                <w:rFonts w:ascii="仿宋_GB2312" w:hAnsi="仿宋_GB2312" w:cs="仿宋_GB2312" w:eastAsia="仿宋_GB2312"/>
              </w:rPr>
              <w:t>具有履行合同所必需的设备和专业技术能力的承诺函；</w:t>
            </w:r>
          </w:p>
        </w:tc>
      </w:tr>
      <w:tr>
        <w:tc>
          <w:tcPr>
            <w:tcW w:type="dxa" w:w="2769"/>
          </w:tcPr>
          <w:p>
            <w:pPr>
              <w:pStyle w:val="null3"/>
            </w:pPr>
            <w:r>
              <w:rPr>
                <w:rFonts w:ascii="仿宋_GB2312" w:hAnsi="仿宋_GB2312" w:cs="仿宋_GB2312" w:eastAsia="仿宋_GB2312"/>
              </w:rPr>
              <w:t>7</w:t>
            </w:r>
          </w:p>
        </w:tc>
        <w:tc>
          <w:tcPr>
            <w:tcW w:type="dxa" w:w="2769"/>
          </w:tcPr>
          <w:p>
            <w:pPr>
              <w:pStyle w:val="null3"/>
            </w:pPr>
            <w:r>
              <w:rPr>
                <w:rFonts w:ascii="仿宋_GB2312" w:hAnsi="仿宋_GB2312" w:cs="仿宋_GB2312" w:eastAsia="仿宋_GB2312"/>
              </w:rPr>
              <w:t>信用记录</w:t>
            </w:r>
          </w:p>
        </w:tc>
        <w:tc>
          <w:tcPr>
            <w:tcW w:type="dxa" w:w="2769"/>
          </w:tcPr>
          <w:p>
            <w:pPr>
              <w:pStyle w:val="null3"/>
            </w:pPr>
            <w:r>
              <w:rPr>
                <w:rFonts w:ascii="仿宋_GB2312" w:hAnsi="仿宋_GB2312" w:cs="仿宋_GB2312" w:eastAsia="仿宋_GB2312"/>
              </w:rPr>
              <w:t>未被列入“信用中国”网站及“中国政府采购网”网站失信被执行人、 重大税收违法案件当事人名单、政府采购严重违法失信行为记录名单。</w:t>
            </w:r>
          </w:p>
        </w:tc>
      </w:tr>
    </w:tbl>
    <w:p>
      <w:pPr>
        <w:pStyle w:val="null3"/>
      </w:pPr>
      <w:r>
        <w:rPr>
          <w:rFonts w:ascii="仿宋_GB2312" w:hAnsi="仿宋_GB2312" w:cs="仿宋_GB2312" w:eastAsia="仿宋_GB2312"/>
        </w:rPr>
        <w:t>9、分包的评审条款</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pPr>
            <w:r>
              <w:rPr>
                <w:rFonts w:ascii="仿宋_GB2312" w:hAnsi="仿宋_GB2312" w:cs="仿宋_GB2312" w:eastAsia="仿宋_GB2312"/>
              </w:rPr>
              <w:t>评审项编号</w:t>
            </w:r>
          </w:p>
        </w:tc>
        <w:tc>
          <w:tcPr>
            <w:tcW w:type="dxa" w:w="1384"/>
          </w:tcPr>
          <w:p>
            <w:pPr>
              <w:pStyle w:val="null3"/>
            </w:pPr>
            <w:r>
              <w:rPr>
                <w:rFonts w:ascii="仿宋_GB2312" w:hAnsi="仿宋_GB2312" w:cs="仿宋_GB2312" w:eastAsia="仿宋_GB2312"/>
              </w:rPr>
              <w:t>一级评审项</w:t>
            </w:r>
          </w:p>
        </w:tc>
        <w:tc>
          <w:tcPr>
            <w:tcW w:type="dxa" w:w="1384"/>
          </w:tcPr>
          <w:p>
            <w:pPr>
              <w:pStyle w:val="null3"/>
            </w:pPr>
            <w:r>
              <w:rPr>
                <w:rFonts w:ascii="仿宋_GB2312" w:hAnsi="仿宋_GB2312" w:cs="仿宋_GB2312" w:eastAsia="仿宋_GB2312"/>
              </w:rPr>
              <w:t>二级评审项</w:t>
            </w:r>
          </w:p>
        </w:tc>
        <w:tc>
          <w:tcPr>
            <w:tcW w:type="dxa" w:w="1384"/>
          </w:tcPr>
          <w:p>
            <w:pPr>
              <w:pStyle w:val="null3"/>
            </w:pPr>
            <w:r>
              <w:rPr>
                <w:rFonts w:ascii="仿宋_GB2312" w:hAnsi="仿宋_GB2312" w:cs="仿宋_GB2312" w:eastAsia="仿宋_GB2312"/>
              </w:rPr>
              <w:t>详细要求</w:t>
            </w:r>
          </w:p>
        </w:tc>
        <w:tc>
          <w:tcPr>
            <w:tcW w:type="dxa" w:w="1384"/>
          </w:tcPr>
          <w:p>
            <w:pPr>
              <w:pStyle w:val="null3"/>
            </w:pPr>
            <w:r>
              <w:rPr>
                <w:rFonts w:ascii="仿宋_GB2312" w:hAnsi="仿宋_GB2312" w:cs="仿宋_GB2312" w:eastAsia="仿宋_GB2312"/>
              </w:rPr>
              <w:t>分值</w:t>
            </w:r>
          </w:p>
        </w:tc>
        <w:tc>
          <w:tcPr>
            <w:tcW w:type="dxa" w:w="1384"/>
          </w:tcPr>
          <w:p>
            <w:pPr>
              <w:pStyle w:val="null3"/>
            </w:pPr>
            <w:r>
              <w:rPr>
                <w:rFonts w:ascii="仿宋_GB2312" w:hAnsi="仿宋_GB2312" w:cs="仿宋_GB2312" w:eastAsia="仿宋_GB2312"/>
              </w:rPr>
              <w:t>客观评审项</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服务方案</w:t>
            </w:r>
          </w:p>
        </w:tc>
        <w:tc>
          <w:tcPr>
            <w:tcW w:type="dxa" w:w="1384"/>
          </w:tcPr>
          <w:p>
            <w:pPr>
              <w:pStyle w:val="null3"/>
            </w:pPr>
            <w:r>
              <w:rPr>
                <w:rFonts w:ascii="仿宋_GB2312" w:hAnsi="仿宋_GB2312" w:cs="仿宋_GB2312" w:eastAsia="仿宋_GB2312"/>
              </w:rPr>
              <w:t>供应商针对本项目制定详细的提供切实可行的服务方案（包括但不限于①服务目标②日常管理制度③人员配置方案④实施过程管理方案）等内容赋分：1服务方案内容齐全、针对性及可行性强，得3分； 2.服务方案内容基本齐全，针对性及可行性基本可行，得2分；3.服务方案内容简单，针对性及可行性基本较差得1分；4.方案存在严重缺陷或未提供具体方案，该项不得分。注：以上4项内容，每项3分，最高得12分。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2</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供货方案</w:t>
            </w:r>
          </w:p>
        </w:tc>
        <w:tc>
          <w:tcPr>
            <w:tcW w:type="dxa" w:w="1384"/>
          </w:tcPr>
          <w:p>
            <w:pPr>
              <w:pStyle w:val="null3"/>
            </w:pPr>
            <w:r>
              <w:rPr>
                <w:rFonts w:ascii="仿宋_GB2312" w:hAnsi="仿宋_GB2312" w:cs="仿宋_GB2312" w:eastAsia="仿宋_GB2312"/>
              </w:rPr>
              <w:t>针对本次项目提供详细的供货方案（包括但不限于①供货计划②采购渠道（包括但不限于鲜花的栽培环境、仓储环境、物流配送、包装等完整货源渠道证明）③供货保障④仓储保鲜⑤产品质量保证措施） 1、供货方案完整、科学合理、有针对性，保障措施完善，可完全满足本次采购需求3分；2、供货方案基本完整、合理可行，保障措施基本完善，基本满足本次采购需求，计2分；供货方案不完整、合理性、可行性及保障措施较差，部分满足本次采购需求，计1分； 未提供本项或完全不满足采购人需求得的不得分。注：以上5项内容，每项3分，最高得15分。</w:t>
            </w:r>
          </w:p>
        </w:tc>
        <w:tc>
          <w:tcPr>
            <w:tcW w:type="dxa" w:w="1384"/>
          </w:tcPr>
          <w:p>
            <w:pPr>
              <w:pStyle w:val="null3"/>
              <w:jc w:val="right"/>
            </w:pPr>
            <w:r>
              <w:rPr>
                <w:rFonts w:ascii="仿宋_GB2312" w:hAnsi="仿宋_GB2312" w:cs="仿宋_GB2312" w:eastAsia="仿宋_GB2312"/>
              </w:rPr>
              <w:t>15.0000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3</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配送方案</w:t>
            </w:r>
          </w:p>
        </w:tc>
        <w:tc>
          <w:tcPr>
            <w:tcW w:type="dxa" w:w="1384"/>
          </w:tcPr>
          <w:p>
            <w:pPr>
              <w:pStyle w:val="null3"/>
            </w:pPr>
            <w:r>
              <w:rPr>
                <w:rFonts w:ascii="仿宋_GB2312" w:hAnsi="仿宋_GB2312" w:cs="仿宋_GB2312" w:eastAsia="仿宋_GB2312"/>
              </w:rPr>
              <w:t>针对本次项目提供详细的配送实施方案（包括但不限于①配送流程②配送保鲜保障③配送时效④包装运输方案等）。 1、配送实施方案完整、科学合理、有针对性，措施完善，可完全满足本次采购需求3分；2、配送实施方案基本完整、合理可行，措施基本完善，基本满足本次采购需求，计2分；3、配送实施方案不完整、合理性、可行性及措施较差，部分满足本次采购需求，计1分；4、 未提供本项或完全不满足采购人需求得的不得分。注：以上4项内容，每项3分，最高得12分。</w:t>
            </w:r>
          </w:p>
        </w:tc>
        <w:tc>
          <w:tcPr>
            <w:tcW w:type="dxa" w:w="1384"/>
          </w:tcPr>
          <w:p>
            <w:pPr>
              <w:pStyle w:val="null3"/>
              <w:jc w:val="right"/>
            </w:pPr>
            <w:r>
              <w:rPr>
                <w:rFonts w:ascii="仿宋_GB2312" w:hAnsi="仿宋_GB2312" w:cs="仿宋_GB2312" w:eastAsia="仿宋_GB2312"/>
              </w:rPr>
              <w:t>12.0000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4</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应急预案及措施</w:t>
            </w:r>
          </w:p>
        </w:tc>
        <w:tc>
          <w:tcPr>
            <w:tcW w:type="dxa" w:w="1384"/>
          </w:tcPr>
          <w:p>
            <w:pPr>
              <w:pStyle w:val="null3"/>
            </w:pPr>
            <w:r>
              <w:rPr>
                <w:rFonts w:ascii="仿宋_GB2312" w:hAnsi="仿宋_GB2312" w:cs="仿宋_GB2312" w:eastAsia="仿宋_GB2312"/>
              </w:rPr>
              <w:t>针对本项目的应急预案及措施（包括但不限于①应急情况保障措施；②突发事件处理措施；③问题产品召回等内容。 1、应急预案及措施内容完整，科学、合理、针对性强，计2分；2、应急预案及措施内容基本完整，较为科学、合理、有针对性，计1分；3、应急预案及措施内容不完善、可行性及针对想性差计0.5分；4、未提供本项或完全不满足采购人需求得的不得分。注：以上3项内容，每项2分，最高得6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5</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服务质量跟进制度</w:t>
            </w:r>
          </w:p>
        </w:tc>
        <w:tc>
          <w:tcPr>
            <w:tcW w:type="dxa" w:w="1384"/>
          </w:tcPr>
          <w:p>
            <w:pPr>
              <w:pStyle w:val="null3"/>
            </w:pPr>
            <w:r>
              <w:rPr>
                <w:rFonts w:ascii="仿宋_GB2312" w:hAnsi="仿宋_GB2312" w:cs="仿宋_GB2312" w:eastAsia="仿宋_GB2312"/>
              </w:rPr>
              <w:t>1.管理制度健全、规范，实施计划详细、可行性强，得3分； 2.管理制度简单，实施计划基本可行，得2分； 3.无明确管理制度，实施计划简单，得1分；4.方案存在严重缺陷或未提供具体方案，该项不得分。</w:t>
            </w:r>
          </w:p>
        </w:tc>
        <w:tc>
          <w:tcPr>
            <w:tcW w:type="dxa" w:w="1384"/>
          </w:tcPr>
          <w:p>
            <w:pPr>
              <w:pStyle w:val="null3"/>
              <w:jc w:val="right"/>
            </w:pPr>
            <w:r>
              <w:rPr>
                <w:rFonts w:ascii="仿宋_GB2312" w:hAnsi="仿宋_GB2312" w:cs="仿宋_GB2312" w:eastAsia="仿宋_GB2312"/>
              </w:rPr>
              <w:t>3.0000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6</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售后服务方案</w:t>
            </w:r>
          </w:p>
        </w:tc>
        <w:tc>
          <w:tcPr>
            <w:tcW w:type="dxa" w:w="1384"/>
          </w:tcPr>
          <w:p>
            <w:pPr>
              <w:pStyle w:val="null3"/>
            </w:pPr>
            <w:r>
              <w:rPr>
                <w:rFonts w:ascii="仿宋_GB2312" w:hAnsi="仿宋_GB2312" w:cs="仿宋_GB2312" w:eastAsia="仿宋_GB2312"/>
              </w:rPr>
              <w:t>供应商根据招标文件要求提供项目售后服务方案，内容包含但不限于： ①退换货及缺送、漏送的处理方案；②售后服务承诺；③售后人员安排及售后响应时间承诺方案。 1、售后服务方案内容完整、科学合理，针对性及可行性强，可完全满足本次采购需求3分；2、售后服务方案内容基本完整、针对性及可行性基本可行，基本满足本次采购需求，计2分；3、售后服务方案不完整、针对性及可行性较差，部分满足本次采购需求，计1分；4、 未提供本项或完全不满足采购人需求得的不得分。注：以上3项内容，每项3分，最高得9分。</w:t>
            </w:r>
          </w:p>
        </w:tc>
        <w:tc>
          <w:tcPr>
            <w:tcW w:type="dxa" w:w="1384"/>
          </w:tcPr>
          <w:p>
            <w:pPr>
              <w:pStyle w:val="null3"/>
              <w:jc w:val="right"/>
            </w:pPr>
            <w:r>
              <w:rPr>
                <w:rFonts w:ascii="仿宋_GB2312" w:hAnsi="仿宋_GB2312" w:cs="仿宋_GB2312" w:eastAsia="仿宋_GB2312"/>
              </w:rPr>
              <w:t>9.0000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7</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花材搭配方案</w:t>
            </w:r>
          </w:p>
        </w:tc>
        <w:tc>
          <w:tcPr>
            <w:tcW w:type="dxa" w:w="1384"/>
          </w:tcPr>
          <w:p>
            <w:pPr>
              <w:pStyle w:val="null3"/>
            </w:pPr>
            <w:r>
              <w:rPr>
                <w:rFonts w:ascii="仿宋_GB2312" w:hAnsi="仿宋_GB2312" w:cs="仿宋_GB2312" w:eastAsia="仿宋_GB2312"/>
              </w:rPr>
              <w:t>①场景适配（2分）：针对告别仪式、日常祭扫、临时追思等不同场景，分类定制搭配方案，贴合殡葬庄重素雅要求，色系沉稳协调、无艳丽突兀搭配，方案完整详实得2分；仅有通用搭配、未区分场景得1分；无搭配方案得0分；②花艺审美（2分）：花艺层次分明、主次搭配合理、花叶配比科学，造型规整肃穆，符合殡仪馆礼仪审美标准得2分；造型简单、层次一般得1分；搭配杂乱无章得0分；③方案实用性（2分）：明确搭配耗材、更换周期、养护方式、适用人群，可长期落地使用，可快速切换搭配样式，适配馆内高频使用需求得2分；仅有搭配图片无文字说明得1分；无使用说明得0分；</w:t>
            </w:r>
          </w:p>
        </w:tc>
        <w:tc>
          <w:tcPr>
            <w:tcW w:type="dxa" w:w="1384"/>
          </w:tcPr>
          <w:p>
            <w:pPr>
              <w:pStyle w:val="null3"/>
              <w:jc w:val="right"/>
            </w:pPr>
            <w:r>
              <w:rPr>
                <w:rFonts w:ascii="仿宋_GB2312" w:hAnsi="仿宋_GB2312" w:cs="仿宋_GB2312" w:eastAsia="仿宋_GB2312"/>
              </w:rPr>
              <w:t>6.0000</w:t>
            </w:r>
          </w:p>
        </w:tc>
        <w:tc>
          <w:tcPr>
            <w:tcW w:type="dxa" w:w="1384"/>
          </w:tcPr>
          <w:p>
            <w:pPr>
              <w:pStyle w:val="null3"/>
            </w:pPr>
            <w:r>
              <w:rPr>
                <w:rFonts w:ascii="仿宋_GB2312" w:hAnsi="仿宋_GB2312" w:cs="仿宋_GB2312" w:eastAsia="仿宋_GB2312"/>
              </w:rPr>
              <w:t>否</w:t>
            </w:r>
          </w:p>
        </w:tc>
      </w:tr>
      <w:tr>
        <w:tc>
          <w:tcPr>
            <w:tcW w:type="dxa" w:w="1384"/>
          </w:tcPr>
          <w:p>
            <w:pPr>
              <w:pStyle w:val="null3"/>
            </w:pPr>
            <w:r>
              <w:rPr>
                <w:rFonts w:ascii="仿宋_GB2312" w:hAnsi="仿宋_GB2312" w:cs="仿宋_GB2312" w:eastAsia="仿宋_GB2312"/>
              </w:rPr>
              <w:t>8</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绿色环保</w:t>
            </w:r>
          </w:p>
        </w:tc>
        <w:tc>
          <w:tcPr>
            <w:tcW w:type="dxa" w:w="1384"/>
          </w:tcPr>
          <w:p>
            <w:pPr>
              <w:pStyle w:val="null3"/>
            </w:pPr>
            <w:r>
              <w:rPr>
                <w:rFonts w:ascii="仿宋_GB2312" w:hAnsi="仿宋_GB2312" w:cs="仿宋_GB2312" w:eastAsia="仿宋_GB2312"/>
              </w:rPr>
              <w:t>花材为绿色环保培育，无农药残留超标，提供相关检测报告，得2分。</w:t>
            </w:r>
          </w:p>
        </w:tc>
        <w:tc>
          <w:tcPr>
            <w:tcW w:type="dxa" w:w="1384"/>
          </w:tcPr>
          <w:p>
            <w:pPr>
              <w:pStyle w:val="null3"/>
              <w:jc w:val="right"/>
            </w:pPr>
            <w:r>
              <w:rPr>
                <w:rFonts w:ascii="仿宋_GB2312" w:hAnsi="仿宋_GB2312" w:cs="仿宋_GB2312" w:eastAsia="仿宋_GB2312"/>
              </w:rPr>
              <w:t>2.0000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9</w:t>
            </w:r>
          </w:p>
        </w:tc>
        <w:tc>
          <w:tcPr>
            <w:tcW w:type="dxa" w:w="1384"/>
          </w:tcPr>
          <w:p>
            <w:pPr>
              <w:pStyle w:val="null3"/>
            </w:pPr>
            <w:r>
              <w:rPr>
                <w:rFonts w:ascii="仿宋_GB2312" w:hAnsi="仿宋_GB2312" w:cs="仿宋_GB2312" w:eastAsia="仿宋_GB2312"/>
              </w:rPr>
              <w:t>详细评审</w:t>
            </w:r>
          </w:p>
        </w:tc>
        <w:tc>
          <w:tcPr>
            <w:tcW w:type="dxa" w:w="1384"/>
          </w:tcPr>
          <w:p>
            <w:pPr>
              <w:pStyle w:val="null3"/>
            </w:pPr>
            <w:r>
              <w:rPr>
                <w:rFonts w:ascii="仿宋_GB2312" w:hAnsi="仿宋_GB2312" w:cs="仿宋_GB2312" w:eastAsia="仿宋_GB2312"/>
              </w:rPr>
              <w:t>业绩</w:t>
            </w:r>
          </w:p>
        </w:tc>
        <w:tc>
          <w:tcPr>
            <w:tcW w:type="dxa" w:w="1384"/>
          </w:tcPr>
          <w:p>
            <w:pPr>
              <w:pStyle w:val="null3"/>
            </w:pPr>
            <w:r>
              <w:rPr>
                <w:rFonts w:ascii="仿宋_GB2312" w:hAnsi="仿宋_GB2312" w:cs="仿宋_GB2312" w:eastAsia="仿宋_GB2312"/>
              </w:rPr>
              <w:t>提供供应商2023年1月1日起至投标文件递交截止之日类似项目的业绩，每提供一项得1分，最多得5分（提供业绩的合同复印件或扫描件，以合同签订时间为准），未提供不得分；</w:t>
            </w:r>
          </w:p>
        </w:tc>
        <w:tc>
          <w:tcPr>
            <w:tcW w:type="dxa" w:w="1384"/>
          </w:tcPr>
          <w:p>
            <w:pPr>
              <w:pStyle w:val="null3"/>
              <w:jc w:val="right"/>
            </w:pPr>
            <w:r>
              <w:rPr>
                <w:rFonts w:ascii="仿宋_GB2312" w:hAnsi="仿宋_GB2312" w:cs="仿宋_GB2312" w:eastAsia="仿宋_GB2312"/>
              </w:rPr>
              <w:t>5.0000</w:t>
            </w:r>
          </w:p>
        </w:tc>
        <w:tc>
          <w:tcPr>
            <w:tcW w:type="dxa" w:w="1384"/>
          </w:tcPr>
          <w:p>
            <w:pPr>
              <w:pStyle w:val="null3"/>
            </w:pPr>
            <w:r>
              <w:rPr>
                <w:rFonts w:ascii="仿宋_GB2312" w:hAnsi="仿宋_GB2312" w:cs="仿宋_GB2312" w:eastAsia="仿宋_GB2312"/>
              </w:rPr>
              <w:t>是</w:t>
            </w:r>
          </w:p>
        </w:tc>
      </w:tr>
      <w:tr>
        <w:tc>
          <w:tcPr>
            <w:tcW w:type="dxa" w:w="1384"/>
          </w:tcPr>
          <w:p>
            <w:pPr>
              <w:pStyle w:val="null3"/>
            </w:pPr>
            <w:r>
              <w:rPr>
                <w:rFonts w:ascii="仿宋_GB2312" w:hAnsi="仿宋_GB2312" w:cs="仿宋_GB2312" w:eastAsia="仿宋_GB2312"/>
              </w:rPr>
              <w:t>1</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价格分</w:t>
            </w:r>
          </w:p>
        </w:tc>
        <w:tc>
          <w:tcPr>
            <w:tcW w:type="dxa" w:w="1384"/>
          </w:tcPr>
          <w:p>
            <w:pPr>
              <w:pStyle w:val="null3"/>
            </w:pPr>
            <w:r>
              <w:rPr>
                <w:rFonts w:ascii="仿宋_GB2312" w:hAnsi="仿宋_GB2312" w:cs="仿宋_GB2312" w:eastAsia="仿宋_GB2312"/>
              </w:rPr>
              <w:t>采用低价优先法计算，即通过资格审查和符合性审查且价格最低的有效投标报价为评标基准价，其价格分为满分。 投标报价得分＝（评标基准价/投标报价）×价格权值</w:t>
            </w:r>
          </w:p>
        </w:tc>
        <w:tc>
          <w:tcPr>
            <w:tcW w:type="dxa" w:w="1384"/>
          </w:tcPr>
          <w:p>
            <w:pPr>
              <w:pStyle w:val="null3"/>
              <w:jc w:val="right"/>
            </w:pPr>
            <w:r>
              <w:rPr>
                <w:rFonts w:ascii="仿宋_GB2312" w:hAnsi="仿宋_GB2312" w:cs="仿宋_GB2312" w:eastAsia="仿宋_GB2312"/>
              </w:rPr>
              <w:t>30.0000</w:t>
            </w:r>
          </w:p>
        </w:tc>
        <w:tc>
          <w:tcPr>
            <w:tcW w:type="dxa" w:w="1384"/>
          </w:tcPr>
          <w:p>
            <w:pPr>
              <w:pStyle w:val="null3"/>
            </w:pPr>
            <w:r>
              <w:rPr>
                <w:rFonts w:ascii="仿宋_GB2312" w:hAnsi="仿宋_GB2312" w:cs="仿宋_GB2312" w:eastAsia="仿宋_GB2312"/>
              </w:rPr>
              <w:t>是</w:t>
            </w:r>
          </w:p>
        </w:tc>
      </w:tr>
    </w:tbl>
    <w:p>
      <w:pPr>
        <w:pStyle w:val="null3"/>
      </w:pPr>
      <w:r>
        <w:rPr>
          <w:rFonts w:ascii="仿宋_GB2312" w:hAnsi="仿宋_GB2312" w:cs="仿宋_GB2312" w:eastAsia="仿宋_GB2312"/>
        </w:rPr>
        <w:t>10、合同管理安排</w:t>
      </w:r>
    </w:p>
    <w:p>
      <w:pPr>
        <w:pStyle w:val="null3"/>
        <w:ind w:firstLine="840"/>
      </w:pPr>
      <w:r>
        <w:rPr>
          <w:rFonts w:ascii="仿宋_GB2312" w:hAnsi="仿宋_GB2312" w:cs="仿宋_GB2312" w:eastAsia="仿宋_GB2312"/>
        </w:rPr>
        <w:t>1）合同类型：</w:t>
      </w:r>
      <w:r>
        <w:rPr>
          <w:rFonts w:ascii="仿宋_GB2312" w:hAnsi="仿宋_GB2312" w:cs="仿宋_GB2312" w:eastAsia="仿宋_GB2312"/>
        </w:rPr>
        <w:t>买卖合同</w:t>
      </w:r>
    </w:p>
    <w:p>
      <w:pPr>
        <w:pStyle w:val="null3"/>
        <w:ind w:firstLine="840"/>
      </w:pPr>
      <w:r>
        <w:rPr>
          <w:rFonts w:ascii="仿宋_GB2312" w:hAnsi="仿宋_GB2312" w:cs="仿宋_GB2312" w:eastAsia="仿宋_GB2312"/>
        </w:rPr>
        <w:t xml:space="preserve">2）合同履行期限： </w:t>
      </w:r>
      <w:r>
        <w:rPr>
          <w:rFonts w:ascii="仿宋_GB2312" w:hAnsi="仿宋_GB2312" w:cs="仿宋_GB2312" w:eastAsia="仿宋_GB2312"/>
        </w:rPr>
        <w:t>合同签署之日起一年或累计结算金额达到采购预算，以先到达者为准；交货时间：接到采购人要货通知后3小时内完成供货；如遇特殊情况甲乙双方协商送货时间。</w:t>
      </w:r>
    </w:p>
    <w:p>
      <w:pPr>
        <w:pStyle w:val="null3"/>
        <w:ind w:firstLine="840"/>
      </w:pPr>
      <w:r>
        <w:rPr>
          <w:rFonts w:ascii="仿宋_GB2312" w:hAnsi="仿宋_GB2312" w:cs="仿宋_GB2312" w:eastAsia="仿宋_GB2312"/>
        </w:rPr>
        <w:t>3）合同履约地点：</w:t>
      </w:r>
      <w:r>
        <w:rPr>
          <w:rFonts w:ascii="仿宋_GB2312" w:hAnsi="仿宋_GB2312" w:cs="仿宋_GB2312" w:eastAsia="仿宋_GB2312"/>
        </w:rPr>
        <w:t>西安市殡仪馆馆内</w:t>
      </w:r>
    </w:p>
    <w:p>
      <w:pPr>
        <w:pStyle w:val="null3"/>
        <w:ind w:firstLine="840"/>
      </w:pPr>
      <w:r>
        <w:rPr>
          <w:rFonts w:ascii="仿宋_GB2312" w:hAnsi="仿宋_GB2312" w:cs="仿宋_GB2312" w:eastAsia="仿宋_GB2312"/>
        </w:rPr>
        <w:t>4）支付方式：</w:t>
      </w:r>
      <w:r>
        <w:rPr>
          <w:rFonts w:ascii="仿宋_GB2312" w:hAnsi="仿宋_GB2312" w:cs="仿宋_GB2312" w:eastAsia="仿宋_GB2312"/>
        </w:rPr>
        <w:t>一次付清</w:t>
      </w:r>
    </w:p>
    <w:p>
      <w:pPr>
        <w:pStyle w:val="null3"/>
        <w:ind w:firstLine="840"/>
      </w:pPr>
      <w:r>
        <w:rPr>
          <w:rFonts w:ascii="仿宋_GB2312" w:hAnsi="仿宋_GB2312" w:cs="仿宋_GB2312" w:eastAsia="仿宋_GB2312"/>
        </w:rPr>
        <w:t>5）履约保证金及缴纳形式：</w:t>
      </w:r>
    </w:p>
    <w:p>
      <w:pPr>
        <w:pStyle w:val="null3"/>
      </w:pPr>
      <w:r>
        <w:rPr>
          <w:rFonts w:ascii="仿宋_GB2312" w:hAnsi="仿宋_GB2312" w:cs="仿宋_GB2312" w:eastAsia="仿宋_GB2312"/>
        </w:rPr>
        <w:t>中标/成交供应商是否需要缴纳履约保证金：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6）质量保证金及缴纳形式：</w:t>
      </w:r>
    </w:p>
    <w:p>
      <w:pPr>
        <w:pStyle w:val="null3"/>
      </w:pPr>
      <w:r>
        <w:rPr>
          <w:rFonts w:ascii="仿宋_GB2312" w:hAnsi="仿宋_GB2312" w:cs="仿宋_GB2312" w:eastAsia="仿宋_GB2312"/>
        </w:rPr>
        <w:t>中标/成交供应商是否需要缴纳质量保证金：</w:t>
      </w:r>
      <w:r>
        <w:rPr>
          <w:rFonts w:ascii="仿宋_GB2312" w:hAnsi="仿宋_GB2312" w:cs="仿宋_GB2312" w:eastAsia="仿宋_GB2312"/>
        </w:rPr>
        <w:t>否</w:t>
      </w:r>
    </w:p>
    <w:p>
      <w:pPr>
        <w:pStyle w:val="null3"/>
        <w:ind w:firstLine="840"/>
      </w:pPr>
      <w:r>
        <w:rPr>
          <w:rFonts w:ascii="仿宋_GB2312" w:hAnsi="仿宋_GB2312" w:cs="仿宋_GB2312" w:eastAsia="仿宋_GB2312"/>
        </w:rPr>
        <w:t>7）合同支付约定：</w:t>
      </w:r>
    </w:p>
    <w:p>
      <w:pPr>
        <w:pStyle w:val="null3"/>
      </w:pPr>
      <w:r>
        <w:rPr>
          <w:rFonts w:ascii="仿宋_GB2312" w:hAnsi="仿宋_GB2312" w:cs="仿宋_GB2312" w:eastAsia="仿宋_GB2312"/>
        </w:rPr>
        <w:t>1、</w:t>
      </w:r>
      <w:r>
        <w:rPr>
          <w:rFonts w:ascii="仿宋_GB2312" w:hAnsi="仿宋_GB2312" w:cs="仿宋_GB2312" w:eastAsia="仿宋_GB2312"/>
        </w:rPr>
        <w:t xml:space="preserve"> 付款条件说明： </w:t>
      </w:r>
      <w:r>
        <w:rPr>
          <w:rFonts w:ascii="仿宋_GB2312" w:hAnsi="仿宋_GB2312" w:cs="仿宋_GB2312" w:eastAsia="仿宋_GB2312"/>
        </w:rPr>
        <w:t xml:space="preserve"> 合同签订后以西安市殡仪馆实际销售商品的成本进行据实结算货款</w:t>
      </w:r>
      <w:r>
        <w:rPr>
          <w:rFonts w:ascii="仿宋_GB2312" w:hAnsi="仿宋_GB2312" w:cs="仿宋_GB2312" w:eastAsia="仿宋_GB2312"/>
        </w:rPr>
        <w:t xml:space="preserve"> ，达到付款条件起 </w:t>
      </w:r>
      <w:r>
        <w:rPr>
          <w:rFonts w:ascii="仿宋_GB2312" w:hAnsi="仿宋_GB2312" w:cs="仿宋_GB2312" w:eastAsia="仿宋_GB2312"/>
        </w:rPr>
        <w:t>10</w:t>
      </w:r>
      <w:r>
        <w:rPr>
          <w:rFonts w:ascii="仿宋_GB2312" w:hAnsi="仿宋_GB2312" w:cs="仿宋_GB2312" w:eastAsia="仿宋_GB2312"/>
        </w:rPr>
        <w:t xml:space="preserve"> 日内，支付合同总金额的 </w:t>
      </w:r>
      <w:r>
        <w:rPr>
          <w:rFonts w:ascii="仿宋_GB2312" w:hAnsi="仿宋_GB2312" w:cs="仿宋_GB2312" w:eastAsia="仿宋_GB2312"/>
        </w:rPr>
        <w:t>100.00</w:t>
      </w:r>
      <w:r>
        <w:rPr>
          <w:rFonts w:ascii="仿宋_GB2312" w:hAnsi="仿宋_GB2312" w:cs="仿宋_GB2312" w:eastAsia="仿宋_GB2312"/>
        </w:rPr>
        <w:t>%。</w:t>
      </w:r>
    </w:p>
    <w:p>
      <w:pPr>
        <w:pStyle w:val="null3"/>
        <w:ind w:firstLine="840"/>
      </w:pPr>
      <w:r>
        <w:rPr>
          <w:rFonts w:ascii="仿宋_GB2312" w:hAnsi="仿宋_GB2312" w:cs="仿宋_GB2312" w:eastAsia="仿宋_GB2312"/>
        </w:rPr>
        <w:t>8）验收交付标准和方法：</w:t>
      </w:r>
      <w:r>
        <w:rPr>
          <w:rFonts w:ascii="仿宋_GB2312" w:hAnsi="仿宋_GB2312" w:cs="仿宋_GB2312" w:eastAsia="仿宋_GB2312"/>
        </w:rPr>
        <w:t>根据业务完成量、家属满意度调查及合同要求进行验收对此项业务开展进行综合评估，使此项业务达到社会效益和经济效益的双达标。必要时委托具有相关资质的第三方检测机构或邀请行业专家对货物质量等进行抽样检验，检验费用由中标方承担。</w:t>
      </w:r>
    </w:p>
    <w:p>
      <w:pPr>
        <w:pStyle w:val="null3"/>
        <w:ind w:firstLine="840"/>
      </w:pPr>
      <w:r>
        <w:rPr>
          <w:rFonts w:ascii="仿宋_GB2312" w:hAnsi="仿宋_GB2312" w:cs="仿宋_GB2312" w:eastAsia="仿宋_GB2312"/>
        </w:rPr>
        <w:t>9）质量保修范围和保修期：</w:t>
      </w:r>
      <w:r>
        <w:rPr>
          <w:rFonts w:ascii="仿宋_GB2312" w:hAnsi="仿宋_GB2312" w:cs="仿宋_GB2312" w:eastAsia="仿宋_GB2312"/>
        </w:rPr>
        <w:t>按采购合同执行</w:t>
      </w:r>
    </w:p>
    <w:p>
      <w:pPr>
        <w:pStyle w:val="null3"/>
        <w:ind w:firstLine="840"/>
      </w:pPr>
      <w:r>
        <w:rPr>
          <w:rFonts w:ascii="仿宋_GB2312" w:hAnsi="仿宋_GB2312" w:cs="仿宋_GB2312" w:eastAsia="仿宋_GB2312"/>
        </w:rPr>
        <w:t>10）知识产权归属和处理方式：</w:t>
      </w:r>
      <w:r>
        <w:rPr>
          <w:rFonts w:ascii="仿宋_GB2312" w:hAnsi="仿宋_GB2312" w:cs="仿宋_GB2312" w:eastAsia="仿宋_GB2312"/>
        </w:rPr>
        <w:t>无</w:t>
      </w:r>
    </w:p>
    <w:p>
      <w:pPr>
        <w:pStyle w:val="null3"/>
        <w:ind w:firstLine="840"/>
      </w:pPr>
      <w:r>
        <w:rPr>
          <w:rFonts w:ascii="仿宋_GB2312" w:hAnsi="仿宋_GB2312" w:cs="仿宋_GB2312" w:eastAsia="仿宋_GB2312"/>
        </w:rPr>
        <w:t>11）成本补偿和风险分担约定：</w:t>
      </w:r>
      <w:r>
        <w:rPr>
          <w:rFonts w:ascii="仿宋_GB2312" w:hAnsi="仿宋_GB2312" w:cs="仿宋_GB2312" w:eastAsia="仿宋_GB2312"/>
        </w:rPr>
        <w:t>无</w:t>
      </w:r>
    </w:p>
    <w:p>
      <w:pPr>
        <w:pStyle w:val="null3"/>
        <w:ind w:firstLine="840"/>
      </w:pPr>
      <w:r>
        <w:rPr>
          <w:rFonts w:ascii="仿宋_GB2312" w:hAnsi="仿宋_GB2312" w:cs="仿宋_GB2312" w:eastAsia="仿宋_GB2312"/>
        </w:rPr>
        <w:t>12）违约责任与解决争议的方法：</w:t>
      </w:r>
      <w:r>
        <w:rPr>
          <w:rFonts w:ascii="仿宋_GB2312" w:hAnsi="仿宋_GB2312" w:cs="仿宋_GB2312" w:eastAsia="仿宋_GB2312"/>
        </w:rPr>
        <w:t>一、违约责任 1、中标供应商未按约定时间供货的，每延迟1小时，按该批次供货金额的5%向采购人支付违约金；延迟超过3小时的，采购人有权单方解除该批次供货约定，中标供应商须支付该批次预计供货金额30%的违约金。 2、针对采购人临时特殊需求，中标供应商未按双方协商时间供货的，每延迟30分钟按该批货物金额的3%支付违约金；延迟超过2小时的，采购人有权拒绝接收该批货物，中标供应商须赔偿采购人临时调货产生的差价及家属投诉处理费用。 3、验收不合格需补货的，中标供应商未在2小时内完成补货的，每延迟1小时按该批货物金额的5%支付违约金；延迟超过4小时的，采购人有权扣除该批货物对应货款的30%。 4、中标供应商提供不合格花材的，除免费更换外，每出现1批次不合格产品，须按该批次货物金额的15%支付违约金；因质量问题引发家属索赔的，中标供应商须全额赔付；引发诉讼的，中标供应商须承担全部诉讼费、律师费及甲方名誉损失（每次诉讼最低赔偿5万元）；同一品类累计2次质量不合格的，采购人有权永久终止该品类合作，中标供应商须按该品类近1个月平均月销售额的3倍支付违约金。 5、中标供应商提供假冒伪劣或农药残留超标花材的，采购人有权单方解除本合同，中标供应商须支付本包预算金额20%的违约金，并赔偿采购人全部损失。 6、中标供应商擅自将本项目分包或转让给第三方的，采购人有权单方解除合同，中标供应商须支付本包预算金额10%的违约金。 7、本合同约定的违约金，采购人有权从应付中标供应商的货款中直接扣除。 九、争议解决 关于合同未尽事宜发生纠纷，双方应协商解决，经协商无法解决的，双方均可向采购人方所在地人民法院提起诉讼。</w:t>
      </w:r>
    </w:p>
    <w:p>
      <w:pPr>
        <w:pStyle w:val="null3"/>
        <w:ind w:firstLine="840"/>
      </w:pPr>
      <w:r>
        <w:rPr>
          <w:rFonts w:ascii="仿宋_GB2312" w:hAnsi="仿宋_GB2312" w:cs="仿宋_GB2312" w:eastAsia="仿宋_GB2312"/>
        </w:rPr>
        <w:t>13）合同其他条款：</w:t>
      </w:r>
      <w:r>
        <w:rPr>
          <w:rFonts w:ascii="仿宋_GB2312" w:hAnsi="仿宋_GB2312" w:cs="仿宋_GB2312" w:eastAsia="仿宋_GB2312"/>
        </w:rPr>
        <w:t>无</w:t>
      </w:r>
    </w:p>
    <w:p>
      <w:pPr>
        <w:pStyle w:val="null3"/>
      </w:pPr>
      <w:r>
        <w:rPr>
          <w:rFonts w:ascii="仿宋_GB2312" w:hAnsi="仿宋_GB2312" w:cs="仿宋_GB2312" w:eastAsia="仿宋_GB2312"/>
        </w:rPr>
        <w:t>11、履约验收方案</w:t>
      </w:r>
    </w:p>
    <w:p>
      <w:pPr>
        <w:pStyle w:val="null3"/>
        <w:ind w:firstLine="840"/>
      </w:pPr>
      <w:r>
        <w:rPr>
          <w:rFonts w:ascii="仿宋_GB2312" w:hAnsi="仿宋_GB2312" w:cs="仿宋_GB2312" w:eastAsia="仿宋_GB2312"/>
        </w:rPr>
        <w:t>1）验收组织方式：</w:t>
      </w:r>
      <w:r>
        <w:rPr>
          <w:rFonts w:ascii="仿宋_GB2312" w:hAnsi="仿宋_GB2312" w:cs="仿宋_GB2312" w:eastAsia="仿宋_GB2312"/>
        </w:rPr>
        <w:t>自行验收</w:t>
      </w:r>
    </w:p>
    <w:p>
      <w:pPr>
        <w:pStyle w:val="null3"/>
        <w:ind w:firstLine="840"/>
      </w:pPr>
      <w:r>
        <w:rPr>
          <w:rFonts w:ascii="仿宋_GB2312" w:hAnsi="仿宋_GB2312" w:cs="仿宋_GB2312" w:eastAsia="仿宋_GB2312"/>
        </w:rPr>
        <w:t>2）是否邀请本项目的其他供应商：</w:t>
      </w:r>
      <w:r>
        <w:rPr>
          <w:rFonts w:ascii="仿宋_GB2312" w:hAnsi="仿宋_GB2312" w:cs="仿宋_GB2312" w:eastAsia="仿宋_GB2312"/>
        </w:rPr>
        <w:t>否</w:t>
      </w:r>
    </w:p>
    <w:p>
      <w:pPr>
        <w:pStyle w:val="null3"/>
        <w:ind w:firstLine="840"/>
      </w:pPr>
      <w:r>
        <w:rPr>
          <w:rFonts w:ascii="仿宋_GB2312" w:hAnsi="仿宋_GB2312" w:cs="仿宋_GB2312" w:eastAsia="仿宋_GB2312"/>
        </w:rPr>
        <w:t>3）是否邀请专家：</w:t>
      </w:r>
      <w:r>
        <w:rPr>
          <w:rFonts w:ascii="仿宋_GB2312" w:hAnsi="仿宋_GB2312" w:cs="仿宋_GB2312" w:eastAsia="仿宋_GB2312"/>
        </w:rPr>
        <w:t>否</w:t>
      </w:r>
    </w:p>
    <w:p>
      <w:pPr>
        <w:pStyle w:val="null3"/>
        <w:ind w:firstLine="840"/>
      </w:pPr>
      <w:r>
        <w:rPr>
          <w:rFonts w:ascii="仿宋_GB2312" w:hAnsi="仿宋_GB2312" w:cs="仿宋_GB2312" w:eastAsia="仿宋_GB2312"/>
        </w:rPr>
        <w:t>4）是否邀请服务对象：</w:t>
      </w:r>
      <w:r>
        <w:rPr>
          <w:rFonts w:ascii="仿宋_GB2312" w:hAnsi="仿宋_GB2312" w:cs="仿宋_GB2312" w:eastAsia="仿宋_GB2312"/>
        </w:rPr>
        <w:t>否</w:t>
      </w:r>
    </w:p>
    <w:p>
      <w:pPr>
        <w:pStyle w:val="null3"/>
        <w:ind w:firstLine="840"/>
      </w:pPr>
      <w:r>
        <w:rPr>
          <w:rFonts w:ascii="仿宋_GB2312" w:hAnsi="仿宋_GB2312" w:cs="仿宋_GB2312" w:eastAsia="仿宋_GB2312"/>
        </w:rPr>
        <w:t>5）是否邀请第三方检测机构：</w:t>
      </w:r>
      <w:r>
        <w:rPr>
          <w:rFonts w:ascii="仿宋_GB2312" w:hAnsi="仿宋_GB2312" w:cs="仿宋_GB2312" w:eastAsia="仿宋_GB2312"/>
        </w:rPr>
        <w:t>否</w:t>
      </w:r>
    </w:p>
    <w:p>
      <w:pPr>
        <w:pStyle w:val="null3"/>
        <w:ind w:firstLine="840"/>
      </w:pPr>
      <w:r>
        <w:rPr>
          <w:rFonts w:ascii="仿宋_GB2312" w:hAnsi="仿宋_GB2312" w:cs="仿宋_GB2312" w:eastAsia="仿宋_GB2312"/>
        </w:rPr>
        <w:t>6）履约验收程序：</w:t>
      </w:r>
      <w:r>
        <w:rPr>
          <w:rFonts w:ascii="仿宋_GB2312" w:hAnsi="仿宋_GB2312" w:cs="仿宋_GB2312" w:eastAsia="仿宋_GB2312"/>
        </w:rPr>
        <w:t>分段/分期验收</w:t>
      </w:r>
    </w:p>
    <w:p>
      <w:pPr>
        <w:pStyle w:val="null3"/>
        <w:ind w:firstLine="840"/>
      </w:pPr>
      <w:r>
        <w:rPr>
          <w:rFonts w:ascii="仿宋_GB2312" w:hAnsi="仿宋_GB2312" w:cs="仿宋_GB2312" w:eastAsia="仿宋_GB2312"/>
        </w:rPr>
        <w:t>7）履约验收时间：</w:t>
      </w:r>
    </w:p>
    <w:p>
      <w:pPr>
        <w:pStyle w:val="null3"/>
      </w:pPr>
      <w:r>
        <w:rPr>
          <w:rFonts w:ascii="仿宋_GB2312" w:hAnsi="仿宋_GB2312" w:cs="仿宋_GB2312" w:eastAsia="仿宋_GB2312"/>
        </w:rPr>
        <w:t>供应商提出验收申请之日起</w:t>
      </w:r>
      <w:r>
        <w:rPr>
          <w:rFonts w:ascii="仿宋_GB2312" w:hAnsi="仿宋_GB2312" w:cs="仿宋_GB2312" w:eastAsia="仿宋_GB2312"/>
        </w:rPr>
        <w:t>5</w:t>
      </w:r>
      <w:r>
        <w:rPr>
          <w:rFonts w:ascii="仿宋_GB2312" w:hAnsi="仿宋_GB2312" w:cs="仿宋_GB2312" w:eastAsia="仿宋_GB2312"/>
        </w:rPr>
        <w:t>日内组织验收</w:t>
      </w:r>
    </w:p>
    <w:p>
      <w:pPr>
        <w:pStyle w:val="null3"/>
        <w:ind w:firstLine="840"/>
      </w:pPr>
      <w:r>
        <w:rPr>
          <w:rFonts w:ascii="仿宋_GB2312" w:hAnsi="仿宋_GB2312" w:cs="仿宋_GB2312" w:eastAsia="仿宋_GB2312"/>
        </w:rPr>
        <w:t>8）验收组织的其他事项：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9）技术履约验收内容：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10）商务履约验收内容：</w:t>
      </w:r>
      <w:r>
        <w:rPr>
          <w:rFonts w:ascii="仿宋_GB2312" w:hAnsi="仿宋_GB2312" w:cs="仿宋_GB2312" w:eastAsia="仿宋_GB2312"/>
        </w:rPr>
        <w:t>按合同约定执行</w:t>
      </w:r>
    </w:p>
    <w:p>
      <w:pPr>
        <w:pStyle w:val="null3"/>
        <w:ind w:firstLine="840"/>
      </w:pPr>
      <w:r>
        <w:rPr>
          <w:rFonts w:ascii="仿宋_GB2312" w:hAnsi="仿宋_GB2312" w:cs="仿宋_GB2312" w:eastAsia="仿宋_GB2312"/>
        </w:rPr>
        <w:t>11）履约验收标准：</w:t>
      </w:r>
      <w:r>
        <w:rPr>
          <w:rFonts w:ascii="仿宋_GB2312" w:hAnsi="仿宋_GB2312" w:cs="仿宋_GB2312" w:eastAsia="仿宋_GB2312"/>
        </w:rPr>
        <w:t>以招标文件、投标文件及签订合同要求为准。</w:t>
      </w:r>
    </w:p>
    <w:p>
      <w:pPr>
        <w:pStyle w:val="null3"/>
        <w:ind w:firstLine="840"/>
      </w:pPr>
      <w:r>
        <w:rPr>
          <w:rFonts w:ascii="仿宋_GB2312" w:hAnsi="仿宋_GB2312" w:cs="仿宋_GB2312" w:eastAsia="仿宋_GB2312"/>
        </w:rPr>
        <w:t>12）履约验收其他事项：</w:t>
      </w:r>
      <w:r>
        <w:rPr>
          <w:rFonts w:ascii="仿宋_GB2312" w:hAnsi="仿宋_GB2312" w:cs="仿宋_GB2312" w:eastAsia="仿宋_GB2312"/>
        </w:rPr>
        <w:t>按合同约定执行</w:t>
      </w:r>
    </w:p>
    <w:p>
      <w:pPr>
        <w:pStyle w:val="null3"/>
        <w:outlineLvl w:val="2"/>
      </w:pPr>
      <w:r>
        <w:rPr>
          <w:rFonts w:ascii="仿宋_GB2312" w:hAnsi="仿宋_GB2312" w:cs="仿宋_GB2312" w:eastAsia="仿宋_GB2312"/>
          <w:sz w:val="28"/>
          <w:b/>
        </w:rPr>
        <w:t>五、风险控制措施和替代方案</w:t>
      </w:r>
    </w:p>
    <w:p>
      <w:pPr>
        <w:pStyle w:val="null3"/>
        <w:ind w:firstLine="840"/>
      </w:pPr>
      <w:r>
        <w:rPr>
          <w:rFonts w:ascii="仿宋_GB2312" w:hAnsi="仿宋_GB2312" w:cs="仿宋_GB2312" w:eastAsia="仿宋_GB2312"/>
        </w:rPr>
        <w:t>该采购项目按照《政府采购需求管理办法》第二十五条规定，本项目是否需要组织风险判断、提出处置措施和替代方案：</w:t>
      </w:r>
      <w:r>
        <w:rPr>
          <w:rFonts w:ascii="仿宋_GB2312" w:hAnsi="仿宋_GB2312" w:cs="仿宋_GB2312" w:eastAsia="仿宋_GB2312"/>
        </w:rPr>
        <w:t>否</w:t>
      </w:r>
    </w:p>
    <w:p>
      <w:pPr>
        <w:pStyle w:val="null3"/>
      </w:pP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numbering.xml><?xml version="1.0" encoding="utf-8"?>
<w:numbering xmlns:w="http://schemas.openxmlformats.org/wordprocessingml/2006/main">
  <w:abstractNum w:abstractNumId="0">
    <w:multiLevelType w:val="hybridMultilevel"/>
    <w:lvl w:ilvl="0">
      <w:start w:val="1"/>
      <w:numFmt w:val="bullet"/>
      <w:lvlText w:val=""/>
      <w:lvlJc w:val="left"/>
      <w:pPr>
        <w:ind w:left="0"/>
      </w:pPr>
      <w:rPr>
        <w:rFonts w:ascii="Wingdings" w:hAnsi="Wingdings" w:hint="default"/>
      </w:rPr>
    </w:lvl>
  </w:abstractNum>
  <w:abstractNum w:abstractNumId="1">
    <w:multiLevelType w:val="hybridMultilevel"/>
    <w:lvl w:ilvl="0">
      <w:start w:val="1"/>
      <w:numFmt w:val="bullet"/>
      <w:lvlText w:val=""/>
      <w:lvlJc w:val="left"/>
      <w:pPr>
        <w:ind w:left="0"/>
      </w:pPr>
      <w:rPr>
        <w:rFonts w:ascii="Wingdings" w:hAnsi="Wingdings" w:hint="default"/>
      </w:rPr>
    </w:lvl>
    <w:lvl w:ilvl="1">
      <w:start w:val="1"/>
      <w:numFmt w:val="bullet"/>
      <w:lvlText w:val=""/>
      <w:lvlJc w:val="left"/>
      <w:pPr>
        <w:ind w:left="360"/>
      </w:pPr>
      <w:rPr>
        <w:rFonts w:ascii="Wingdings" w:hAnsi="Wingdings" w:hint="default"/>
      </w:rPr>
    </w:lvl>
    <w:lvl w:ilvl="2">
      <w:start w:val="1"/>
      <w:numFmt w:val="bullet"/>
      <w:lvlText w:val=""/>
      <w:lvlJc w:val="left"/>
      <w:pPr>
        <w:ind w:left="7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 Id="rId6" Target="numbering.xml" Type="http://schemas.openxmlformats.org/officeDocument/2006/relationships/numberi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