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17278">
      <w:pPr>
        <w:jc w:val="center"/>
        <w:rPr>
          <w:rFonts w:hint="eastAsia" w:ascii="仿宋" w:hAnsi="仿宋" w:eastAsia="仿宋" w:cs="仿宋"/>
          <w:b/>
          <w:bCs/>
          <w:spacing w:val="21"/>
          <w:sz w:val="44"/>
          <w:szCs w:val="44"/>
          <w:highlight w:val="none"/>
          <w:lang w:val="en-US" w:eastAsia="zh-CN"/>
        </w:rPr>
      </w:pPr>
    </w:p>
    <w:p w14:paraId="284BFB89">
      <w:pPr>
        <w:jc w:val="center"/>
        <w:rPr>
          <w:rFonts w:hint="eastAsia" w:ascii="仿宋" w:hAnsi="仿宋" w:eastAsia="仿宋" w:cs="仿宋"/>
          <w:b/>
          <w:bCs/>
          <w:spacing w:val="21"/>
          <w:sz w:val="44"/>
          <w:szCs w:val="44"/>
          <w:highlight w:val="none"/>
          <w:lang w:val="en-US" w:eastAsia="zh-CN"/>
        </w:rPr>
      </w:pPr>
    </w:p>
    <w:p w14:paraId="06C2EDFF">
      <w:pPr>
        <w:jc w:val="center"/>
        <w:rPr>
          <w:rFonts w:hint="eastAsia" w:ascii="仿宋" w:hAnsi="仿宋" w:eastAsia="仿宋" w:cs="仿宋"/>
          <w:b/>
          <w:bCs/>
          <w:spacing w:val="21"/>
          <w:sz w:val="44"/>
          <w:szCs w:val="44"/>
          <w:highlight w:val="none"/>
          <w:lang w:val="en-US" w:eastAsia="zh-CN"/>
        </w:rPr>
      </w:pPr>
    </w:p>
    <w:p w14:paraId="68D192B5">
      <w:pPr>
        <w:jc w:val="center"/>
        <w:rPr>
          <w:rFonts w:hint="eastAsia" w:ascii="仿宋" w:hAnsi="仿宋" w:eastAsia="仿宋" w:cs="仿宋"/>
          <w:b/>
          <w:bCs/>
          <w:spacing w:val="21"/>
          <w:sz w:val="44"/>
          <w:szCs w:val="44"/>
          <w:highlight w:val="none"/>
          <w:lang w:val="en-US" w:eastAsia="zh-CN"/>
        </w:rPr>
      </w:pPr>
    </w:p>
    <w:p w14:paraId="2BEAEFF4">
      <w:pPr>
        <w:jc w:val="center"/>
        <w:rPr>
          <w:rFonts w:hint="eastAsia" w:ascii="仿宋" w:hAnsi="仿宋" w:eastAsia="仿宋" w:cs="仿宋"/>
          <w:b/>
          <w:bCs/>
          <w:spacing w:val="21"/>
          <w:sz w:val="44"/>
          <w:szCs w:val="44"/>
          <w:highlight w:val="none"/>
          <w:lang w:val="en-US" w:eastAsia="zh-CN"/>
        </w:rPr>
      </w:pPr>
    </w:p>
    <w:p w14:paraId="554BB28B">
      <w:pPr>
        <w:jc w:val="center"/>
        <w:rPr>
          <w:rFonts w:hint="eastAsia" w:ascii="仿宋" w:hAnsi="仿宋" w:eastAsia="仿宋" w:cs="仿宋"/>
          <w:b/>
          <w:bCs/>
          <w:spacing w:val="21"/>
          <w:sz w:val="44"/>
          <w:szCs w:val="44"/>
          <w:highlight w:val="none"/>
          <w:lang w:val="en-US" w:eastAsia="zh-CN"/>
        </w:rPr>
      </w:pPr>
    </w:p>
    <w:p w14:paraId="4D6F5FB3">
      <w:pPr>
        <w:jc w:val="center"/>
        <w:rPr>
          <w:rFonts w:hint="eastAsia" w:ascii="仿宋" w:hAnsi="仿宋" w:eastAsia="仿宋" w:cs="仿宋"/>
          <w:b/>
          <w:bCs/>
          <w:spacing w:val="21"/>
          <w:sz w:val="44"/>
          <w:szCs w:val="44"/>
          <w:highlight w:val="none"/>
          <w:lang w:val="en-US" w:eastAsia="zh-CN"/>
        </w:rPr>
      </w:pPr>
      <w:r>
        <w:rPr>
          <w:rFonts w:hint="eastAsia" w:ascii="仿宋" w:hAnsi="仿宋" w:eastAsia="仿宋" w:cs="仿宋"/>
          <w:b/>
          <w:bCs/>
          <w:spacing w:val="21"/>
          <w:sz w:val="44"/>
          <w:szCs w:val="44"/>
          <w:highlight w:val="none"/>
          <w:lang w:val="en-US" w:eastAsia="zh-CN"/>
        </w:rPr>
        <w:t>合同示范文本</w:t>
      </w:r>
    </w:p>
    <w:p w14:paraId="4503F308">
      <w:pPr>
        <w:rPr>
          <w:rFonts w:hint="eastAsia" w:ascii="仿宋" w:hAnsi="仿宋" w:eastAsia="仿宋" w:cs="仿宋"/>
          <w:b/>
          <w:bCs/>
          <w:spacing w:val="21"/>
          <w:sz w:val="23"/>
          <w:szCs w:val="23"/>
          <w:highlight w:val="none"/>
        </w:rPr>
      </w:pPr>
      <w:r>
        <w:rPr>
          <w:rFonts w:hint="eastAsia" w:ascii="仿宋" w:hAnsi="仿宋" w:eastAsia="仿宋" w:cs="仿宋"/>
          <w:b/>
          <w:bCs/>
          <w:spacing w:val="21"/>
          <w:sz w:val="23"/>
          <w:szCs w:val="23"/>
          <w:highlight w:val="none"/>
        </w:rPr>
        <w:br w:type="page"/>
      </w:r>
    </w:p>
    <w:p w14:paraId="6622AA98">
      <w:pPr>
        <w:pStyle w:val="2"/>
        <w:spacing w:before="63" w:line="879" w:lineRule="exact"/>
        <w:jc w:val="center"/>
        <w:rPr>
          <w:rFonts w:hint="eastAsia" w:ascii="仿宋" w:hAnsi="仿宋" w:eastAsia="仿宋" w:cs="仿宋"/>
          <w:sz w:val="23"/>
          <w:szCs w:val="23"/>
          <w:highlight w:val="none"/>
        </w:rPr>
      </w:pPr>
      <w:r>
        <w:rPr>
          <w:rFonts w:hint="eastAsia" w:ascii="仿宋" w:hAnsi="仿宋" w:eastAsia="仿宋" w:cs="仿宋"/>
          <w:b/>
          <w:bCs/>
          <w:spacing w:val="21"/>
          <w:sz w:val="23"/>
          <w:szCs w:val="23"/>
          <w:highlight w:val="none"/>
        </w:rPr>
        <w:t>第一部分合同书</w:t>
      </w:r>
    </w:p>
    <w:p w14:paraId="77985C12">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both"/>
        <w:textAlignment w:val="baseline"/>
        <w:rPr>
          <w:rFonts w:hint="eastAsia" w:ascii="仿宋" w:hAnsi="仿宋" w:eastAsia="仿宋" w:cs="仿宋"/>
          <w:sz w:val="21"/>
          <w:highlight w:val="none"/>
        </w:rPr>
      </w:pPr>
    </w:p>
    <w:p w14:paraId="7E698B22">
      <w:pPr>
        <w:pStyle w:val="2"/>
        <w:keepNext w:val="0"/>
        <w:keepLines w:val="0"/>
        <w:pageBreakBefore w:val="0"/>
        <w:widowControl/>
        <w:kinsoku/>
        <w:wordWrap/>
        <w:overflowPunct/>
        <w:topLinePunct w:val="0"/>
        <w:autoSpaceDE w:val="0"/>
        <w:autoSpaceDN w:val="0"/>
        <w:bidi w:val="0"/>
        <w:adjustRightInd w:val="0"/>
        <w:snapToGrid w:val="0"/>
        <w:spacing w:before="75" w:line="360" w:lineRule="auto"/>
        <w:ind w:left="50"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 xml:space="preserve">甲方： </w:t>
      </w:r>
      <w:r>
        <w:rPr>
          <w:rFonts w:hint="eastAsia" w:ascii="仿宋" w:hAnsi="仿宋" w:eastAsia="仿宋" w:cs="仿宋"/>
          <w:spacing w:val="0"/>
          <w:sz w:val="24"/>
          <w:szCs w:val="24"/>
          <w:highlight w:val="none"/>
          <w:u w:val="single" w:color="auto"/>
        </w:rPr>
        <w:t xml:space="preserve">                                        </w:t>
      </w:r>
    </w:p>
    <w:p w14:paraId="0C127FF8">
      <w:pPr>
        <w:pStyle w:val="2"/>
        <w:keepNext w:val="0"/>
        <w:keepLines w:val="0"/>
        <w:pageBreakBefore w:val="0"/>
        <w:widowControl/>
        <w:kinsoku/>
        <w:wordWrap/>
        <w:overflowPunct/>
        <w:topLinePunct w:val="0"/>
        <w:autoSpaceDE w:val="0"/>
        <w:autoSpaceDN w:val="0"/>
        <w:bidi w:val="0"/>
        <w:adjustRightInd w:val="0"/>
        <w:snapToGrid w:val="0"/>
        <w:spacing w:before="84" w:line="360" w:lineRule="auto"/>
        <w:ind w:left="45"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 xml:space="preserve">乙方： </w:t>
      </w:r>
      <w:r>
        <w:rPr>
          <w:rFonts w:hint="eastAsia" w:ascii="仿宋" w:hAnsi="仿宋" w:eastAsia="仿宋" w:cs="仿宋"/>
          <w:spacing w:val="0"/>
          <w:sz w:val="24"/>
          <w:szCs w:val="24"/>
          <w:highlight w:val="none"/>
          <w:u w:val="single" w:color="auto"/>
        </w:rPr>
        <w:t xml:space="preserve">                                        </w:t>
      </w:r>
    </w:p>
    <w:p w14:paraId="79BC35D9">
      <w:pPr>
        <w:pStyle w:val="2"/>
        <w:keepNext w:val="0"/>
        <w:keepLines w:val="0"/>
        <w:pageBreakBefore w:val="0"/>
        <w:widowControl/>
        <w:tabs>
          <w:tab w:val="left" w:pos="240"/>
          <w:tab w:val="left" w:pos="1470"/>
        </w:tabs>
        <w:kinsoku/>
        <w:wordWrap/>
        <w:overflowPunct/>
        <w:topLinePunct w:val="0"/>
        <w:autoSpaceDE w:val="0"/>
        <w:autoSpaceDN w:val="0"/>
        <w:bidi w:val="0"/>
        <w:adjustRightInd w:val="0"/>
        <w:snapToGrid w:val="0"/>
        <w:spacing w:before="112" w:line="360" w:lineRule="auto"/>
        <w:ind w:left="10" w:right="49"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u w:val="single" w:color="auto"/>
        </w:rPr>
        <w:tab/>
      </w:r>
      <w:r>
        <w:rPr>
          <w:rFonts w:hint="eastAsia" w:ascii="仿宋" w:hAnsi="仿宋" w:eastAsia="仿宋" w:cs="仿宋"/>
          <w:spacing w:val="0"/>
          <w:sz w:val="24"/>
          <w:szCs w:val="24"/>
          <w:highlight w:val="none"/>
        </w:rPr>
        <w:t>年</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u w:val="none" w:color="auto"/>
        </w:rPr>
        <w:t>月</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rPr>
        <w:t>日，</w:t>
      </w:r>
      <w:r>
        <w:rPr>
          <w:rFonts w:hint="eastAsia" w:ascii="仿宋" w:hAnsi="仿宋" w:eastAsia="仿宋" w:cs="仿宋"/>
          <w:spacing w:val="0"/>
          <w:sz w:val="24"/>
          <w:szCs w:val="24"/>
          <w:highlight w:val="none"/>
          <w:u w:val="single" w:color="auto"/>
        </w:rPr>
        <w:t xml:space="preserve"> (采购人名称)    以  (政府采购方式) </w:t>
      </w:r>
      <w:r>
        <w:rPr>
          <w:rFonts w:hint="eastAsia" w:ascii="仿宋" w:hAnsi="仿宋" w:eastAsia="仿宋" w:cs="仿宋"/>
          <w:spacing w:val="0"/>
          <w:sz w:val="24"/>
          <w:szCs w:val="24"/>
          <w:highlight w:val="none"/>
        </w:rPr>
        <w:t>对</w:t>
      </w:r>
      <w:r>
        <w:rPr>
          <w:rFonts w:hint="eastAsia" w:ascii="仿宋" w:hAnsi="仿宋" w:eastAsia="仿宋" w:cs="仿宋"/>
          <w:spacing w:val="0"/>
          <w:sz w:val="24"/>
          <w:szCs w:val="24"/>
          <w:highlight w:val="none"/>
          <w:u w:val="single" w:color="auto"/>
        </w:rPr>
        <w:tab/>
      </w:r>
      <w:r>
        <w:rPr>
          <w:rFonts w:hint="eastAsia" w:ascii="仿宋" w:hAnsi="仿宋" w:eastAsia="仿宋" w:cs="仿宋"/>
          <w:spacing w:val="0"/>
          <w:sz w:val="24"/>
          <w:szCs w:val="24"/>
          <w:highlight w:val="none"/>
          <w:u w:val="single" w:color="auto"/>
        </w:rPr>
        <w:t xml:space="preserve">( 项目名称) </w:t>
      </w:r>
      <w:r>
        <w:rPr>
          <w:rFonts w:hint="eastAsia" w:ascii="仿宋" w:hAnsi="仿宋" w:eastAsia="仿宋" w:cs="仿宋"/>
          <w:spacing w:val="0"/>
          <w:sz w:val="24"/>
          <w:szCs w:val="24"/>
          <w:highlight w:val="none"/>
        </w:rPr>
        <w:t xml:space="preserve"> 项目进行了采购。 </w:t>
      </w:r>
      <w:r>
        <w:rPr>
          <w:rFonts w:hint="eastAsia" w:ascii="仿宋" w:hAnsi="仿宋" w:eastAsia="仿宋" w:cs="仿宋"/>
          <w:spacing w:val="0"/>
          <w:sz w:val="24"/>
          <w:szCs w:val="24"/>
          <w:highlight w:val="none"/>
          <w:u w:val="single" w:color="auto"/>
        </w:rPr>
        <w:t xml:space="preserve">经    (相关评定主体名称) </w:t>
      </w:r>
      <w:r>
        <w:rPr>
          <w:rFonts w:hint="eastAsia" w:ascii="仿宋" w:hAnsi="仿宋" w:eastAsia="仿宋" w:cs="仿宋"/>
          <w:spacing w:val="0"/>
          <w:sz w:val="24"/>
          <w:szCs w:val="24"/>
          <w:highlight w:val="none"/>
        </w:rPr>
        <w:t xml:space="preserve">评定， </w:t>
      </w:r>
      <w:r>
        <w:rPr>
          <w:rFonts w:hint="eastAsia" w:ascii="仿宋" w:hAnsi="仿宋" w:eastAsia="仿宋" w:cs="仿宋"/>
          <w:spacing w:val="0"/>
          <w:sz w:val="24"/>
          <w:szCs w:val="24"/>
          <w:highlight w:val="none"/>
          <w:u w:val="single" w:color="auto"/>
        </w:rPr>
        <w:t xml:space="preserve">  ( 中标投标人名称) </w:t>
      </w:r>
      <w:r>
        <w:rPr>
          <w:rFonts w:hint="eastAsia" w:ascii="仿宋" w:hAnsi="仿宋" w:eastAsia="仿宋" w:cs="仿宋"/>
          <w:spacing w:val="0"/>
          <w:sz w:val="24"/>
          <w:szCs w:val="24"/>
          <w:highlight w:val="none"/>
        </w:rPr>
        <w:t>为该项目中标投标人。现于中标通知书发出之日起三十日内，按照招标文件确定的事项签订本合同</w:t>
      </w:r>
      <w:bookmarkStart w:id="0" w:name="_GoBack"/>
      <w:bookmarkEnd w:id="0"/>
      <w:r>
        <w:rPr>
          <w:rFonts w:hint="eastAsia" w:ascii="仿宋" w:hAnsi="仿宋" w:eastAsia="仿宋" w:cs="仿宋"/>
          <w:spacing w:val="0"/>
          <w:sz w:val="24"/>
          <w:szCs w:val="24"/>
          <w:highlight w:val="none"/>
        </w:rPr>
        <w:t>。</w:t>
      </w:r>
    </w:p>
    <w:p w14:paraId="5FA8DD76">
      <w:pPr>
        <w:pStyle w:val="2"/>
        <w:keepNext w:val="0"/>
        <w:keepLines w:val="0"/>
        <w:pageBreakBefore w:val="0"/>
        <w:widowControl/>
        <w:tabs>
          <w:tab w:val="left" w:pos="325"/>
        </w:tabs>
        <w:kinsoku/>
        <w:wordWrap/>
        <w:overflowPunct/>
        <w:topLinePunct w:val="0"/>
        <w:autoSpaceDE w:val="0"/>
        <w:autoSpaceDN w:val="0"/>
        <w:bidi w:val="0"/>
        <w:adjustRightInd w:val="0"/>
        <w:snapToGrid w:val="0"/>
        <w:spacing w:before="176"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根据《中华人民共和国民法典》、  《中华人民共和国政府采购法》等相关法 律法规之规定，按照平等、自愿、公平和诚实信用的原则，经.</w:t>
      </w:r>
      <w:r>
        <w:rPr>
          <w:rFonts w:hint="eastAsia" w:ascii="仿宋" w:hAnsi="仿宋" w:eastAsia="仿宋" w:cs="仿宋"/>
          <w:spacing w:val="0"/>
          <w:sz w:val="24"/>
          <w:szCs w:val="24"/>
          <w:highlight w:val="none"/>
          <w:u w:val="single" w:color="auto"/>
        </w:rPr>
        <w:t xml:space="preserve"> (采购人名称)</w:t>
      </w:r>
      <w:r>
        <w:rPr>
          <w:rFonts w:hint="eastAsia" w:ascii="仿宋" w:hAnsi="仿宋" w:eastAsia="仿宋" w:cs="仿宋"/>
          <w:spacing w:val="0"/>
          <w:sz w:val="24"/>
          <w:szCs w:val="24"/>
          <w:highlight w:val="none"/>
          <w:u w:val="single" w:color="auto"/>
        </w:rPr>
        <w:tab/>
      </w:r>
      <w:r>
        <w:rPr>
          <w:rFonts w:hint="eastAsia" w:ascii="仿宋" w:hAnsi="仿宋" w:eastAsia="仿宋" w:cs="仿宋"/>
          <w:spacing w:val="0"/>
          <w:sz w:val="24"/>
          <w:szCs w:val="24"/>
          <w:highlight w:val="none"/>
          <w:u w:val="single" w:color="auto"/>
        </w:rPr>
        <w:t>(</w:t>
      </w:r>
      <w:r>
        <w:rPr>
          <w:rFonts w:hint="eastAsia" w:ascii="仿宋" w:hAnsi="仿宋" w:eastAsia="仿宋" w:cs="仿宋"/>
          <w:spacing w:val="0"/>
          <w:sz w:val="24"/>
          <w:szCs w:val="24"/>
          <w:highlight w:val="none"/>
        </w:rPr>
        <w:t>以下简称：甲方)和</w:t>
      </w:r>
      <w:r>
        <w:rPr>
          <w:rFonts w:hint="eastAsia" w:ascii="仿宋" w:hAnsi="仿宋" w:eastAsia="仿宋" w:cs="仿宋"/>
          <w:spacing w:val="0"/>
          <w:sz w:val="24"/>
          <w:szCs w:val="24"/>
          <w:highlight w:val="none"/>
          <w:u w:val="single" w:color="auto"/>
        </w:rPr>
        <w:t xml:space="preserve"> (中标投标人名称)      (</w:t>
      </w:r>
      <w:r>
        <w:rPr>
          <w:rFonts w:hint="eastAsia" w:ascii="仿宋" w:hAnsi="仿宋" w:eastAsia="仿宋" w:cs="仿宋"/>
          <w:spacing w:val="0"/>
          <w:sz w:val="24"/>
          <w:szCs w:val="24"/>
          <w:highlight w:val="none"/>
        </w:rPr>
        <w:t>以下简称：乙方)协商一致， 约定以下合同条款，以兹共同遵守、全面履行。</w:t>
      </w:r>
    </w:p>
    <w:p w14:paraId="7C763DC7">
      <w:pPr>
        <w:pStyle w:val="2"/>
        <w:keepNext w:val="0"/>
        <w:keepLines w:val="0"/>
        <w:pageBreakBefore w:val="0"/>
        <w:widowControl/>
        <w:kinsoku/>
        <w:wordWrap/>
        <w:overflowPunct/>
        <w:topLinePunct w:val="0"/>
        <w:autoSpaceDE w:val="0"/>
        <w:autoSpaceDN w:val="0"/>
        <w:bidi w:val="0"/>
        <w:adjustRightInd w:val="0"/>
        <w:snapToGrid w:val="0"/>
        <w:spacing w:before="164"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1.1</w:t>
      </w:r>
      <w:r>
        <w:rPr>
          <w:rFonts w:hint="eastAsia" w:ascii="仿宋" w:hAnsi="仿宋" w:eastAsia="仿宋" w:cs="仿宋"/>
          <w:spacing w:val="0"/>
          <w:sz w:val="24"/>
          <w:szCs w:val="24"/>
          <w:highlight w:val="none"/>
        </w:rPr>
        <w:t xml:space="preserve"> </w:t>
      </w:r>
      <w:r>
        <w:rPr>
          <w:rFonts w:hint="eastAsia" w:ascii="仿宋" w:hAnsi="仿宋" w:eastAsia="仿宋" w:cs="仿宋"/>
          <w:b/>
          <w:bCs/>
          <w:spacing w:val="0"/>
          <w:sz w:val="24"/>
          <w:szCs w:val="24"/>
          <w:highlight w:val="none"/>
        </w:rPr>
        <w:t>合同组成部分</w:t>
      </w:r>
    </w:p>
    <w:p w14:paraId="7E66899B">
      <w:pPr>
        <w:pStyle w:val="2"/>
        <w:keepNext w:val="0"/>
        <w:keepLines w:val="0"/>
        <w:pageBreakBefore w:val="0"/>
        <w:widowControl/>
        <w:kinsoku/>
        <w:wordWrap/>
        <w:overflowPunct/>
        <w:topLinePunct w:val="0"/>
        <w:autoSpaceDE w:val="0"/>
        <w:autoSpaceDN w:val="0"/>
        <w:bidi w:val="0"/>
        <w:adjustRightInd w:val="0"/>
        <w:snapToGrid w:val="0"/>
        <w:spacing w:before="118" w:line="360" w:lineRule="auto"/>
        <w:ind w:left="50" w:right="33"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下列文件为本合同的组成部分，并构成一个整体，需综合解释、相互补充。 如果下列文件内容出现不一致的情形，那么在保证按照招标文件确定的事项的前 提下，组成本合同的多个文件的优先适用顺序如下：</w:t>
      </w:r>
    </w:p>
    <w:p w14:paraId="7C6826DF">
      <w:pPr>
        <w:pStyle w:val="2"/>
        <w:keepNext w:val="0"/>
        <w:keepLines w:val="0"/>
        <w:pageBreakBefore w:val="0"/>
        <w:widowControl/>
        <w:kinsoku/>
        <w:wordWrap/>
        <w:overflowPunct/>
        <w:topLinePunct w:val="0"/>
        <w:autoSpaceDE w:val="0"/>
        <w:autoSpaceDN w:val="0"/>
        <w:bidi w:val="0"/>
        <w:adjustRightInd w:val="0"/>
        <w:snapToGrid w:val="0"/>
        <w:spacing w:before="138"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1.1.1 本合同及其补充合同、变更协议；</w:t>
      </w:r>
    </w:p>
    <w:p w14:paraId="2DF6FE3B">
      <w:pPr>
        <w:pStyle w:val="2"/>
        <w:keepNext w:val="0"/>
        <w:keepLines w:val="0"/>
        <w:pageBreakBefore w:val="0"/>
        <w:widowControl/>
        <w:kinsoku/>
        <w:wordWrap/>
        <w:overflowPunct/>
        <w:topLinePunct w:val="0"/>
        <w:autoSpaceDE w:val="0"/>
        <w:autoSpaceDN w:val="0"/>
        <w:bidi w:val="0"/>
        <w:adjustRightInd w:val="0"/>
        <w:snapToGrid w:val="0"/>
        <w:spacing w:before="97"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1.1.2 中标通知书；</w:t>
      </w:r>
    </w:p>
    <w:p w14:paraId="402D722F">
      <w:pPr>
        <w:pStyle w:val="2"/>
        <w:keepNext w:val="0"/>
        <w:keepLines w:val="0"/>
        <w:pageBreakBefore w:val="0"/>
        <w:widowControl/>
        <w:kinsoku/>
        <w:wordWrap/>
        <w:overflowPunct/>
        <w:topLinePunct w:val="0"/>
        <w:autoSpaceDE w:val="0"/>
        <w:autoSpaceDN w:val="0"/>
        <w:bidi w:val="0"/>
        <w:adjustRightInd w:val="0"/>
        <w:snapToGrid w:val="0"/>
        <w:spacing w:before="99"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1.1.3 投标文件(含澄清或者说明文件)</w:t>
      </w:r>
      <w:r>
        <w:rPr>
          <w:rFonts w:hint="eastAsia" w:ascii="仿宋" w:hAnsi="仿宋" w:eastAsia="仿宋" w:cs="仿宋"/>
          <w:spacing w:val="0"/>
          <w:sz w:val="24"/>
          <w:szCs w:val="24"/>
          <w:highlight w:val="none"/>
          <w:lang w:eastAsia="zh-CN"/>
        </w:rPr>
        <w:t>；</w:t>
      </w:r>
    </w:p>
    <w:p w14:paraId="6437E87F">
      <w:pPr>
        <w:pStyle w:val="2"/>
        <w:keepNext w:val="0"/>
        <w:keepLines w:val="0"/>
        <w:pageBreakBefore w:val="0"/>
        <w:widowControl/>
        <w:kinsoku/>
        <w:wordWrap/>
        <w:overflowPunct/>
        <w:topLinePunct w:val="0"/>
        <w:autoSpaceDE w:val="0"/>
        <w:autoSpaceDN w:val="0"/>
        <w:bidi w:val="0"/>
        <w:adjustRightInd w:val="0"/>
        <w:snapToGrid w:val="0"/>
        <w:spacing w:before="107"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1.1.4 招标文件(含澄清或者修改文件)</w:t>
      </w:r>
      <w:r>
        <w:rPr>
          <w:rFonts w:hint="eastAsia" w:ascii="仿宋" w:hAnsi="仿宋" w:eastAsia="仿宋" w:cs="仿宋"/>
          <w:spacing w:val="0"/>
          <w:sz w:val="24"/>
          <w:szCs w:val="24"/>
          <w:highlight w:val="none"/>
          <w:lang w:eastAsia="zh-CN"/>
        </w:rPr>
        <w:t>；</w:t>
      </w:r>
    </w:p>
    <w:p w14:paraId="0A6E3FE6">
      <w:pPr>
        <w:pStyle w:val="2"/>
        <w:keepNext w:val="0"/>
        <w:keepLines w:val="0"/>
        <w:pageBreakBefore w:val="0"/>
        <w:widowControl/>
        <w:kinsoku/>
        <w:wordWrap/>
        <w:overflowPunct/>
        <w:topLinePunct w:val="0"/>
        <w:autoSpaceDE w:val="0"/>
        <w:autoSpaceDN w:val="0"/>
        <w:bidi w:val="0"/>
        <w:adjustRightInd w:val="0"/>
        <w:snapToGrid w:val="0"/>
        <w:spacing w:before="107"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1.1.5 其他相关招标文件。</w:t>
      </w:r>
    </w:p>
    <w:p w14:paraId="4EC8F653">
      <w:pPr>
        <w:pStyle w:val="2"/>
        <w:keepNext w:val="0"/>
        <w:keepLines w:val="0"/>
        <w:pageBreakBefore w:val="0"/>
        <w:widowControl/>
        <w:kinsoku/>
        <w:wordWrap/>
        <w:overflowPunct/>
        <w:topLinePunct w:val="0"/>
        <w:autoSpaceDE w:val="0"/>
        <w:autoSpaceDN w:val="0"/>
        <w:bidi w:val="0"/>
        <w:adjustRightInd w:val="0"/>
        <w:snapToGrid w:val="0"/>
        <w:spacing w:before="104"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1.2标的</w:t>
      </w:r>
    </w:p>
    <w:p w14:paraId="63013851">
      <w:pPr>
        <w:pStyle w:val="2"/>
        <w:keepNext w:val="0"/>
        <w:keepLines w:val="0"/>
        <w:pageBreakBefore w:val="0"/>
        <w:widowControl/>
        <w:kinsoku/>
        <w:wordWrap/>
        <w:overflowPunct/>
        <w:topLinePunct w:val="0"/>
        <w:autoSpaceDE w:val="0"/>
        <w:autoSpaceDN w:val="0"/>
        <w:bidi w:val="0"/>
        <w:adjustRightInd w:val="0"/>
        <w:snapToGrid w:val="0"/>
        <w:spacing w:before="138"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1.2.1</w:t>
      </w:r>
      <w:r>
        <w:rPr>
          <w:rFonts w:hint="eastAsia" w:ascii="仿宋" w:hAnsi="仿宋" w:eastAsia="仿宋" w:cs="仿宋"/>
          <w:spacing w:val="0"/>
          <w:sz w:val="24"/>
          <w:szCs w:val="24"/>
          <w:highlight w:val="none"/>
          <w:lang w:val="en-US" w:eastAsia="zh-CN"/>
        </w:rPr>
        <w:t xml:space="preserve"> </w:t>
      </w:r>
      <w:r>
        <w:rPr>
          <w:rFonts w:hint="eastAsia" w:ascii="仿宋" w:hAnsi="仿宋" w:eastAsia="仿宋" w:cs="仿宋"/>
          <w:spacing w:val="0"/>
          <w:sz w:val="24"/>
          <w:szCs w:val="24"/>
          <w:highlight w:val="none"/>
        </w:rPr>
        <w:t>标的名称：</w:t>
      </w:r>
      <w:r>
        <w:rPr>
          <w:rFonts w:hint="eastAsia" w:ascii="仿宋" w:hAnsi="仿宋" w:eastAsia="仿宋" w:cs="仿宋"/>
          <w:spacing w:val="0"/>
          <w:sz w:val="24"/>
          <w:szCs w:val="24"/>
          <w:highlight w:val="none"/>
          <w:u w:val="single"/>
        </w:rPr>
        <w:t xml:space="preserve">                            </w:t>
      </w:r>
      <w:r>
        <w:rPr>
          <w:rFonts w:hint="eastAsia" w:ascii="仿宋" w:hAnsi="仿宋" w:eastAsia="仿宋" w:cs="仿宋"/>
          <w:spacing w:val="0"/>
          <w:sz w:val="24"/>
          <w:szCs w:val="24"/>
          <w:highlight w:val="none"/>
          <w:lang w:eastAsia="zh-CN"/>
        </w:rPr>
        <w:t>；</w:t>
      </w:r>
    </w:p>
    <w:p w14:paraId="620A5AB1">
      <w:pPr>
        <w:pStyle w:val="2"/>
        <w:keepNext w:val="0"/>
        <w:keepLines w:val="0"/>
        <w:pageBreakBefore w:val="0"/>
        <w:widowControl/>
        <w:kinsoku/>
        <w:wordWrap/>
        <w:overflowPunct/>
        <w:topLinePunct w:val="0"/>
        <w:autoSpaceDE w:val="0"/>
        <w:autoSpaceDN w:val="0"/>
        <w:bidi w:val="0"/>
        <w:adjustRightInd w:val="0"/>
        <w:snapToGrid w:val="0"/>
        <w:spacing w:before="115"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1.2.2 标的数量：</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u w:val="single" w:color="auto"/>
          <w:lang w:val="en-US" w:eastAsia="zh-CN"/>
        </w:rPr>
        <w:t xml:space="preserve">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lang w:eastAsia="zh-CN"/>
        </w:rPr>
        <w:t>；</w:t>
      </w:r>
    </w:p>
    <w:p w14:paraId="3B55DD4F">
      <w:pPr>
        <w:pStyle w:val="2"/>
        <w:keepNext w:val="0"/>
        <w:keepLines w:val="0"/>
        <w:pageBreakBefore w:val="0"/>
        <w:widowControl/>
        <w:kinsoku/>
        <w:wordWrap/>
        <w:overflowPunct/>
        <w:topLinePunct w:val="0"/>
        <w:autoSpaceDE w:val="0"/>
        <w:autoSpaceDN w:val="0"/>
        <w:bidi w:val="0"/>
        <w:adjustRightInd w:val="0"/>
        <w:snapToGrid w:val="0"/>
        <w:spacing w:before="88"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1.2.3 标的质量：</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u w:val="none" w:color="auto"/>
          <w:lang w:eastAsia="zh-CN"/>
        </w:rPr>
        <w:t>；</w:t>
      </w:r>
    </w:p>
    <w:p w14:paraId="3053FD0E">
      <w:pPr>
        <w:pStyle w:val="2"/>
        <w:keepNext w:val="0"/>
        <w:keepLines w:val="0"/>
        <w:pageBreakBefore w:val="0"/>
        <w:widowControl/>
        <w:kinsoku/>
        <w:wordWrap/>
        <w:overflowPunct/>
        <w:topLinePunct w:val="0"/>
        <w:autoSpaceDE w:val="0"/>
        <w:autoSpaceDN w:val="0"/>
        <w:bidi w:val="0"/>
        <w:adjustRightInd w:val="0"/>
        <w:snapToGrid w:val="0"/>
        <w:spacing w:before="110"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1.3</w:t>
      </w:r>
      <w:r>
        <w:rPr>
          <w:rFonts w:hint="eastAsia" w:ascii="仿宋" w:hAnsi="仿宋" w:eastAsia="仿宋" w:cs="仿宋"/>
          <w:spacing w:val="0"/>
          <w:sz w:val="24"/>
          <w:szCs w:val="24"/>
          <w:highlight w:val="none"/>
        </w:rPr>
        <w:t xml:space="preserve"> </w:t>
      </w:r>
      <w:r>
        <w:rPr>
          <w:rFonts w:hint="eastAsia" w:ascii="仿宋" w:hAnsi="仿宋" w:eastAsia="仿宋" w:cs="仿宋"/>
          <w:b/>
          <w:bCs/>
          <w:spacing w:val="0"/>
          <w:sz w:val="24"/>
          <w:szCs w:val="24"/>
          <w:highlight w:val="none"/>
        </w:rPr>
        <w:t>价款</w:t>
      </w:r>
    </w:p>
    <w:p w14:paraId="4433C982">
      <w:pPr>
        <w:pStyle w:val="2"/>
        <w:keepNext w:val="0"/>
        <w:keepLines w:val="0"/>
        <w:pageBreakBefore w:val="0"/>
        <w:widowControl/>
        <w:kinsoku/>
        <w:wordWrap/>
        <w:overflowPunct/>
        <w:topLinePunct w:val="0"/>
        <w:autoSpaceDE w:val="0"/>
        <w:autoSpaceDN w:val="0"/>
        <w:bidi w:val="0"/>
        <w:adjustRightInd w:val="0"/>
        <w:snapToGrid w:val="0"/>
        <w:spacing w:before="94" w:line="360" w:lineRule="auto"/>
        <w:ind w:right="55"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 xml:space="preserve">本合同总价为：¥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rPr>
        <w:t xml:space="preserve"> </w:t>
      </w:r>
      <w:r>
        <w:rPr>
          <w:rFonts w:hint="eastAsia" w:ascii="仿宋" w:hAnsi="仿宋" w:eastAsia="仿宋" w:cs="仿宋"/>
          <w:spacing w:val="0"/>
          <w:position w:val="1"/>
          <w:sz w:val="24"/>
          <w:szCs w:val="24"/>
          <w:highlight w:val="none"/>
        </w:rPr>
        <w:t xml:space="preserve">元(大写： </w:t>
      </w:r>
      <w:r>
        <w:rPr>
          <w:rFonts w:hint="eastAsia" w:ascii="仿宋" w:hAnsi="仿宋" w:eastAsia="仿宋" w:cs="仿宋"/>
          <w:spacing w:val="0"/>
          <w:position w:val="1"/>
          <w:sz w:val="24"/>
          <w:szCs w:val="24"/>
          <w:highlight w:val="none"/>
          <w:u w:val="single" w:color="auto"/>
        </w:rPr>
        <w:t xml:space="preserve">                 </w:t>
      </w:r>
      <w:r>
        <w:rPr>
          <w:rFonts w:hint="eastAsia" w:ascii="仿宋" w:hAnsi="仿宋" w:eastAsia="仿宋" w:cs="仿宋"/>
          <w:spacing w:val="0"/>
          <w:sz w:val="24"/>
          <w:szCs w:val="24"/>
          <w:highlight w:val="none"/>
        </w:rPr>
        <w:t>元人民币)。</w:t>
      </w:r>
    </w:p>
    <w:p w14:paraId="1991DE7D">
      <w:pPr>
        <w:pStyle w:val="2"/>
        <w:keepNext w:val="0"/>
        <w:keepLines w:val="0"/>
        <w:pageBreakBefore w:val="0"/>
        <w:widowControl/>
        <w:kinsoku/>
        <w:wordWrap/>
        <w:overflowPunct/>
        <w:topLinePunct w:val="0"/>
        <w:autoSpaceDE w:val="0"/>
        <w:autoSpaceDN w:val="0"/>
        <w:bidi w:val="0"/>
        <w:adjustRightInd w:val="0"/>
        <w:snapToGrid w:val="0"/>
        <w:spacing w:before="55"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1.4付款方式和发票开具方式</w:t>
      </w:r>
    </w:p>
    <w:p w14:paraId="6061CE89">
      <w:pPr>
        <w:pStyle w:val="2"/>
        <w:keepNext w:val="0"/>
        <w:keepLines w:val="0"/>
        <w:pageBreakBefore w:val="0"/>
        <w:widowControl/>
        <w:kinsoku/>
        <w:wordWrap/>
        <w:overflowPunct/>
        <w:topLinePunct w:val="0"/>
        <w:autoSpaceDE w:val="0"/>
        <w:autoSpaceDN w:val="0"/>
        <w:bidi w:val="0"/>
        <w:adjustRightInd w:val="0"/>
        <w:snapToGrid w:val="0"/>
        <w:spacing w:before="88"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 xml:space="preserve">1.4.1付款方式：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u w:val="none" w:color="auto"/>
          <w:lang w:eastAsia="zh-CN"/>
        </w:rPr>
        <w:t>；</w:t>
      </w:r>
    </w:p>
    <w:p w14:paraId="6FFE35D9">
      <w:pPr>
        <w:pStyle w:val="2"/>
        <w:keepNext w:val="0"/>
        <w:keepLines w:val="0"/>
        <w:pageBreakBefore w:val="0"/>
        <w:widowControl/>
        <w:kinsoku/>
        <w:wordWrap/>
        <w:overflowPunct/>
        <w:topLinePunct w:val="0"/>
        <w:autoSpaceDE w:val="0"/>
        <w:autoSpaceDN w:val="0"/>
        <w:bidi w:val="0"/>
        <w:adjustRightInd w:val="0"/>
        <w:snapToGrid w:val="0"/>
        <w:spacing w:before="85"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 xml:space="preserve">1.4.2 发票开具方式：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lang w:eastAsia="zh-CN"/>
        </w:rPr>
        <w:t>；</w:t>
      </w:r>
    </w:p>
    <w:p w14:paraId="2F45D591">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1.5</w:t>
      </w:r>
      <w:r>
        <w:rPr>
          <w:rFonts w:hint="eastAsia" w:ascii="仿宋" w:hAnsi="仿宋" w:eastAsia="仿宋" w:cs="仿宋"/>
          <w:spacing w:val="0"/>
          <w:sz w:val="24"/>
          <w:szCs w:val="24"/>
          <w:highlight w:val="none"/>
        </w:rPr>
        <w:t xml:space="preserve"> </w:t>
      </w:r>
      <w:r>
        <w:rPr>
          <w:rFonts w:hint="eastAsia" w:ascii="仿宋" w:hAnsi="仿宋" w:eastAsia="仿宋" w:cs="仿宋"/>
          <w:b/>
          <w:bCs/>
          <w:spacing w:val="0"/>
          <w:sz w:val="24"/>
          <w:szCs w:val="24"/>
          <w:highlight w:val="none"/>
        </w:rPr>
        <w:t>履行期限、地点和方式</w:t>
      </w:r>
    </w:p>
    <w:p w14:paraId="4B198F9C">
      <w:pPr>
        <w:pStyle w:val="2"/>
        <w:keepNext w:val="0"/>
        <w:keepLines w:val="0"/>
        <w:pageBreakBefore w:val="0"/>
        <w:widowControl/>
        <w:kinsoku/>
        <w:wordWrap/>
        <w:overflowPunct/>
        <w:topLinePunct w:val="0"/>
        <w:autoSpaceDE w:val="0"/>
        <w:autoSpaceDN w:val="0"/>
        <w:bidi w:val="0"/>
        <w:adjustRightInd w:val="0"/>
        <w:snapToGrid w:val="0"/>
        <w:spacing w:before="87"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 xml:space="preserve">1.5.1 履行期限：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u w:val="none" w:color="auto"/>
          <w:lang w:eastAsia="zh-CN"/>
        </w:rPr>
        <w:t>；</w:t>
      </w:r>
    </w:p>
    <w:p w14:paraId="39D263DB">
      <w:pPr>
        <w:pStyle w:val="2"/>
        <w:keepNext w:val="0"/>
        <w:keepLines w:val="0"/>
        <w:pageBreakBefore w:val="0"/>
        <w:widowControl/>
        <w:kinsoku/>
        <w:wordWrap/>
        <w:overflowPunct/>
        <w:topLinePunct w:val="0"/>
        <w:autoSpaceDE w:val="0"/>
        <w:autoSpaceDN w:val="0"/>
        <w:bidi w:val="0"/>
        <w:adjustRightInd w:val="0"/>
        <w:snapToGrid w:val="0"/>
        <w:spacing w:before="74"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 xml:space="preserve">1.5.2 履行地点：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u w:val="none" w:color="auto"/>
          <w:lang w:eastAsia="zh-CN"/>
        </w:rPr>
        <w:t>；</w:t>
      </w:r>
    </w:p>
    <w:p w14:paraId="3178DD79">
      <w:pPr>
        <w:pStyle w:val="2"/>
        <w:keepNext w:val="0"/>
        <w:keepLines w:val="0"/>
        <w:pageBreakBefore w:val="0"/>
        <w:widowControl/>
        <w:kinsoku/>
        <w:wordWrap/>
        <w:overflowPunct/>
        <w:topLinePunct w:val="0"/>
        <w:autoSpaceDE w:val="0"/>
        <w:autoSpaceDN w:val="0"/>
        <w:bidi w:val="0"/>
        <w:adjustRightInd w:val="0"/>
        <w:snapToGrid w:val="0"/>
        <w:spacing w:before="104" w:line="360" w:lineRule="auto"/>
        <w:ind w:firstLine="480" w:firstLineChars="200"/>
        <w:jc w:val="both"/>
        <w:textAlignment w:val="baseline"/>
        <w:rPr>
          <w:rFonts w:hint="eastAsia" w:ascii="仿宋" w:hAnsi="仿宋" w:eastAsia="仿宋" w:cs="仿宋"/>
          <w:spacing w:val="0"/>
          <w:sz w:val="24"/>
          <w:szCs w:val="24"/>
          <w:highlight w:val="none"/>
          <w:lang w:eastAsia="zh-CN"/>
        </w:rPr>
      </w:pPr>
      <w:r>
        <w:rPr>
          <w:rFonts w:hint="eastAsia" w:ascii="仿宋" w:hAnsi="仿宋" w:eastAsia="仿宋" w:cs="仿宋"/>
          <w:spacing w:val="0"/>
          <w:sz w:val="24"/>
          <w:szCs w:val="24"/>
          <w:highlight w:val="none"/>
        </w:rPr>
        <w:t xml:space="preserve">1.5.3 履行方式：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u w:val="none" w:color="auto"/>
          <w:lang w:eastAsia="zh-CN"/>
        </w:rPr>
        <w:t>；</w:t>
      </w:r>
    </w:p>
    <w:p w14:paraId="1975BE30">
      <w:pPr>
        <w:pStyle w:val="2"/>
        <w:keepNext w:val="0"/>
        <w:keepLines w:val="0"/>
        <w:pageBreakBefore w:val="0"/>
        <w:widowControl/>
        <w:kinsoku/>
        <w:wordWrap/>
        <w:overflowPunct/>
        <w:topLinePunct w:val="0"/>
        <w:autoSpaceDE w:val="0"/>
        <w:autoSpaceDN w:val="0"/>
        <w:bidi w:val="0"/>
        <w:adjustRightInd w:val="0"/>
        <w:snapToGrid w:val="0"/>
        <w:spacing w:before="80"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1.6违约责任</w:t>
      </w:r>
    </w:p>
    <w:p w14:paraId="413603D4">
      <w:pPr>
        <w:pStyle w:val="2"/>
        <w:keepNext w:val="0"/>
        <w:keepLines w:val="0"/>
        <w:pageBreakBefore w:val="0"/>
        <w:widowControl/>
        <w:kinsoku/>
        <w:wordWrap/>
        <w:overflowPunct/>
        <w:topLinePunct w:val="0"/>
        <w:autoSpaceDE w:val="0"/>
        <w:autoSpaceDN w:val="0"/>
        <w:bidi w:val="0"/>
        <w:adjustRightInd w:val="0"/>
        <w:snapToGrid w:val="0"/>
        <w:spacing w:before="105" w:line="360" w:lineRule="auto"/>
        <w:ind w:left="23"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 xml:space="preserve">1.6.1 除不可抗力外，如果乙方没有按照本合同约定的期限、地点和方式履行，那么甲方可要求乙方支付违约金，违约金按每迟延履行一日的应提供而未提供服务价格的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rPr>
        <w:t xml:space="preserve"> %计算，最高限额为本合同总价的</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rPr>
        <w:t xml:space="preserve"> %;迟延履行的违约金计算数额达到前述最高限额之日起，甲方有权在要求乙方支付违约金的同时，书面通知乙方解除本合同；</w:t>
      </w:r>
    </w:p>
    <w:p w14:paraId="126D782D">
      <w:pPr>
        <w:pStyle w:val="2"/>
        <w:keepNext w:val="0"/>
        <w:keepLines w:val="0"/>
        <w:pageBreakBefore w:val="0"/>
        <w:widowControl/>
        <w:kinsoku/>
        <w:wordWrap/>
        <w:overflowPunct/>
        <w:topLinePunct w:val="0"/>
        <w:autoSpaceDE w:val="0"/>
        <w:autoSpaceDN w:val="0"/>
        <w:bidi w:val="0"/>
        <w:adjustRightInd w:val="0"/>
        <w:snapToGrid w:val="0"/>
        <w:spacing w:before="158" w:line="360" w:lineRule="auto"/>
        <w:ind w:left="23" w:right="36"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 xml:space="preserve">1.6.2 除不可抗力外，如果甲方没有按照本合同约定的付款方式付款，那么乙方可要求甲方支付违约金，违约金按每迟延付款一日的应付而未付款的 </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rPr>
        <w:t xml:space="preserve"> %计算，最高限额为本合同总价的</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rPr>
        <w:t xml:space="preserve"> %</w:t>
      </w:r>
      <w:r>
        <w:rPr>
          <w:rFonts w:hint="eastAsia" w:ascii="仿宋" w:hAnsi="仿宋" w:eastAsia="仿宋" w:cs="仿宋"/>
          <w:spacing w:val="0"/>
          <w:sz w:val="24"/>
          <w:szCs w:val="24"/>
          <w:highlight w:val="none"/>
          <w:lang w:eastAsia="zh-CN"/>
        </w:rPr>
        <w:t>；</w:t>
      </w:r>
      <w:r>
        <w:rPr>
          <w:rFonts w:hint="eastAsia" w:ascii="仿宋" w:hAnsi="仿宋" w:eastAsia="仿宋" w:cs="仿宋"/>
          <w:spacing w:val="0"/>
          <w:sz w:val="24"/>
          <w:szCs w:val="24"/>
          <w:highlight w:val="none"/>
        </w:rPr>
        <w:t>迟延付款的违约金计算数额达到前述最高限额之日起，乙方有权在要求甲方支付违约金的同时，书面通知甲方解除本合同；</w:t>
      </w:r>
    </w:p>
    <w:p w14:paraId="09285521">
      <w:pPr>
        <w:pStyle w:val="2"/>
        <w:keepNext w:val="0"/>
        <w:keepLines w:val="0"/>
        <w:pageBreakBefore w:val="0"/>
        <w:widowControl/>
        <w:kinsoku/>
        <w:wordWrap/>
        <w:overflowPunct/>
        <w:topLinePunct w:val="0"/>
        <w:autoSpaceDE w:val="0"/>
        <w:autoSpaceDN w:val="0"/>
        <w:bidi w:val="0"/>
        <w:adjustRightInd w:val="0"/>
        <w:snapToGrid w:val="0"/>
        <w:spacing w:before="160" w:line="360" w:lineRule="auto"/>
        <w:ind w:left="23" w:right="108"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27CAEC5A">
      <w:pPr>
        <w:pStyle w:val="2"/>
        <w:keepNext w:val="0"/>
        <w:keepLines w:val="0"/>
        <w:pageBreakBefore w:val="0"/>
        <w:widowControl/>
        <w:kinsoku/>
        <w:wordWrap/>
        <w:overflowPunct/>
        <w:topLinePunct w:val="0"/>
        <w:autoSpaceDE w:val="0"/>
        <w:autoSpaceDN w:val="0"/>
        <w:bidi w:val="0"/>
        <w:adjustRightInd w:val="0"/>
        <w:snapToGrid w:val="0"/>
        <w:spacing w:before="178" w:line="360" w:lineRule="auto"/>
        <w:ind w:left="23" w:right="11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C95CD04">
      <w:pPr>
        <w:pStyle w:val="2"/>
        <w:keepNext w:val="0"/>
        <w:keepLines w:val="0"/>
        <w:pageBreakBefore w:val="0"/>
        <w:widowControl/>
        <w:kinsoku/>
        <w:wordWrap/>
        <w:overflowPunct/>
        <w:topLinePunct w:val="0"/>
        <w:autoSpaceDE w:val="0"/>
        <w:autoSpaceDN w:val="0"/>
        <w:bidi w:val="0"/>
        <w:adjustRightInd w:val="0"/>
        <w:snapToGrid w:val="0"/>
        <w:spacing w:before="163" w:line="360" w:lineRule="auto"/>
        <w:ind w:left="23" w:right="49"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402AF28">
      <w:pPr>
        <w:pStyle w:val="2"/>
        <w:keepNext w:val="0"/>
        <w:keepLines w:val="0"/>
        <w:pageBreakBefore w:val="0"/>
        <w:widowControl/>
        <w:kinsoku/>
        <w:wordWrap/>
        <w:overflowPunct/>
        <w:topLinePunct w:val="0"/>
        <w:autoSpaceDE w:val="0"/>
        <w:autoSpaceDN w:val="0"/>
        <w:bidi w:val="0"/>
        <w:adjustRightInd w:val="0"/>
        <w:snapToGrid w:val="0"/>
        <w:spacing w:before="154" w:line="360" w:lineRule="auto"/>
        <w:ind w:left="23" w:right="119"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1.6.6 如果出现政府采购监督管理部门在处理投诉事项期间，书面通知甲方暂停采购活动的情形，或者询问或质疑事项可能影响中标结果的，导致甲方中止履行合同的情形，均不视为甲方违约。</w:t>
      </w:r>
    </w:p>
    <w:p w14:paraId="074E95C2">
      <w:pPr>
        <w:pStyle w:val="2"/>
        <w:keepNext w:val="0"/>
        <w:keepLines w:val="0"/>
        <w:pageBreakBefore w:val="0"/>
        <w:widowControl/>
        <w:kinsoku/>
        <w:wordWrap/>
        <w:overflowPunct/>
        <w:topLinePunct w:val="0"/>
        <w:autoSpaceDE w:val="0"/>
        <w:autoSpaceDN w:val="0"/>
        <w:bidi w:val="0"/>
        <w:adjustRightInd w:val="0"/>
        <w:snapToGrid w:val="0"/>
        <w:spacing w:before="130"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1.7合同争议的解决</w:t>
      </w:r>
    </w:p>
    <w:p w14:paraId="44BDC0EE">
      <w:pPr>
        <w:pStyle w:val="2"/>
        <w:keepNext w:val="0"/>
        <w:keepLines w:val="0"/>
        <w:pageBreakBefore w:val="0"/>
        <w:widowControl/>
        <w:kinsoku/>
        <w:wordWrap/>
        <w:overflowPunct/>
        <w:topLinePunct w:val="0"/>
        <w:autoSpaceDE w:val="0"/>
        <w:autoSpaceDN w:val="0"/>
        <w:bidi w:val="0"/>
        <w:adjustRightInd w:val="0"/>
        <w:snapToGrid w:val="0"/>
        <w:spacing w:before="58" w:line="360" w:lineRule="auto"/>
        <w:ind w:left="93"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本合同履行过程中发生的任何争议，双方当事人均可通过和解或者调解解决：不愿和解、调解或者和解、调解不成的，可以选择下列第</w:t>
      </w:r>
      <w:r>
        <w:rPr>
          <w:rFonts w:hint="eastAsia" w:ascii="仿宋" w:hAnsi="仿宋" w:eastAsia="仿宋" w:cs="仿宋"/>
          <w:spacing w:val="0"/>
          <w:sz w:val="24"/>
          <w:szCs w:val="24"/>
          <w:highlight w:val="none"/>
          <w:u w:val="single" w:color="auto"/>
        </w:rPr>
        <w:t xml:space="preserve">    </w:t>
      </w:r>
      <w:r>
        <w:rPr>
          <w:rFonts w:hint="eastAsia" w:ascii="仿宋" w:hAnsi="仿宋" w:eastAsia="仿宋" w:cs="仿宋"/>
          <w:spacing w:val="0"/>
          <w:sz w:val="24"/>
          <w:szCs w:val="24"/>
          <w:highlight w:val="none"/>
        </w:rPr>
        <w:t>种方式解决：</w:t>
      </w:r>
    </w:p>
    <w:p w14:paraId="0C070D42">
      <w:pPr>
        <w:pStyle w:val="2"/>
        <w:keepNext w:val="0"/>
        <w:keepLines w:val="0"/>
        <w:pageBreakBefore w:val="0"/>
        <w:widowControl/>
        <w:kinsoku/>
        <w:wordWrap/>
        <w:overflowPunct/>
        <w:topLinePunct w:val="0"/>
        <w:autoSpaceDE w:val="0"/>
        <w:autoSpaceDN w:val="0"/>
        <w:bidi w:val="0"/>
        <w:adjustRightInd w:val="0"/>
        <w:snapToGrid w:val="0"/>
        <w:spacing w:before="99" w:line="360" w:lineRule="auto"/>
        <w:ind w:left="13"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1.7.1 将争议提</w:t>
      </w:r>
      <w:r>
        <w:rPr>
          <w:rFonts w:hint="eastAsia" w:ascii="仿宋" w:hAnsi="仿宋" w:eastAsia="仿宋" w:cs="仿宋"/>
          <w:spacing w:val="0"/>
          <w:sz w:val="24"/>
          <w:szCs w:val="24"/>
          <w:highlight w:val="none"/>
          <w:u w:val="single" w:color="auto"/>
        </w:rPr>
        <w:t xml:space="preserve">交               </w:t>
      </w:r>
      <w:r>
        <w:rPr>
          <w:rFonts w:hint="eastAsia" w:ascii="仿宋" w:hAnsi="仿宋" w:eastAsia="仿宋" w:cs="仿宋"/>
          <w:spacing w:val="0"/>
          <w:sz w:val="24"/>
          <w:szCs w:val="24"/>
          <w:highlight w:val="none"/>
        </w:rPr>
        <w:t>仲裁委员会依申请仲裁时其现行有效的 仲裁规则裁决；</w:t>
      </w:r>
    </w:p>
    <w:p w14:paraId="6B5869B6">
      <w:pPr>
        <w:pStyle w:val="2"/>
        <w:keepNext w:val="0"/>
        <w:keepLines w:val="0"/>
        <w:pageBreakBefore w:val="0"/>
        <w:widowControl/>
        <w:kinsoku/>
        <w:wordWrap/>
        <w:overflowPunct/>
        <w:topLinePunct w:val="0"/>
        <w:autoSpaceDE w:val="0"/>
        <w:autoSpaceDN w:val="0"/>
        <w:bidi w:val="0"/>
        <w:adjustRightInd w:val="0"/>
        <w:snapToGrid w:val="0"/>
        <w:spacing w:before="136" w:line="360" w:lineRule="auto"/>
        <w:ind w:left="13" w:right="157"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1.7.2 向</w:t>
      </w:r>
      <w:r>
        <w:rPr>
          <w:rFonts w:hint="eastAsia" w:ascii="仿宋" w:hAnsi="仿宋" w:eastAsia="仿宋" w:cs="仿宋"/>
          <w:spacing w:val="0"/>
          <w:sz w:val="24"/>
          <w:szCs w:val="24"/>
          <w:highlight w:val="none"/>
          <w:u w:val="single" w:color="auto"/>
        </w:rPr>
        <w:t xml:space="preserve"> (被告住所地、合同履行地、合同签订地、原告住所地、标的物所在地等与争议有实际联系的地点中选出的人民法院名称)</w:t>
      </w:r>
      <w:r>
        <w:rPr>
          <w:rFonts w:hint="eastAsia" w:ascii="仿宋" w:hAnsi="仿宋" w:eastAsia="仿宋" w:cs="仿宋"/>
          <w:spacing w:val="0"/>
          <w:sz w:val="24"/>
          <w:szCs w:val="24"/>
          <w:highlight w:val="none"/>
        </w:rPr>
        <w:t>人民法院起诉。</w:t>
      </w:r>
    </w:p>
    <w:p w14:paraId="5AE39239">
      <w:pPr>
        <w:pStyle w:val="2"/>
        <w:keepNext w:val="0"/>
        <w:keepLines w:val="0"/>
        <w:pageBreakBefore w:val="0"/>
        <w:widowControl/>
        <w:kinsoku/>
        <w:wordWrap/>
        <w:overflowPunct/>
        <w:topLinePunct w:val="0"/>
        <w:autoSpaceDE w:val="0"/>
        <w:autoSpaceDN w:val="0"/>
        <w:bidi w:val="0"/>
        <w:adjustRightInd w:val="0"/>
        <w:snapToGrid w:val="0"/>
        <w:spacing w:before="152" w:line="360" w:lineRule="auto"/>
        <w:ind w:firstLine="482" w:firstLineChars="200"/>
        <w:jc w:val="both"/>
        <w:textAlignment w:val="baseline"/>
        <w:outlineLvl w:val="2"/>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1.8合同生效</w:t>
      </w:r>
    </w:p>
    <w:p w14:paraId="2942B504">
      <w:pPr>
        <w:pStyle w:val="2"/>
        <w:keepNext w:val="0"/>
        <w:keepLines w:val="0"/>
        <w:pageBreakBefore w:val="0"/>
        <w:widowControl/>
        <w:kinsoku/>
        <w:wordWrap/>
        <w:overflowPunct/>
        <w:topLinePunct w:val="0"/>
        <w:autoSpaceDE w:val="0"/>
        <w:autoSpaceDN w:val="0"/>
        <w:bidi w:val="0"/>
        <w:adjustRightInd w:val="0"/>
        <w:snapToGrid w:val="0"/>
        <w:spacing w:before="87"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本合同自双方当事人盖章或者签字时生效。</w:t>
      </w:r>
    </w:p>
    <w:tbl>
      <w:tblPr>
        <w:tblStyle w:val="7"/>
        <w:tblW w:w="0" w:type="auto"/>
        <w:tblInd w:w="13"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558"/>
        <w:gridCol w:w="4631"/>
      </w:tblGrid>
      <w:tr w14:paraId="6270BF9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0" w:hRule="atLeast"/>
        </w:trPr>
        <w:tc>
          <w:tcPr>
            <w:tcW w:w="3558" w:type="dxa"/>
            <w:noWrap w:val="0"/>
            <w:vAlign w:val="top"/>
          </w:tcPr>
          <w:p w14:paraId="7A398B92">
            <w:pPr>
              <w:pStyle w:val="6"/>
              <w:keepNext w:val="0"/>
              <w:keepLines w:val="0"/>
              <w:pageBreakBefore w:val="0"/>
              <w:widowControl/>
              <w:kinsoku/>
              <w:wordWrap/>
              <w:overflowPunct/>
              <w:topLinePunct w:val="0"/>
              <w:autoSpaceDE w:val="0"/>
              <w:autoSpaceDN w:val="0"/>
              <w:bidi w:val="0"/>
              <w:adjustRightInd w:val="0"/>
              <w:snapToGrid w:val="0"/>
              <w:spacing w:before="9" w:line="360" w:lineRule="auto"/>
              <w:ind w:left="3" w:firstLine="482"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甲方：</w:t>
            </w:r>
          </w:p>
        </w:tc>
        <w:tc>
          <w:tcPr>
            <w:tcW w:w="4631" w:type="dxa"/>
            <w:noWrap w:val="0"/>
            <w:vAlign w:val="top"/>
          </w:tcPr>
          <w:p w14:paraId="000E552A">
            <w:pPr>
              <w:pStyle w:val="6"/>
              <w:keepNext w:val="0"/>
              <w:keepLines w:val="0"/>
              <w:pageBreakBefore w:val="0"/>
              <w:widowControl/>
              <w:kinsoku/>
              <w:wordWrap/>
              <w:overflowPunct/>
              <w:topLinePunct w:val="0"/>
              <w:autoSpaceDE w:val="0"/>
              <w:autoSpaceDN w:val="0"/>
              <w:bidi w:val="0"/>
              <w:adjustRightInd w:val="0"/>
              <w:snapToGrid w:val="0"/>
              <w:spacing w:before="9" w:line="360" w:lineRule="auto"/>
              <w:ind w:left="3" w:firstLine="482"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b/>
                <w:bCs/>
                <w:spacing w:val="0"/>
                <w:sz w:val="24"/>
                <w:szCs w:val="24"/>
                <w:highlight w:val="none"/>
              </w:rPr>
              <w:t>乙方：</w:t>
            </w:r>
          </w:p>
        </w:tc>
      </w:tr>
      <w:tr w14:paraId="14FBB83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1" w:hRule="atLeast"/>
        </w:trPr>
        <w:tc>
          <w:tcPr>
            <w:tcW w:w="3558" w:type="dxa"/>
            <w:noWrap w:val="0"/>
            <w:vAlign w:val="top"/>
          </w:tcPr>
          <w:p w14:paraId="40AB40C3">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统一社会信用代码：</w:t>
            </w:r>
          </w:p>
        </w:tc>
        <w:tc>
          <w:tcPr>
            <w:tcW w:w="4631" w:type="dxa"/>
            <w:noWrap w:val="0"/>
            <w:vAlign w:val="top"/>
          </w:tcPr>
          <w:p w14:paraId="1DB1C827">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统一社会信用代码或身份证号码：</w:t>
            </w:r>
          </w:p>
        </w:tc>
      </w:tr>
      <w:tr w14:paraId="748466D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5" w:hRule="atLeast"/>
        </w:trPr>
        <w:tc>
          <w:tcPr>
            <w:tcW w:w="3558" w:type="dxa"/>
            <w:noWrap w:val="0"/>
            <w:vAlign w:val="top"/>
          </w:tcPr>
          <w:p w14:paraId="09ABC407">
            <w:pPr>
              <w:pStyle w:val="6"/>
              <w:keepNext w:val="0"/>
              <w:keepLines w:val="0"/>
              <w:pageBreakBefore w:val="0"/>
              <w:widowControl/>
              <w:kinsoku/>
              <w:wordWrap/>
              <w:overflowPunct/>
              <w:topLinePunct w:val="0"/>
              <w:autoSpaceDE w:val="0"/>
              <w:autoSpaceDN w:val="0"/>
              <w:bidi w:val="0"/>
              <w:adjustRightInd w:val="0"/>
              <w:snapToGrid w:val="0"/>
              <w:spacing w:before="261"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住所：</w:t>
            </w:r>
          </w:p>
        </w:tc>
        <w:tc>
          <w:tcPr>
            <w:tcW w:w="4631" w:type="dxa"/>
            <w:noWrap w:val="0"/>
            <w:vAlign w:val="top"/>
          </w:tcPr>
          <w:p w14:paraId="1DFC2639">
            <w:pPr>
              <w:pStyle w:val="6"/>
              <w:keepNext w:val="0"/>
              <w:keepLines w:val="0"/>
              <w:pageBreakBefore w:val="0"/>
              <w:widowControl/>
              <w:kinsoku/>
              <w:wordWrap/>
              <w:overflowPunct/>
              <w:topLinePunct w:val="0"/>
              <w:autoSpaceDE w:val="0"/>
              <w:autoSpaceDN w:val="0"/>
              <w:bidi w:val="0"/>
              <w:adjustRightInd w:val="0"/>
              <w:snapToGrid w:val="0"/>
              <w:spacing w:before="261"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住所：</w:t>
            </w:r>
          </w:p>
        </w:tc>
      </w:tr>
      <w:tr w14:paraId="613B567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5" w:hRule="atLeast"/>
        </w:trPr>
        <w:tc>
          <w:tcPr>
            <w:tcW w:w="3558" w:type="dxa"/>
            <w:noWrap w:val="0"/>
            <w:vAlign w:val="top"/>
          </w:tcPr>
          <w:p w14:paraId="4FC87327">
            <w:pPr>
              <w:pStyle w:val="6"/>
              <w:keepNext w:val="0"/>
              <w:keepLines w:val="0"/>
              <w:pageBreakBefore w:val="0"/>
              <w:widowControl/>
              <w:kinsoku/>
              <w:wordWrap/>
              <w:overflowPunct/>
              <w:topLinePunct w:val="0"/>
              <w:autoSpaceDE w:val="0"/>
              <w:autoSpaceDN w:val="0"/>
              <w:bidi w:val="0"/>
              <w:adjustRightInd w:val="0"/>
              <w:snapToGrid w:val="0"/>
              <w:spacing w:before="65"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法定代表人</w:t>
            </w:r>
          </w:p>
        </w:tc>
        <w:tc>
          <w:tcPr>
            <w:tcW w:w="4631" w:type="dxa"/>
            <w:noWrap w:val="0"/>
            <w:vAlign w:val="top"/>
          </w:tcPr>
          <w:p w14:paraId="70686649">
            <w:pPr>
              <w:pStyle w:val="6"/>
              <w:keepNext w:val="0"/>
              <w:keepLines w:val="0"/>
              <w:pageBreakBefore w:val="0"/>
              <w:widowControl/>
              <w:kinsoku/>
              <w:wordWrap/>
              <w:overflowPunct/>
              <w:topLinePunct w:val="0"/>
              <w:autoSpaceDE w:val="0"/>
              <w:autoSpaceDN w:val="0"/>
              <w:bidi w:val="0"/>
              <w:adjustRightInd w:val="0"/>
              <w:snapToGrid w:val="0"/>
              <w:spacing w:before="65"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法定代表人</w:t>
            </w:r>
          </w:p>
        </w:tc>
      </w:tr>
      <w:tr w14:paraId="0110349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1" w:hRule="atLeast"/>
        </w:trPr>
        <w:tc>
          <w:tcPr>
            <w:tcW w:w="3558" w:type="dxa"/>
            <w:noWrap w:val="0"/>
            <w:vAlign w:val="top"/>
          </w:tcPr>
          <w:p w14:paraId="25A2EBBE">
            <w:pPr>
              <w:pStyle w:val="6"/>
              <w:keepNext w:val="0"/>
              <w:keepLines w:val="0"/>
              <w:pageBreakBefore w:val="0"/>
              <w:widowControl/>
              <w:kinsoku/>
              <w:wordWrap/>
              <w:overflowPunct/>
              <w:topLinePunct w:val="0"/>
              <w:autoSpaceDE w:val="0"/>
              <w:autoSpaceDN w:val="0"/>
              <w:bidi w:val="0"/>
              <w:adjustRightInd w:val="0"/>
              <w:snapToGrid w:val="0"/>
              <w:spacing w:before="6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或授权代表(签字):</w:t>
            </w:r>
          </w:p>
        </w:tc>
        <w:tc>
          <w:tcPr>
            <w:tcW w:w="4631" w:type="dxa"/>
            <w:noWrap w:val="0"/>
            <w:vAlign w:val="top"/>
          </w:tcPr>
          <w:p w14:paraId="52242B14">
            <w:pPr>
              <w:pStyle w:val="6"/>
              <w:keepNext w:val="0"/>
              <w:keepLines w:val="0"/>
              <w:pageBreakBefore w:val="0"/>
              <w:widowControl/>
              <w:kinsoku/>
              <w:wordWrap/>
              <w:overflowPunct/>
              <w:topLinePunct w:val="0"/>
              <w:autoSpaceDE w:val="0"/>
              <w:autoSpaceDN w:val="0"/>
              <w:bidi w:val="0"/>
              <w:adjustRightInd w:val="0"/>
              <w:snapToGrid w:val="0"/>
              <w:spacing w:before="60" w:line="360" w:lineRule="auto"/>
              <w:ind w:left="150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或授权代表(签字):</w:t>
            </w:r>
          </w:p>
        </w:tc>
      </w:tr>
      <w:tr w14:paraId="59080CB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0" w:hRule="atLeast"/>
        </w:trPr>
        <w:tc>
          <w:tcPr>
            <w:tcW w:w="3558" w:type="dxa"/>
            <w:noWrap w:val="0"/>
            <w:vAlign w:val="top"/>
          </w:tcPr>
          <w:p w14:paraId="720D6073">
            <w:pPr>
              <w:pStyle w:val="6"/>
              <w:keepNext w:val="0"/>
              <w:keepLines w:val="0"/>
              <w:pageBreakBefore w:val="0"/>
              <w:widowControl/>
              <w:kinsoku/>
              <w:wordWrap/>
              <w:overflowPunct/>
              <w:topLinePunct w:val="0"/>
              <w:autoSpaceDE w:val="0"/>
              <w:autoSpaceDN w:val="0"/>
              <w:bidi w:val="0"/>
              <w:adjustRightInd w:val="0"/>
              <w:snapToGrid w:val="0"/>
              <w:spacing w:before="72"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联系人：</w:t>
            </w:r>
          </w:p>
        </w:tc>
        <w:tc>
          <w:tcPr>
            <w:tcW w:w="4631" w:type="dxa"/>
            <w:noWrap w:val="0"/>
            <w:vAlign w:val="top"/>
          </w:tcPr>
          <w:p w14:paraId="79E9AF9C">
            <w:pPr>
              <w:pStyle w:val="6"/>
              <w:keepNext w:val="0"/>
              <w:keepLines w:val="0"/>
              <w:pageBreakBefore w:val="0"/>
              <w:widowControl/>
              <w:kinsoku/>
              <w:wordWrap/>
              <w:overflowPunct/>
              <w:topLinePunct w:val="0"/>
              <w:autoSpaceDE w:val="0"/>
              <w:autoSpaceDN w:val="0"/>
              <w:bidi w:val="0"/>
              <w:adjustRightInd w:val="0"/>
              <w:snapToGrid w:val="0"/>
              <w:spacing w:before="72"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联系人：</w:t>
            </w:r>
          </w:p>
        </w:tc>
      </w:tr>
      <w:tr w14:paraId="2A9F0BA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9" w:hRule="atLeast"/>
        </w:trPr>
        <w:tc>
          <w:tcPr>
            <w:tcW w:w="3558" w:type="dxa"/>
            <w:noWrap w:val="0"/>
            <w:vAlign w:val="top"/>
          </w:tcPr>
          <w:p w14:paraId="6A7135E5">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约定送达地址：</w:t>
            </w:r>
          </w:p>
        </w:tc>
        <w:tc>
          <w:tcPr>
            <w:tcW w:w="4631" w:type="dxa"/>
            <w:noWrap w:val="0"/>
            <w:vAlign w:val="top"/>
          </w:tcPr>
          <w:p w14:paraId="3869EE2A">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约定送达地址：</w:t>
            </w:r>
          </w:p>
        </w:tc>
      </w:tr>
      <w:tr w14:paraId="72EC32B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1" w:hRule="atLeast"/>
        </w:trPr>
        <w:tc>
          <w:tcPr>
            <w:tcW w:w="3558" w:type="dxa"/>
            <w:noWrap w:val="0"/>
            <w:vAlign w:val="top"/>
          </w:tcPr>
          <w:p w14:paraId="54AB9B5A">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邮政编码：</w:t>
            </w:r>
          </w:p>
        </w:tc>
        <w:tc>
          <w:tcPr>
            <w:tcW w:w="4631" w:type="dxa"/>
            <w:noWrap w:val="0"/>
            <w:vAlign w:val="top"/>
          </w:tcPr>
          <w:p w14:paraId="438011E1">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邮政编码：</w:t>
            </w:r>
          </w:p>
        </w:tc>
      </w:tr>
      <w:tr w14:paraId="5A20743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0" w:hRule="atLeast"/>
        </w:trPr>
        <w:tc>
          <w:tcPr>
            <w:tcW w:w="3558" w:type="dxa"/>
            <w:noWrap w:val="0"/>
            <w:vAlign w:val="top"/>
          </w:tcPr>
          <w:p w14:paraId="62E3EB53">
            <w:pPr>
              <w:pStyle w:val="6"/>
              <w:keepNext w:val="0"/>
              <w:keepLines w:val="0"/>
              <w:pageBreakBefore w:val="0"/>
              <w:widowControl/>
              <w:kinsoku/>
              <w:wordWrap/>
              <w:overflowPunct/>
              <w:topLinePunct w:val="0"/>
              <w:autoSpaceDE w:val="0"/>
              <w:autoSpaceDN w:val="0"/>
              <w:bidi w:val="0"/>
              <w:adjustRightInd w:val="0"/>
              <w:snapToGrid w:val="0"/>
              <w:spacing w:before="72"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电话：</w:t>
            </w:r>
          </w:p>
        </w:tc>
        <w:tc>
          <w:tcPr>
            <w:tcW w:w="4631" w:type="dxa"/>
            <w:noWrap w:val="0"/>
            <w:vAlign w:val="top"/>
          </w:tcPr>
          <w:p w14:paraId="5AE09A6C">
            <w:pPr>
              <w:pStyle w:val="6"/>
              <w:keepNext w:val="0"/>
              <w:keepLines w:val="0"/>
              <w:pageBreakBefore w:val="0"/>
              <w:widowControl/>
              <w:kinsoku/>
              <w:wordWrap/>
              <w:overflowPunct/>
              <w:topLinePunct w:val="0"/>
              <w:autoSpaceDE w:val="0"/>
              <w:autoSpaceDN w:val="0"/>
              <w:bidi w:val="0"/>
              <w:adjustRightInd w:val="0"/>
              <w:snapToGrid w:val="0"/>
              <w:spacing w:before="72"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电话：</w:t>
            </w:r>
          </w:p>
        </w:tc>
      </w:tr>
      <w:tr w14:paraId="0E71BEE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9" w:hRule="atLeast"/>
        </w:trPr>
        <w:tc>
          <w:tcPr>
            <w:tcW w:w="3558" w:type="dxa"/>
            <w:noWrap w:val="0"/>
            <w:vAlign w:val="top"/>
          </w:tcPr>
          <w:p w14:paraId="3DBDDE70">
            <w:pPr>
              <w:pStyle w:val="6"/>
              <w:keepNext w:val="0"/>
              <w:keepLines w:val="0"/>
              <w:pageBreakBefore w:val="0"/>
              <w:widowControl/>
              <w:kinsoku/>
              <w:wordWrap/>
              <w:overflowPunct/>
              <w:topLinePunct w:val="0"/>
              <w:autoSpaceDE w:val="0"/>
              <w:autoSpaceDN w:val="0"/>
              <w:bidi w:val="0"/>
              <w:adjustRightInd w:val="0"/>
              <w:snapToGrid w:val="0"/>
              <w:spacing w:before="68"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传真：</w:t>
            </w:r>
          </w:p>
        </w:tc>
        <w:tc>
          <w:tcPr>
            <w:tcW w:w="4631" w:type="dxa"/>
            <w:noWrap w:val="0"/>
            <w:vAlign w:val="top"/>
          </w:tcPr>
          <w:p w14:paraId="4296B5B3">
            <w:pPr>
              <w:pStyle w:val="6"/>
              <w:keepNext w:val="0"/>
              <w:keepLines w:val="0"/>
              <w:pageBreakBefore w:val="0"/>
              <w:widowControl/>
              <w:kinsoku/>
              <w:wordWrap/>
              <w:overflowPunct/>
              <w:topLinePunct w:val="0"/>
              <w:autoSpaceDE w:val="0"/>
              <w:autoSpaceDN w:val="0"/>
              <w:bidi w:val="0"/>
              <w:adjustRightInd w:val="0"/>
              <w:snapToGrid w:val="0"/>
              <w:spacing w:before="68"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传真：</w:t>
            </w:r>
          </w:p>
        </w:tc>
      </w:tr>
      <w:tr w14:paraId="4C65D4B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1" w:hRule="atLeast"/>
        </w:trPr>
        <w:tc>
          <w:tcPr>
            <w:tcW w:w="3558" w:type="dxa"/>
            <w:noWrap w:val="0"/>
            <w:vAlign w:val="top"/>
          </w:tcPr>
          <w:p w14:paraId="66323751">
            <w:pPr>
              <w:pStyle w:val="6"/>
              <w:keepNext w:val="0"/>
              <w:keepLines w:val="0"/>
              <w:pageBreakBefore w:val="0"/>
              <w:widowControl/>
              <w:kinsoku/>
              <w:wordWrap/>
              <w:overflowPunct/>
              <w:topLinePunct w:val="0"/>
              <w:autoSpaceDE w:val="0"/>
              <w:autoSpaceDN w:val="0"/>
              <w:bidi w:val="0"/>
              <w:adjustRightInd w:val="0"/>
              <w:snapToGrid w:val="0"/>
              <w:spacing w:before="71"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电子邮箱：</w:t>
            </w:r>
          </w:p>
        </w:tc>
        <w:tc>
          <w:tcPr>
            <w:tcW w:w="4631" w:type="dxa"/>
            <w:noWrap w:val="0"/>
            <w:vAlign w:val="top"/>
          </w:tcPr>
          <w:p w14:paraId="0B4774EF">
            <w:pPr>
              <w:pStyle w:val="6"/>
              <w:keepNext w:val="0"/>
              <w:keepLines w:val="0"/>
              <w:pageBreakBefore w:val="0"/>
              <w:widowControl/>
              <w:kinsoku/>
              <w:wordWrap/>
              <w:overflowPunct/>
              <w:topLinePunct w:val="0"/>
              <w:autoSpaceDE w:val="0"/>
              <w:autoSpaceDN w:val="0"/>
              <w:bidi w:val="0"/>
              <w:adjustRightInd w:val="0"/>
              <w:snapToGrid w:val="0"/>
              <w:spacing w:before="71"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电子邮箱：</w:t>
            </w:r>
          </w:p>
        </w:tc>
      </w:tr>
      <w:tr w14:paraId="43C66C0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0" w:hRule="atLeast"/>
        </w:trPr>
        <w:tc>
          <w:tcPr>
            <w:tcW w:w="3558" w:type="dxa"/>
            <w:noWrap w:val="0"/>
            <w:vAlign w:val="top"/>
          </w:tcPr>
          <w:p w14:paraId="22D8CE5B">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开户银行：</w:t>
            </w:r>
          </w:p>
        </w:tc>
        <w:tc>
          <w:tcPr>
            <w:tcW w:w="4631" w:type="dxa"/>
            <w:noWrap w:val="0"/>
            <w:vAlign w:val="top"/>
          </w:tcPr>
          <w:p w14:paraId="0D99719B">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开户银行：</w:t>
            </w:r>
          </w:p>
        </w:tc>
      </w:tr>
      <w:tr w14:paraId="3DEF200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70" w:hRule="atLeast"/>
        </w:trPr>
        <w:tc>
          <w:tcPr>
            <w:tcW w:w="3558" w:type="dxa"/>
            <w:noWrap w:val="0"/>
            <w:vAlign w:val="top"/>
          </w:tcPr>
          <w:p w14:paraId="5B596285">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开户名称：</w:t>
            </w:r>
          </w:p>
        </w:tc>
        <w:tc>
          <w:tcPr>
            <w:tcW w:w="4631" w:type="dxa"/>
            <w:noWrap w:val="0"/>
            <w:vAlign w:val="top"/>
          </w:tcPr>
          <w:p w14:paraId="0FCF8FE3">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开户名称：</w:t>
            </w:r>
          </w:p>
        </w:tc>
      </w:tr>
      <w:tr w14:paraId="5AB91F5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00" w:hRule="atLeast"/>
        </w:trPr>
        <w:tc>
          <w:tcPr>
            <w:tcW w:w="3558" w:type="dxa"/>
            <w:noWrap w:val="0"/>
            <w:vAlign w:val="top"/>
          </w:tcPr>
          <w:p w14:paraId="2C25EF86">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开户账号：</w:t>
            </w:r>
          </w:p>
        </w:tc>
        <w:tc>
          <w:tcPr>
            <w:tcW w:w="4631" w:type="dxa"/>
            <w:noWrap w:val="0"/>
            <w:vAlign w:val="top"/>
          </w:tcPr>
          <w:p w14:paraId="63741A1A">
            <w:pPr>
              <w:pStyle w:val="6"/>
              <w:keepNext w:val="0"/>
              <w:keepLines w:val="0"/>
              <w:pageBreakBefore w:val="0"/>
              <w:widowControl/>
              <w:kinsoku/>
              <w:wordWrap/>
              <w:overflowPunct/>
              <w:topLinePunct w:val="0"/>
              <w:autoSpaceDE w:val="0"/>
              <w:autoSpaceDN w:val="0"/>
              <w:bidi w:val="0"/>
              <w:adjustRightInd w:val="0"/>
              <w:snapToGrid w:val="0"/>
              <w:spacing w:before="70" w:line="360" w:lineRule="auto"/>
              <w:ind w:left="1362" w:firstLine="480" w:firstLineChars="200"/>
              <w:jc w:val="both"/>
              <w:textAlignment w:val="baseline"/>
              <w:rPr>
                <w:rFonts w:hint="eastAsia" w:ascii="仿宋" w:hAnsi="仿宋" w:eastAsia="仿宋" w:cs="仿宋"/>
                <w:spacing w:val="0"/>
                <w:sz w:val="24"/>
                <w:szCs w:val="24"/>
                <w:highlight w:val="none"/>
              </w:rPr>
            </w:pPr>
            <w:r>
              <w:rPr>
                <w:rFonts w:hint="eastAsia" w:ascii="仿宋" w:hAnsi="仿宋" w:eastAsia="仿宋" w:cs="仿宋"/>
                <w:spacing w:val="0"/>
                <w:sz w:val="24"/>
                <w:szCs w:val="24"/>
                <w:highlight w:val="none"/>
              </w:rPr>
              <w:t>开户账号：</w:t>
            </w:r>
          </w:p>
        </w:tc>
      </w:tr>
    </w:tbl>
    <w:p w14:paraId="2A209D59">
      <w:pPr>
        <w:outlineLvl w:val="9"/>
        <w:rPr>
          <w:rFonts w:hint="eastAsia" w:ascii="仿宋" w:hAnsi="仿宋" w:eastAsia="仿宋" w:cs="仿宋"/>
          <w:highlight w:val="none"/>
          <w:lang w:val="en-US" w:eastAsia="zh-CN"/>
        </w:rPr>
      </w:pPr>
    </w:p>
    <w:p w14:paraId="585C6C79"/>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0B2DB">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0E65FD"/>
    <w:rsid w:val="730E6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jc w:val="both"/>
      <w:textAlignment w:val="baseline"/>
    </w:pPr>
    <w:rPr>
      <w:rFonts w:ascii="宋体" w:hAnsi="宋体" w:eastAsia="宋体" w:cs="宋体"/>
      <w:snapToGrid w:val="0"/>
      <w:color w:val="000000"/>
      <w:kern w:val="0"/>
      <w:sz w:val="28"/>
      <w:szCs w:val="28"/>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1"/>
    <w:rPr>
      <w:rFonts w:hint="eastAsia"/>
    </w:rPr>
  </w:style>
  <w:style w:type="paragraph" w:styleId="3">
    <w:name w:val="footer"/>
    <w:basedOn w:val="1"/>
    <w:qFormat/>
    <w:uiPriority w:val="99"/>
    <w:pPr>
      <w:tabs>
        <w:tab w:val="center" w:pos="4153"/>
        <w:tab w:val="right" w:pos="8306"/>
      </w:tabs>
      <w:snapToGrid w:val="0"/>
      <w:jc w:val="left"/>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2026-06-23T06:28:00Z</dcterms:created>
  <dc:creator>biubiubiu～</dc:creator>
  <cp:lastModifiedBy>biubiubiu～</cp:lastModifiedBy>
  <dcterms:modified xsi:type="dcterms:W3CDTF">2026-06-23T06:29:02Z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D4E0AEF8943B45DBAC649A52544C06D1_11</vt:lpwstr>
  </property>
  <property fmtid="{D5CDD505-2E9C-101B-9397-08002B2CF9AE}" pid="4" name="KSOTemplateDocerSaveRecord">
    <vt:lpwstr>eyJoZGlkIjoiNzhiYjRhNzc0ZWNmMTRkOGRmZDIzM2E4M2MzNjJiM2MiLCJ1c2VySWQiOiI1OTY3NDYyODgifQ==</vt:lpwstr>
  </property>
</Properties>
</file>