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版本号：SXKY-2026101320260708001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陕西省农村承包地信息管理平台信创适配升级项目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SXKY-20261013</w:t>
      </w:r>
      <w:r>
        <w:br/>
      </w:r>
      <w:r>
        <w:br/>
      </w:r>
      <w:r>
        <w:br/>
      </w:r>
    </w:p>
    <w:p>
      <w:pPr>
        <w:pStyle w:val="null3"/>
        <w:jc w:val="center"/>
        <w:outlineLvl w:val="2"/>
      </w:pPr>
      <w:r>
        <w:rPr>
          <w:rFonts w:ascii="仿宋_GB2312" w:hAnsi="仿宋_GB2312" w:cs="仿宋_GB2312" w:eastAsia="仿宋_GB2312"/>
          <w:sz w:val="28"/>
          <w:b/>
        </w:rPr>
        <w:t>陕西省农村合作经济经营管理站</w:t>
      </w:r>
    </w:p>
    <w:p>
      <w:pPr>
        <w:pStyle w:val="null3"/>
        <w:jc w:val="center"/>
        <w:outlineLvl w:val="2"/>
      </w:pPr>
      <w:r>
        <w:rPr>
          <w:rFonts w:ascii="仿宋_GB2312" w:hAnsi="仿宋_GB2312" w:cs="仿宋_GB2312" w:eastAsia="仿宋_GB2312"/>
          <w:sz w:val="28"/>
          <w:b/>
        </w:rPr>
        <w:t>陕西开元项目管理咨询有限公司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陕西开元项目管理咨询有限公司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陕西省农村合作经济经营管理站</w:t>
      </w:r>
      <w:r>
        <w:rPr>
          <w:rFonts w:ascii="仿宋_GB2312" w:hAnsi="仿宋_GB2312" w:cs="仿宋_GB2312" w:eastAsia="仿宋_GB2312"/>
        </w:rPr>
        <w:t>委托，拟对</w:t>
      </w:r>
      <w:r>
        <w:rPr>
          <w:rFonts w:ascii="仿宋_GB2312" w:hAnsi="仿宋_GB2312" w:cs="仿宋_GB2312" w:eastAsia="仿宋_GB2312"/>
        </w:rPr>
        <w:t>陕西省农村承包地信息管理平台信创适配升级项目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SXKY-20261013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陕西省农村承包地信息管理平台信创适配升级项目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农村承包地信息管理平台信创升级内容主要包括支撑软件国产GIS（地理信息系统）软件、国产数据库软件和国产化系统运行应用软件。农村土地承包经营权登记、管理和分析应用的基础地理要素GIS、承包土地权属要素、栅格数据以及相关附属信息等，数据库建设服务应执行NY/T2539-2016标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采购包1（陕西省农村承包地信息管理平台信创适配升级项⽬）：属于专门面向中小企业采购。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2、企业资质：须具备行政主管部门颁发的乙级及以上测绘资质（专业范围包含：地理信息系统工程）；</w:t>
      </w:r>
    </w:p>
    <w:p>
      <w:pPr>
        <w:pStyle w:val="null3"/>
      </w:pPr>
      <w:r>
        <w:rPr>
          <w:rFonts w:ascii="仿宋_GB2312" w:hAnsi="仿宋_GB2312" w:cs="仿宋_GB2312" w:eastAsia="仿宋_GB2312"/>
        </w:rPr>
        <w:t>3、财务状况报告：提供2025年度经审计的财务报告（成立时间至提交投标文件截止时间不足一年的可提供成立后任意时段的资产负债表），或其开标前六个月内银行出具的资信证明及基本账户信息。（以上两种形式的资料提供任何一种即可）。</w:t>
      </w:r>
    </w:p>
    <w:p>
      <w:pPr>
        <w:pStyle w:val="null3"/>
      </w:pPr>
      <w:r>
        <w:rPr>
          <w:rFonts w:ascii="仿宋_GB2312" w:hAnsi="仿宋_GB2312" w:cs="仿宋_GB2312" w:eastAsia="仿宋_GB2312"/>
        </w:rPr>
        <w:t>4、税收缴纳证明：提供2026年1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5、社会保障资金缴纳证明：提供2026年1月至今已缴存的至少一个月的社会保障资金的证明（社会保障资金缴存单据或社保机构开具的社会保险参保缴费情况证明等）；依法不需要缴纳社会保障资金的供应商应提供相关文件证明；</w:t>
      </w:r>
    </w:p>
    <w:p>
      <w:pPr>
        <w:pStyle w:val="null3"/>
      </w:pPr>
      <w:r>
        <w:rPr>
          <w:rFonts w:ascii="仿宋_GB2312" w:hAnsi="仿宋_GB2312" w:cs="仿宋_GB2312" w:eastAsia="仿宋_GB2312"/>
        </w:rPr>
        <w:t>6、书面声明：参加本次政府采购活动前三年内在经营活动中没有重大违法记录</w:t>
      </w:r>
    </w:p>
    <w:p>
      <w:pPr>
        <w:pStyle w:val="null3"/>
      </w:pPr>
      <w:r>
        <w:rPr>
          <w:rFonts w:ascii="仿宋_GB2312" w:hAnsi="仿宋_GB2312" w:cs="仿宋_GB2312" w:eastAsia="仿宋_GB2312"/>
        </w:rPr>
        <w:t>7、信用查询：投标人不得为“信用中国”网站中列入失信被执行人和重大税收违法案件当事人名单的投标人，不得为中国政府采购网政府采购严重违法失信行为记录名单中被财政部门禁止参加政府采购活动的投标人。</w:t>
      </w:r>
    </w:p>
    <w:p>
      <w:pPr>
        <w:pStyle w:val="null3"/>
      </w:pPr>
      <w:r>
        <w:rPr>
          <w:rFonts w:ascii="仿宋_GB2312" w:hAnsi="仿宋_GB2312" w:cs="仿宋_GB2312" w:eastAsia="仿宋_GB2312"/>
        </w:rPr>
        <w:t>8、履约能⼒：提供具有履行合同所必需的设备和专业技术能力的承诺函。</w:t>
      </w:r>
    </w:p>
    <w:p>
      <w:pPr>
        <w:pStyle w:val="null3"/>
      </w:pPr>
      <w:r>
        <w:rPr>
          <w:rFonts w:ascii="仿宋_GB2312" w:hAnsi="仿宋_GB2312" w:cs="仿宋_GB2312" w:eastAsia="仿宋_GB2312"/>
        </w:rPr>
        <w:t>9、授权委托书：法定代表人授权书及被授权人身份证。（法定代表人直接参与投标的只须提供法定代表人证明书）</w:t>
      </w:r>
    </w:p>
    <w:p>
      <w:pPr>
        <w:pStyle w:val="null3"/>
      </w:pPr>
      <w:r>
        <w:rPr>
          <w:rFonts w:ascii="仿宋_GB2312" w:hAnsi="仿宋_GB2312" w:cs="仿宋_GB2312" w:eastAsia="仿宋_GB2312"/>
        </w:rPr>
        <w:t>10、中小企业声明函：本项目专门面向中小企业采购，供应商应为中小企业或监狱企业或残疾人福利性单位，并提供声明函。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陕西省农村合作经济经营管理站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西安市习武园27号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陕西省农村合作经济工作站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13991383642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陕西开元项目管理咨询有限公司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陕西省西安市雁塔区陕西省西安市曲江新区雁展路1111号莱安中心5幢2单元23001室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王宝军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029-89123161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代理服务费收费标准：固定⾦额：30000元整</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陕西省农村合作经济经营管理站</w:t>
      </w:r>
      <w:r>
        <w:rPr>
          <w:rFonts w:ascii="仿宋_GB2312" w:hAnsi="仿宋_GB2312" w:cs="仿宋_GB2312" w:eastAsia="仿宋_GB2312"/>
        </w:rPr>
        <w:t>和</w:t>
      </w:r>
      <w:r>
        <w:rPr>
          <w:rFonts w:ascii="仿宋_GB2312" w:hAnsi="仿宋_GB2312" w:cs="仿宋_GB2312" w:eastAsia="仿宋_GB2312"/>
        </w:rPr>
        <w:t>陕西开元项目管理咨询有限公司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陕西省农村合作经济经营管理站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陕西开元项目管理咨询有限公司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陕西省农村合作经济经营管理站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陕西开元项目管理咨询有限公司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将在采购项⽬实施过程中采⽤⾃有或者第三⽅知识成果的，使⽤该知识成果后，投标⼈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达到国家及⾏业现⾏技术规范标准，符合国家及⾏业验收合格标准。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陕西开元项目管理咨询有限公司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陕西开元项目管理咨询有限公司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陕西开元项目管理咨询有限公司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联系人：王宝军</w:t>
      </w:r>
    </w:p>
    <w:p>
      <w:pPr>
        <w:pStyle w:val="null3"/>
      </w:pPr>
      <w:r>
        <w:rPr>
          <w:rFonts w:ascii="仿宋_GB2312" w:hAnsi="仿宋_GB2312" w:cs="仿宋_GB2312" w:eastAsia="仿宋_GB2312"/>
        </w:rPr>
        <w:t>联系电话：029-89123161</w:t>
      </w:r>
    </w:p>
    <w:p>
      <w:pPr>
        <w:pStyle w:val="null3"/>
      </w:pPr>
      <w:r>
        <w:rPr>
          <w:rFonts w:ascii="仿宋_GB2312" w:hAnsi="仿宋_GB2312" w:cs="仿宋_GB2312" w:eastAsia="仿宋_GB2312"/>
        </w:rPr>
        <w:t>地址：西安市曲江新区雁展路 1111 号莱安中⼼ T6-3001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农村承包地信息管理平台信创升级内容主要包括支撑软件国产GIS（地理信息系统）软件、国产数据库软件和国产化系统运行应用软件。农村土地承包经营权登记、管理和分析应用的基础地理要素GIS、承包土地权属要素、栅格数据以及相关附属信息等，数据库建设服务应执行NY/T2539-2016标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2,670,000.00</w:t>
      </w:r>
    </w:p>
    <w:p>
      <w:pPr>
        <w:pStyle w:val="null3"/>
      </w:pPr>
      <w:r>
        <w:rPr>
          <w:rFonts w:ascii="仿宋_GB2312" w:hAnsi="仿宋_GB2312" w:cs="仿宋_GB2312" w:eastAsia="仿宋_GB2312"/>
        </w:rPr>
        <w:t>采购包最高限价（元）: 2,670,000.00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陕西省农村承包地信息管理平台信创适配升级项目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标的名称：陕西省农村承包地信息管理平台信创适配升级项目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0"/>
                <w:b/>
                <w:color w:val="000000"/>
              </w:rPr>
              <w:t>采购需求和技术参数</w:t>
            </w:r>
          </w:p>
          <w:p>
            <w:pPr>
              <w:pStyle w:val="null3"/>
              <w:jc w:val="both"/>
            </w:pPr>
            <w:r>
              <w:rPr>
                <w:rFonts w:ascii="仿宋_GB2312" w:hAnsi="仿宋_GB2312" w:cs="仿宋_GB2312" w:eastAsia="仿宋_GB2312"/>
                <w:sz w:val="24"/>
                <w:b/>
                <w:color w:val="000000"/>
              </w:rPr>
              <w:t>1.主要目标和工作内容</w:t>
            </w:r>
          </w:p>
          <w:p>
            <w:pPr>
              <w:pStyle w:val="null3"/>
              <w:ind w:firstLine="480"/>
              <w:jc w:val="both"/>
            </w:pPr>
            <w:r>
              <w:rPr>
                <w:rFonts w:ascii="仿宋_GB2312" w:hAnsi="仿宋_GB2312" w:cs="仿宋_GB2312" w:eastAsia="仿宋_GB2312"/>
                <w:sz w:val="24"/>
                <w:color w:val="000000"/>
              </w:rPr>
              <w:t>陕西省农村承包地信息管理平台信创升级内容主要包括支撑软件国产</w:t>
            </w:r>
            <w:r>
              <w:rPr>
                <w:rFonts w:ascii="仿宋_GB2312" w:hAnsi="仿宋_GB2312" w:cs="仿宋_GB2312" w:eastAsia="仿宋_GB2312"/>
                <w:sz w:val="24"/>
                <w:color w:val="000000"/>
              </w:rPr>
              <w:t>GIS（地理信息系统）软件、国产数据库软件和国产化系统运行应用软件。农村土地承包经营权登记、管理和分析应用的基础地理要素GIS、承包土地权属要素、栅格数据以及相关附属信息等，数据库建设服务应执行NY/T2539-2016标准。</w:t>
            </w:r>
          </w:p>
          <w:p>
            <w:pPr>
              <w:pStyle w:val="null3"/>
              <w:ind w:firstLine="480"/>
              <w:jc w:val="both"/>
            </w:pPr>
            <w:r>
              <w:rPr>
                <w:rFonts w:ascii="仿宋_GB2312" w:hAnsi="仿宋_GB2312" w:cs="仿宋_GB2312" w:eastAsia="仿宋_GB2312"/>
                <w:sz w:val="24"/>
                <w:color w:val="000000"/>
              </w:rPr>
              <w:t>1.1 按照最新的国产信息化要求，本次采购需求将目前在陕西省用的农村承包地信息管理平台运行系统，信创升级改造成为完全国产化的陕西省农村承包地信息管理平台。</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原陕西省用的农村承包地信息管理平台中使用的支撑软件ArcGIS平台按照国家要求进行信创改造，替换为国产化的软件。涉及ArcGIS部分信创升级成为国产化GIS功能模块数量为2套，采用符合国产化要求的GIS平台进行适配改造，并与上层的业务应用进行对接和适配，确保业务系统功能和性能保持一致。</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原陕西省用的农村承包地信息管理平台中使用的支撑软件Oracle数据库按照国家要求进行信创改造，替换为国产化的软件。涉及到Oracle数据库部分在数据库基础方面数量为4套，信创升级替换成国产化数据库，并与上层的业务应用进行对接和适配，确保业务系统功能和性能保持一致。</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原陕西省用的农村承包地信息管理平台中使用的应用软件架构涉及到的ArcGIS平台、Oracle数据库完全信创升级成为国产化，牵扯的架构协议代码需要重新搭建。在信创升级过程中，对平台中软件进行优化，剥离其中使用国外软件的代码段，重新基于国产GIS平台和数据库开发编码，并适配国产硬件要求。</w:t>
            </w:r>
          </w:p>
          <w:p>
            <w:pPr>
              <w:pStyle w:val="null3"/>
              <w:ind w:firstLine="480"/>
              <w:jc w:val="both"/>
            </w:pPr>
            <w:r>
              <w:rPr>
                <w:rFonts w:ascii="仿宋_GB2312" w:hAnsi="仿宋_GB2312" w:cs="仿宋_GB2312" w:eastAsia="仿宋_GB2312"/>
                <w:sz w:val="24"/>
                <w:color w:val="000000"/>
              </w:rPr>
              <w:t>1.2 对原有农村土地承包经营权平台数据库中的地块矢量数据、人口信息等数据进行数据清洗与重新入库，确保数据的准确性和完整性。</w:t>
            </w:r>
          </w:p>
          <w:p>
            <w:pPr>
              <w:pStyle w:val="null3"/>
              <w:ind w:firstLine="480"/>
              <w:jc w:val="both"/>
            </w:pPr>
            <w:r>
              <w:rPr>
                <w:rFonts w:ascii="仿宋_GB2312" w:hAnsi="仿宋_GB2312" w:cs="仿宋_GB2312" w:eastAsia="仿宋_GB2312"/>
                <w:sz w:val="24"/>
                <w:color w:val="000000"/>
              </w:rPr>
              <w:t>1.3 信创升级后的陕西省农村承包地信息管理平台需要满足承包方发包方信息管理、承包地块信息管理、纳入承包地管理系统的国有土地包括农场的地块信息管理、承包合同管理、经营权变更管理、农村土地经营权流转管理、农村土地承包经营权纠纷调处管理、系统外接端口权限和管理。</w:t>
            </w:r>
          </w:p>
          <w:p>
            <w:pPr>
              <w:pStyle w:val="null3"/>
              <w:ind w:firstLine="480"/>
              <w:jc w:val="both"/>
            </w:pPr>
            <w:r>
              <w:rPr>
                <w:rFonts w:ascii="仿宋_GB2312" w:hAnsi="仿宋_GB2312" w:cs="仿宋_GB2312" w:eastAsia="仿宋_GB2312"/>
                <w:sz w:val="24"/>
                <w:color w:val="000000"/>
              </w:rPr>
              <w:t>1.4 信创升级后的陕西省农村承包地信息管理平台接入的方式、内容、格式必须符合全国农村土地承包经营权信息管理平台的技术规范要求。满足县/区级、市级，数据汇交包的质检，和数据的汇交。一是对原始数据质量进行初步检查，保证数据符合入库要求条件。质检包括完整性、规范性、拓扑正确性、逻辑关系正确性等指标。二是通过分析、质检、整理、融合等技术手段，按照统一数据标准、规范格式参考和数据完整性规程，将各级质检无误后的成果数据汇集系统平台内。三是</w:t>
            </w:r>
            <w:r>
              <w:rPr>
                <w:rFonts w:ascii="仿宋_GB2312" w:hAnsi="仿宋_GB2312" w:cs="仿宋_GB2312" w:eastAsia="仿宋_GB2312"/>
                <w:sz w:val="24"/>
                <w:color w:val="000000"/>
              </w:rPr>
              <w:t>与部级平台对接</w:t>
            </w:r>
            <w:r>
              <w:rPr>
                <w:rFonts w:ascii="仿宋_GB2312" w:hAnsi="仿宋_GB2312" w:cs="仿宋_GB2312" w:eastAsia="仿宋_GB2312"/>
                <w:sz w:val="24"/>
                <w:color w:val="000000"/>
              </w:rPr>
              <w:t>，利用成果服务对接，省内实现逐级汇交，并汇交成果至部级平台，实现与目前空间数据的融合与交互，支撑</w:t>
            </w:r>
            <w:r>
              <w:rPr>
                <w:rFonts w:ascii="仿宋_GB2312" w:hAnsi="仿宋_GB2312" w:cs="仿宋_GB2312" w:eastAsia="仿宋_GB2312"/>
                <w:sz w:val="24"/>
                <w:color w:val="000000"/>
              </w:rPr>
              <w:t>全农信息化</w:t>
            </w:r>
            <w:r>
              <w:rPr>
                <w:rFonts w:ascii="仿宋_GB2312" w:hAnsi="仿宋_GB2312" w:cs="仿宋_GB2312" w:eastAsia="仿宋_GB2312"/>
                <w:sz w:val="24"/>
                <w:color w:val="000000"/>
              </w:rPr>
              <w:t>国产化</w:t>
            </w:r>
            <w:r>
              <w:rPr>
                <w:rFonts w:ascii="仿宋_GB2312" w:hAnsi="仿宋_GB2312" w:cs="仿宋_GB2312" w:eastAsia="仿宋_GB2312"/>
                <w:sz w:val="24"/>
                <w:color w:val="000000"/>
              </w:rPr>
              <w:t>水平建设</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1.5 满足全省的数据库汇交国家级平台实现数据双向接入互联互通。</w:t>
            </w:r>
          </w:p>
          <w:p>
            <w:pPr>
              <w:pStyle w:val="null3"/>
              <w:ind w:firstLine="480"/>
              <w:jc w:val="both"/>
            </w:pPr>
            <w:r>
              <w:rPr>
                <w:rFonts w:ascii="仿宋_GB2312" w:hAnsi="仿宋_GB2312" w:cs="仿宋_GB2312" w:eastAsia="仿宋_GB2312"/>
                <w:sz w:val="24"/>
                <w:color w:val="000000"/>
              </w:rPr>
              <w:t>1.6 信创升级后的陕西省农村承包地信息管理平台适配整合迁移后，确保符合省数据和政务服务局政务云运行要求。</w:t>
            </w:r>
          </w:p>
          <w:p>
            <w:pPr>
              <w:pStyle w:val="null3"/>
              <w:ind w:firstLine="480"/>
              <w:jc w:val="both"/>
            </w:pPr>
            <w:r>
              <w:rPr>
                <w:rFonts w:ascii="仿宋_GB2312" w:hAnsi="仿宋_GB2312" w:cs="仿宋_GB2312" w:eastAsia="仿宋_GB2312"/>
                <w:sz w:val="24"/>
                <w:color w:val="000000"/>
              </w:rPr>
              <w:t>1.7 对农村土地承包经营权管理（内、外网系统）CS、BS数据库的日常运维，满足各县区实施数据变更，确保数据系统时序化运行。并定期进行数据备份和恢复，确保数据的安全性和可恢复性。</w:t>
            </w:r>
          </w:p>
          <w:p>
            <w:pPr>
              <w:pStyle w:val="null3"/>
              <w:jc w:val="both"/>
            </w:pPr>
            <w:r>
              <w:rPr>
                <w:rFonts w:ascii="仿宋_GB2312" w:hAnsi="仿宋_GB2312" w:cs="仿宋_GB2312" w:eastAsia="仿宋_GB2312"/>
                <w:sz w:val="24"/>
                <w:b/>
                <w:color w:val="000000"/>
              </w:rPr>
              <w:t>2.建设依据</w:t>
            </w:r>
          </w:p>
          <w:p>
            <w:pPr>
              <w:pStyle w:val="null3"/>
              <w:ind w:firstLine="480"/>
              <w:jc w:val="both"/>
            </w:pPr>
            <w:r>
              <w:rPr>
                <w:rFonts w:ascii="仿宋_GB2312" w:hAnsi="仿宋_GB2312" w:cs="仿宋_GB2312" w:eastAsia="仿宋_GB2312"/>
                <w:sz w:val="24"/>
                <w:color w:val="000000"/>
              </w:rPr>
              <w:t>2.1 政策依据</w:t>
            </w:r>
          </w:p>
          <w:p>
            <w:pPr>
              <w:pStyle w:val="null3"/>
              <w:ind w:firstLine="480"/>
              <w:jc w:val="both"/>
            </w:pPr>
            <w:r>
              <w:rPr>
                <w:rFonts w:ascii="仿宋_GB2312" w:hAnsi="仿宋_GB2312" w:cs="仿宋_GB2312" w:eastAsia="仿宋_GB2312"/>
                <w:sz w:val="24"/>
                <w:color w:val="000000"/>
              </w:rPr>
              <w:t>农村土地承包经营权确权平台的建设，严格遵循国家法律、行政法规、部门规章及中央相关政策部署，立足农村土地制度改革实际，围绕确权登记、权属管理、数字化建设等核心要求，明确系统建设的合规性、方向性和实操性</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陕西省省级政务信息化项目建设管理办法</w:t>
            </w:r>
            <w:r>
              <w:rPr>
                <w:rFonts w:ascii="仿宋_GB2312" w:hAnsi="仿宋_GB2312" w:cs="仿宋_GB2312" w:eastAsia="仿宋_GB2312"/>
                <w:sz w:val="24"/>
                <w:color w:val="000000"/>
              </w:rPr>
              <w:t>（</w:t>
            </w:r>
            <w:r>
              <w:rPr>
                <w:rFonts w:ascii="仿宋_GB2312" w:hAnsi="仿宋_GB2312" w:cs="仿宋_GB2312" w:eastAsia="仿宋_GB2312"/>
                <w:sz w:val="24"/>
                <w:color w:val="000000"/>
              </w:rPr>
              <w:t>暂行</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2）自然资源部《土地承包经营权和土地经营权登记操作规范（试行）》（自然资发〔2022〕198号）；</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3）《中共中央、国务院关于实施乡村振兴战略的意见》；</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4）中共中央办公厅、国务院办公厅《关于引导农村土地经营权有序流转发展农业适度规模经营的意见》；</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5）《不动产登记暂行条例》及《不动产登记暂行条例实施细则》</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2.2 国家信息化标准规范</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1）《计算机软件需求说明编制指南》</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2）《计算机软件质量保证计划规范》GB/T 12505-1990</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3）《计算机软件单元测试》GB/T 15532-1995</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4）《软件维护指南》GB/T 14079-1993</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5）《中华人民共和国标准计算机软件开发规范》</w:t>
            </w:r>
          </w:p>
          <w:p>
            <w:pPr>
              <w:pStyle w:val="null3"/>
              <w:ind w:firstLine="480"/>
              <w:jc w:val="both"/>
            </w:pPr>
            <w:r>
              <w:rPr>
                <w:rFonts w:ascii="仿宋_GB2312" w:hAnsi="仿宋_GB2312" w:cs="仿宋_GB2312" w:eastAsia="仿宋_GB2312"/>
                <w:sz w:val="24"/>
                <w:color w:val="000000"/>
              </w:rPr>
              <w:t>2.3 行业标准规范</w:t>
            </w:r>
          </w:p>
          <w:p>
            <w:pPr>
              <w:pStyle w:val="null3"/>
              <w:ind w:left="555"/>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《农村土地承包经营权调查规程》（</w:t>
            </w:r>
            <w:r>
              <w:rPr>
                <w:rFonts w:ascii="仿宋_GB2312" w:hAnsi="仿宋_GB2312" w:cs="仿宋_GB2312" w:eastAsia="仿宋_GB2312"/>
                <w:sz w:val="24"/>
              </w:rPr>
              <w:t>NY/T2537—2014）</w:t>
            </w:r>
          </w:p>
          <w:p>
            <w:pPr>
              <w:pStyle w:val="null3"/>
              <w:ind w:left="555"/>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《农村土地承包经营权要素编码规则》（</w:t>
            </w:r>
            <w:r>
              <w:rPr>
                <w:rFonts w:ascii="仿宋_GB2312" w:hAnsi="仿宋_GB2312" w:cs="仿宋_GB2312" w:eastAsia="仿宋_GB2312"/>
                <w:sz w:val="24"/>
              </w:rPr>
              <w:t>NY/T2538—2014）</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《农村土地承包经营权确权登记数据库规范》（</w:t>
            </w:r>
            <w:r>
              <w:rPr>
                <w:rFonts w:ascii="仿宋_GB2312" w:hAnsi="仿宋_GB2312" w:cs="仿宋_GB2312" w:eastAsia="仿宋_GB2312"/>
                <w:sz w:val="24"/>
              </w:rPr>
              <w:t>NY/T2539—2016）</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《农村土地承包经营权登记簿样式》（</w:t>
            </w:r>
            <w:r>
              <w:rPr>
                <w:rFonts w:ascii="仿宋_GB2312" w:hAnsi="仿宋_GB2312" w:cs="仿宋_GB2312" w:eastAsia="仿宋_GB2312"/>
                <w:sz w:val="24"/>
              </w:rPr>
              <w:t>农业农村部</w:t>
            </w:r>
            <w:r>
              <w:rPr>
                <w:rFonts w:ascii="仿宋_GB2312" w:hAnsi="仿宋_GB2312" w:cs="仿宋_GB2312" w:eastAsia="仿宋_GB2312"/>
                <w:sz w:val="24"/>
              </w:rPr>
              <w:t>公告第</w:t>
            </w:r>
            <w:r>
              <w:rPr>
                <w:rFonts w:ascii="仿宋_GB2312" w:hAnsi="仿宋_GB2312" w:cs="仿宋_GB2312" w:eastAsia="仿宋_GB2312"/>
                <w:sz w:val="24"/>
              </w:rPr>
              <w:t>2330号）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《农村土地承包经营权确权登记颁证成果检查验收办法（试行）》（农办经</w:t>
            </w:r>
            <w:r>
              <w:rPr>
                <w:rFonts w:ascii="仿宋_GB2312" w:hAnsi="仿宋_GB2312" w:cs="仿宋_GB2312" w:eastAsia="仿宋_GB2312"/>
                <w:sz w:val="24"/>
              </w:rPr>
              <w:t>〔</w:t>
            </w:r>
            <w:r>
              <w:rPr>
                <w:rFonts w:ascii="仿宋_GB2312" w:hAnsi="仿宋_GB2312" w:cs="仿宋_GB2312" w:eastAsia="仿宋_GB2312"/>
                <w:sz w:val="24"/>
              </w:rPr>
              <w:t>2015〕5号）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农业农村部</w:t>
            </w:r>
            <w:r>
              <w:rPr>
                <w:rFonts w:ascii="仿宋_GB2312" w:hAnsi="仿宋_GB2312" w:cs="仿宋_GB2312" w:eastAsia="仿宋_GB2312"/>
                <w:sz w:val="24"/>
              </w:rPr>
              <w:t>办公厅关于印发农村土地（耕地）承包合同示范文本的通知》（农</w:t>
            </w:r>
            <w:r>
              <w:rPr>
                <w:rFonts w:ascii="仿宋_GB2312" w:hAnsi="仿宋_GB2312" w:cs="仿宋_GB2312" w:eastAsia="仿宋_GB2312"/>
                <w:sz w:val="24"/>
              </w:rPr>
              <w:t>办经〔</w:t>
            </w:r>
            <w:r>
              <w:rPr>
                <w:rFonts w:ascii="仿宋_GB2312" w:hAnsi="仿宋_GB2312" w:cs="仿宋_GB2312" w:eastAsia="仿宋_GB2312"/>
                <w:sz w:val="24"/>
              </w:rPr>
              <w:t>2015〕18号）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《农村土地承包经营权确权登记数据库建设技术指南（试行）》（农办经〔</w:t>
            </w:r>
            <w:r>
              <w:rPr>
                <w:rFonts w:ascii="仿宋_GB2312" w:hAnsi="仿宋_GB2312" w:cs="仿宋_GB2312" w:eastAsia="仿宋_GB2312"/>
                <w:sz w:val="24"/>
              </w:rPr>
              <w:t>2015〕13号）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《农村土地承包经营权确权登记数据库成果汇交办法（试行）》（农办经〔</w:t>
            </w:r>
            <w:r>
              <w:rPr>
                <w:rFonts w:ascii="仿宋_GB2312" w:hAnsi="仿宋_GB2312" w:cs="仿宋_GB2312" w:eastAsia="仿宋_GB2312"/>
                <w:sz w:val="24"/>
              </w:rPr>
              <w:t>2015〕13号）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《农村土地承包经营权确权登记颁证成果图制图规范（试行）》（农办经〔</w:t>
            </w:r>
            <w:r>
              <w:rPr>
                <w:rFonts w:ascii="仿宋_GB2312" w:hAnsi="仿宋_GB2312" w:cs="仿宋_GB2312" w:eastAsia="仿宋_GB2312"/>
                <w:sz w:val="24"/>
              </w:rPr>
              <w:t>2015〕23号）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农业农村部</w:t>
            </w:r>
            <w:r>
              <w:rPr>
                <w:rFonts w:ascii="仿宋_GB2312" w:hAnsi="仿宋_GB2312" w:cs="仿宋_GB2312" w:eastAsia="仿宋_GB2312"/>
                <w:sz w:val="24"/>
              </w:rPr>
              <w:t>关于做好农村土地承包经营权信息应用平台建设工作的通知》（农</w:t>
            </w:r>
            <w:r>
              <w:rPr>
                <w:rFonts w:ascii="仿宋_GB2312" w:hAnsi="仿宋_GB2312" w:cs="仿宋_GB2312" w:eastAsia="仿宋_GB2312"/>
                <w:sz w:val="24"/>
              </w:rPr>
              <w:t>经发〔</w:t>
            </w:r>
            <w:r>
              <w:rPr>
                <w:rFonts w:ascii="仿宋_GB2312" w:hAnsi="仿宋_GB2312" w:cs="仿宋_GB2312" w:eastAsia="仿宋_GB2312"/>
                <w:sz w:val="24"/>
              </w:rPr>
              <w:t>2016〕10 号）</w:t>
            </w:r>
          </w:p>
          <w:p>
            <w:pPr>
              <w:pStyle w:val="null3"/>
              <w:ind w:firstLine="480"/>
              <w:jc w:val="both"/>
            </w:pPr>
            <w:r>
              <w:rPr>
                <w:rFonts w:ascii="仿宋_GB2312" w:hAnsi="仿宋_GB2312" w:cs="仿宋_GB2312" w:eastAsia="仿宋_GB2312"/>
                <w:sz w:val="24"/>
              </w:rPr>
              <w:t>3、质保期</w:t>
            </w:r>
          </w:p>
          <w:p>
            <w:pPr>
              <w:pStyle w:val="null3"/>
              <w:ind w:firstLine="480"/>
              <w:jc w:val="both"/>
            </w:pPr>
            <w:r>
              <w:rPr>
                <w:rFonts w:ascii="仿宋_GB2312" w:hAnsi="仿宋_GB2312" w:cs="仿宋_GB2312" w:eastAsia="仿宋_GB2312"/>
                <w:sz w:val="24"/>
              </w:rPr>
              <w:t>本项⽬质保期及免费运维期为项⽬验收合格之⽇起⼀年。</w:t>
            </w:r>
          </w:p>
          <w:p>
            <w:pPr>
              <w:pStyle w:val="null3"/>
            </w:pPr>
            <w:r>
              <w:rPr>
                <w:rFonts w:ascii="仿宋_GB2312" w:hAnsi="仿宋_GB2312" w:cs="仿宋_GB2312" w:eastAsia="仿宋_GB2312"/>
              </w:rPr>
              <w:t xml:space="preserve"> </w:t>
            </w:r>
          </w:p>
          <w:p>
            <w:pPr>
              <w:pStyle w:val="null3"/>
              <w:numPr>
                <w:ilvl w:val="0"/>
                <w:numId w:val="1"/>
              </w:numPr>
              <w:jc w:val="both"/>
            </w:pPr>
            <w:r>
              <w:rPr>
                <w:rFonts w:ascii="仿宋_GB2312" w:hAnsi="仿宋_GB2312" w:cs="仿宋_GB2312" w:eastAsia="仿宋_GB2312"/>
                <w:sz w:val="24"/>
              </w:rPr>
              <w:t>付款方式</w:t>
            </w:r>
          </w:p>
          <w:p>
            <w:pPr>
              <w:pStyle w:val="null3"/>
              <w:ind w:firstLine="480"/>
              <w:jc w:val="both"/>
            </w:pPr>
            <w:r>
              <w:rPr>
                <w:rFonts w:ascii="仿宋_GB2312" w:hAnsi="仿宋_GB2312" w:cs="仿宋_GB2312" w:eastAsia="仿宋_GB2312"/>
                <w:sz w:val="24"/>
              </w:rPr>
              <w:t>支付方式：银行转账</w:t>
            </w:r>
          </w:p>
          <w:p>
            <w:pPr>
              <w:pStyle w:val="null3"/>
              <w:ind w:firstLine="480"/>
              <w:jc w:val="both"/>
            </w:pPr>
            <w:r>
              <w:rPr>
                <w:rFonts w:ascii="仿宋_GB2312" w:hAnsi="仿宋_GB2312" w:cs="仿宋_GB2312" w:eastAsia="仿宋_GB2312"/>
                <w:sz w:val="24"/>
              </w:rPr>
              <w:t>首期预付款（</w:t>
            </w:r>
            <w:r>
              <w:rPr>
                <w:rFonts w:ascii="仿宋_GB2312" w:hAnsi="仿宋_GB2312" w:cs="仿宋_GB2312" w:eastAsia="仿宋_GB2312"/>
                <w:sz w:val="24"/>
              </w:rPr>
              <w:t>40%）本合同正式签订生效、乙方提交等额合规增值税发票及付款申请资料后10 个工作日内，甲方支付合同总价款的40% 作为项目预付款。</w:t>
            </w:r>
          </w:p>
          <w:p>
            <w:pPr>
              <w:pStyle w:val="null3"/>
              <w:ind w:firstLine="480"/>
              <w:jc w:val="both"/>
            </w:pPr>
            <w:r>
              <w:rPr>
                <w:rFonts w:ascii="仿宋_GB2312" w:hAnsi="仿宋_GB2312" w:cs="仿宋_GB2312" w:eastAsia="仿宋_GB2312"/>
                <w:sz w:val="24"/>
              </w:rPr>
              <w:t>进度款（累计付至</w:t>
            </w:r>
            <w:r>
              <w:rPr>
                <w:rFonts w:ascii="仿宋_GB2312" w:hAnsi="仿宋_GB2312" w:cs="仿宋_GB2312" w:eastAsia="仿宋_GB2312"/>
                <w:sz w:val="24"/>
              </w:rPr>
              <w:t>70%）乙方完成合同约定全部工作内容，提交完整工作成果，经甲方书面确认全部工作完工后；乙方开具对应足额发票并提交付款申请，甲方在资料审核无误后 10 个工作日内，支付至合同总价款的 70%（本次支付金额为合同总价 40%）。</w:t>
            </w:r>
          </w:p>
          <w:p>
            <w:pPr>
              <w:pStyle w:val="null3"/>
              <w:ind w:firstLine="480"/>
              <w:jc w:val="both"/>
            </w:pPr>
            <w:r>
              <w:rPr>
                <w:rFonts w:ascii="仿宋_GB2312" w:hAnsi="仿宋_GB2312" w:cs="仿宋_GB2312" w:eastAsia="仿宋_GB2312"/>
                <w:sz w:val="24"/>
              </w:rPr>
              <w:t>竣工结算款（累计付至</w:t>
            </w:r>
            <w:r>
              <w:rPr>
                <w:rFonts w:ascii="仿宋_GB2312" w:hAnsi="仿宋_GB2312" w:cs="仿宋_GB2312" w:eastAsia="仿宋_GB2312"/>
                <w:sz w:val="24"/>
              </w:rPr>
              <w:t>97%）项目全部内容通过甲方正式验收，双方签署《项目验收合格确认书》；乙方完成资料归档、问题闭环整改，并开具剩余足额结算发票、递交完整结算付款资料，甲方审核无误后 15 个工作日内，支付至合同总价款的 97%（本次支付金额为合同总价 27%）</w:t>
            </w:r>
          </w:p>
          <w:p>
            <w:pPr>
              <w:pStyle w:val="null3"/>
              <w:ind w:firstLine="480"/>
              <w:jc w:val="both"/>
            </w:pPr>
            <w:r>
              <w:rPr>
                <w:rFonts w:ascii="仿宋_GB2312" w:hAnsi="仿宋_GB2312" w:cs="仿宋_GB2312" w:eastAsia="仿宋_GB2312"/>
                <w:sz w:val="24"/>
              </w:rPr>
              <w:t>质保尾款（剩余</w:t>
            </w:r>
            <w:r>
              <w:rPr>
                <w:rFonts w:ascii="仿宋_GB2312" w:hAnsi="仿宋_GB2312" w:cs="仿宋_GB2312" w:eastAsia="仿宋_GB2312"/>
                <w:sz w:val="24"/>
              </w:rPr>
              <w:t>3%）合同约定质保期完整届满，乙方履行完毕全部质保服务义务、无遗留故障及违约问题，双方签署质保期满确认单；乙方开具尾款等额发票并提交付款申请，甲方于 10 个工作日内一次性无息付清合同总价剩余 3% 质保尾款。</w:t>
            </w:r>
          </w:p>
          <w:p>
            <w:pPr>
              <w:pStyle w:val="null3"/>
              <w:ind w:firstLine="480"/>
              <w:jc w:val="both"/>
            </w:pPr>
            <w:r>
              <w:rPr>
                <w:rFonts w:ascii="仿宋_GB2312" w:hAnsi="仿宋_GB2312" w:cs="仿宋_GB2312" w:eastAsia="仿宋_GB2312"/>
                <w:sz w:val="24"/>
              </w:rPr>
              <w:t>补充条款</w:t>
            </w:r>
          </w:p>
          <w:p>
            <w:pPr>
              <w:pStyle w:val="null3"/>
              <w:ind w:firstLine="480"/>
              <w:jc w:val="both"/>
            </w:pPr>
            <w:r>
              <w:rPr>
                <w:rFonts w:ascii="仿宋_GB2312" w:hAnsi="仿宋_GB2312" w:cs="仿宋_GB2312" w:eastAsia="仿宋_GB2312"/>
                <w:sz w:val="24"/>
              </w:rPr>
              <w:t>1.发票要求乙方须按照甲方财务规范开具合法有效的增值税专用 / 普通发票（发票类型提前约定），发票项目、金额、抬头与合同信息一致；未按要求提供合规发票的，甲方有权顺延付款，且不承担逾期付款违约责任。</w:t>
            </w:r>
          </w:p>
          <w:p>
            <w:pPr>
              <w:pStyle w:val="null3"/>
              <w:ind w:firstLine="480"/>
              <w:jc w:val="both"/>
            </w:pPr>
            <w:r>
              <w:rPr>
                <w:rFonts w:ascii="仿宋_GB2312" w:hAnsi="仿宋_GB2312" w:cs="仿宋_GB2312" w:eastAsia="仿宋_GB2312"/>
                <w:sz w:val="24"/>
              </w:rPr>
              <w:t>2.付款前提与顺延情形（1）任一付款节点前，乙方存在服务滞后、故障未修复、资料缺失、违约行为的，甲方可暂缓付款，直至乙方整改完成并经甲方核验通过；（2）因乙方自身未及时提交申请材料、发票、验收单据导致付款延迟的，逾期责任由乙方自行承担；甲方自身财务审批流程、对公转账周期造成的合理时限顺延不视为违约。</w:t>
            </w:r>
          </w:p>
          <w:p>
            <w:pPr>
              <w:pStyle w:val="null3"/>
              <w:ind w:firstLine="480"/>
              <w:jc w:val="both"/>
            </w:pPr>
            <w:r>
              <w:rPr>
                <w:rFonts w:ascii="仿宋_GB2312" w:hAnsi="仿宋_GB2312" w:cs="仿宋_GB2312" w:eastAsia="仿宋_GB2312"/>
                <w:sz w:val="24"/>
              </w:rPr>
              <w:t>3.支付方式全部款项均以银行对公转账方式支付至乙方合同列明对公账户，甲方不接受现金、私人转账等其他支付形式；乙方账户信息变更须提前出具加盖公章的正式变更函，否则转账失误风险由乙方承担。</w:t>
            </w:r>
          </w:p>
          <w:p>
            <w:pPr>
              <w:pStyle w:val="null3"/>
              <w:ind w:firstLine="480"/>
              <w:jc w:val="both"/>
            </w:pPr>
            <w:r>
              <w:rPr>
                <w:rFonts w:ascii="仿宋_GB2312" w:hAnsi="仿宋_GB2312" w:cs="仿宋_GB2312" w:eastAsia="仿宋_GB2312"/>
                <w:sz w:val="24"/>
              </w:rPr>
              <w:t>4.质保期界定质保期自项目整体验收合格之日起计算；质保期内乙方免费提供故障抢修、系统巡检、问题优化、技术支持等全部质保服务。</w:t>
            </w:r>
          </w:p>
          <w:p>
            <w:pPr>
              <w:pStyle w:val="null3"/>
            </w:pPr>
            <w:r>
              <w:rPr>
                <w:rFonts w:ascii="仿宋_GB2312" w:hAnsi="仿宋_GB2312" w:cs="仿宋_GB2312" w:eastAsia="仿宋_GB2312"/>
                <w:sz w:val="24"/>
              </w:rPr>
              <w:t>5.扣款约定若运维期间出现考核扣分、故障超时、服务不达标等合同约定扣罚情形，甲方可在当期应付款项中直接抵扣对应违约金、损失赔偿金，抵扣后支付剩余应付金额。</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⾃合同签订之⽇起5个⽉内完成。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进度款，本合同正式签订⽣效、⼄⽅提交等额合规增值税发票及付款申请资料后，达到付款条件起10个工作日内，支付合同总金额的40.0%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进度款，⼄⽅完成合同约定全部⼯作内容，提交完整⼯作成果，经甲⽅书⾯确认全部⼯作完⼯后；⼄⽅开具对 应⾜额发票并提交付款申请，达到付款条件起10个工作日内，支付合同总金额的30.0%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进度款，项⽬全部内容通过甲⽅正式验收，双⽅签署《项⽬验收合格确认书》；⼄⽅完成资料归档、问题闭环 整改，并开具剩余⾜额结算发票、递交完整结算付款资料，达到付款条件起15个工作日内，支付合同总金额的27.0%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进度款，合同约定质保期完整届满，⼄⽅履⾏完毕全部质保服务义务、⽆遗留故障及违约问题，双⽅签署质保 期满确认单；⼄⽅开具尾款等额发票并提交付款申请，达到付款条件起10个工作日内，支付合同总金额的3.0%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达到国家及⾏业现⾏技术规范标准，符合国家及⾏业验收合格标准，符合采购⼈质量要求的。</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本项⽬质保期及免费运维期为项⽬验收合格之⽇起⼀年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本合同⽣效后， 甲⼄双⽅均应当全⾯履⾏合同义务， 任何⼀⽅违约， 均应当按照约定承担违约责任， 并赔偿对⽅由此受到的损失。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供应商企业关系关联承诺书.docx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须具备行政主管部门颁发的乙级及以上测绘资质（专业范围包含：地理信息系统工程）；</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成立时间至提交投标文件截止时间不足一年的可提供成立后任意时段的资产负债表），或其开标前六个月内银行出具的资信证明及基本账户信息。（以上两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提供2026年1月至今已缴存的至少一个月的社会保障资金的证明（社会保障资金缴存单据或社保机构开具的社会保险参保缴费情况证明等）；依法不需要缴纳社会保障资金的供应商应提供相关文件证明；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投标人不得为“信用中国”网站中列入失信被执行人和重大税收违法案件当事人名单的投标人，不得为中国政府采购网政府采购严重违法失信行为记录名单中被财政部门禁止参加政府采购活动的投标人。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法定代表人授权书及被授权人身份证。（法定代表人直接参与投标的只须提供法定代表人证明书）</w:t>
            </w:r>
          </w:p>
        </w:tc>
        <w:tc>
          <w:tcPr>
            <w:tcW w:type="dxa" w:w="1661"/>
          </w:tcPr>
          <w:p>
            <w:pPr>
              <w:pStyle w:val="null3"/>
            </w:pPr>
            <w:r>
              <w:rPr>
                <w:rFonts w:ascii="仿宋_GB2312" w:hAnsi="仿宋_GB2312" w:cs="仿宋_GB2312" w:eastAsia="仿宋_GB2312"/>
              </w:rPr>
              <w:t>法定代表人身份证明书及授权委托书.docx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本项目专门面向中小企业采购，供应商应为中小企业或监狱企业或残疾人福利性单位，并提供声明函。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投标⽂件签章</w:t>
            </w:r>
          </w:p>
        </w:tc>
        <w:tc>
          <w:tcPr>
            <w:tcW w:type="dxa" w:w="3322"/>
          </w:tcPr>
          <w:p>
            <w:pPr>
              <w:pStyle w:val="null3"/>
            </w:pPr>
            <w:r>
              <w:rPr>
                <w:rFonts w:ascii="仿宋_GB2312" w:hAnsi="仿宋_GB2312" w:cs="仿宋_GB2312" w:eastAsia="仿宋_GB2312"/>
              </w:rPr>
              <w:t>投标⽂件中签字、盖章是否有效，是否符合招标⽂件要求；</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法定代表人身份证明书及授权委托书.docx 产品技术参数表 投标函 供应商企业关系关联承诺书.docx 残疾人福利性单位声明函 招标文件要求的其他资料或投标人认为需要提供的其他资料.docx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投标⽂件内容⻬全，⽆重⼤缺漏项；</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法定代表人身份证明书及授权委托书.docx 产品技术参数表 投标函 供应商企业关系关联承诺书.docx 残疾人福利性单位声明函 招标文件要求的其他资料或投标人认为需要提供的其他资料.docx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供应商不得提交选择性报价，只有⼀个有效报价，且报价不超过采购预算或最⾼限价；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合同履⾏期限及质保期</w:t>
            </w:r>
          </w:p>
        </w:tc>
        <w:tc>
          <w:tcPr>
            <w:tcW w:type="dxa" w:w="3322"/>
          </w:tcPr>
          <w:p>
            <w:pPr>
              <w:pStyle w:val="null3"/>
            </w:pPr>
            <w:r>
              <w:rPr>
                <w:rFonts w:ascii="仿宋_GB2312" w:hAnsi="仿宋_GB2312" w:cs="仿宋_GB2312" w:eastAsia="仿宋_GB2312"/>
              </w:rPr>
              <w:t>满⾜招标⽂件要求；</w:t>
            </w:r>
          </w:p>
        </w:tc>
        <w:tc>
          <w:tcPr>
            <w:tcW w:type="dxa" w:w="1661"/>
          </w:tcPr>
          <w:p>
            <w:pPr>
              <w:pStyle w:val="null3"/>
            </w:pPr>
            <w:r>
              <w:rPr>
                <w:rFonts w:ascii="仿宋_GB2312" w:hAnsi="仿宋_GB2312" w:cs="仿宋_GB2312" w:eastAsia="仿宋_GB2312"/>
              </w:rPr>
              <w:t>开标一览表 投标函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满⾜招标⽂件要求；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开发能力分析</w:t>
            </w:r>
          </w:p>
        </w:tc>
        <w:tc>
          <w:tcPr>
            <w:tcW w:type="dxa" w:w="2492"/>
          </w:tcPr>
          <w:p>
            <w:pPr>
              <w:pStyle w:val="null3"/>
            </w:pPr>
            <w:r>
              <w:rPr>
                <w:rFonts w:ascii="仿宋_GB2312" w:hAnsi="仿宋_GB2312" w:cs="仿宋_GB2312" w:eastAsia="仿宋_GB2312"/>
              </w:rPr>
              <w:t>1.供应商针对本项目平台开发工期计划方案。 工期计划方案架构完整、内容详实、逻辑清晰；工期排布科学合理，人员配置、工序衔接、进度管控措施、延期预案等内容齐全，完全匹配项目工期及建设要求，方案落地可行性极强，无遗漏、无不合理项，得2分。 工期计划方案整体框架完整，核心开发工期节点、建设阶段清晰，可基本匹配项目建设工期要求；但存在少量细节内容不够细化、部分工序衔接描述简略、预案内容不完善等轻微瑕疵，不影响整体工期落地，得1.5分。 工期计划方案内容简略、架构不完整，关键开发节点缺失、工期排布混乱；未结合本项目实际情况制定专属计划，可行性较差，存在明显缺陷，得1分。 2.供应商针对该平台的稳定性、安全保障、应急性能要求等方面全面具体阐述。 全面、系统、详细阐述平台稳定性保障机制、全维度安全防护体系、完整应急处置方案及风险防控措施；方案贴合本项目平台建设场景，措施具体、可落地、可执行，完全满足项目安全、稳定、应急建设要求，无短板、无遗漏，得2分 相关方案内容空洞、维度缺失，未全面覆盖平台稳定、安全、应急核心要求；保障措施笼统、无具体落地手段，应急处置流程缺失、风险防控机制不完善，无法有效保障平台安全稳定运行，方案合理性、可行性不足，得1分 3.供应商针对本平台建设的重点、难点问题情况。 全面梳理本项目平台建设核心重点、关键难点，方案贴合项目实际，解决思路清晰、可有效破解项目建设重难点问题，完全满足项目建设需求，得2分。 对项目建设重点、难点识别不准确、不全面；无针对性解决方案或解决措施不具备落地条件，无法有效应对项目建设重难点问题，方案整体质量较差，得1分。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招标文件要求的其他资料或投标人认为需要提供的其他资料.docx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建设方案</w:t>
            </w:r>
          </w:p>
        </w:tc>
        <w:tc>
          <w:tcPr>
            <w:tcW w:type="dxa" w:w="2492"/>
          </w:tcPr>
          <w:p>
            <w:pPr>
              <w:pStyle w:val="null3"/>
            </w:pPr>
            <w:r>
              <w:rPr>
                <w:rFonts w:ascii="仿宋_GB2312" w:hAnsi="仿宋_GB2312" w:cs="仿宋_GB2312" w:eastAsia="仿宋_GB2312"/>
              </w:rPr>
              <w:t>1.供应商具有针对本项目平台建设目标、建设内容，完整分析并响应用户需求的方案，按方案完整性、全面性、认知深度和专业性进行评分。 整体建设方案架构完整、逻辑严谨、内容详实，贴合项目实际业务场景，建设思路科学，实施路径清晰，落地性、实操性极强，完全满足项目建设要求，得2分。 方案内容空洞、逻辑混乱、针对性弱，未结合本项目实际情况编制，落地可行性差，无法有效支撑项目建设，得1分。 2.供应商针对本项目有详细的数据处理技术流程图、建库细则和软件开发设计方案。 具备完整、规范、贴合本项目业务的数据处理技术流程图；数据库建库细则完善，软件开发架构选型合理、模块设计清晰、技术路线先进、方案详实专业，完全满足项目开发及数据建设要求，可行性极高，得2分。 软件开发设计方案粗糙；技术思路不清晰、针对性差，无法满足项目数据处理及系统开发核心要求，方案合理性、可行性较差，得1分。 3.供应商具有针对本项目平台内各类功能服务的详细设计及实现方式的方案。 各功能均明确对应的技术实现路径、开发方式、落地保障手段；方案专业详实、针对性极强，完全匹配项目功能建设要求，可直接指导项目开发实施，可行性极强，得2分。 核心功能阐述不全，实现方式模糊笼统、无具体技术方案；方案与项目业务适配度低，落地可行性差，无法满足平台功能建设基本要求，得1分。 4.供应商具有针对本项目平台与其他部门的数据共享的稳定性的方案。 针对多部门数据共享场景制定完整、专项的稳定性保障方案、方案贴合跨部门协同场景，措施具体可落地，完全满足数据共享稳定、安全、持续运行要求，得2分。 方案内容空洞，未针对跨部门对接特点制定专项保障措施，无传输稳定、异常处置、兼容适配等核心内容；方案针对性、可行性差，无法保障跨部门数据共享稳定开展，得1分。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招标文件要求的其他资料或投标人认为需要提供的其他资料.docx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项目负责人具有测绘地理信息类专业高级工程师或以上职称得3分，具备测绘地理信息类中级职称的得1分，最高3分。 项目组成人员：（除项目负责人）具有测绘地理信息类专业中级工程师或以上职称，每派1人得1分，满分10分。 注：以上人员须提供近 3 个月的社保缴纳证明；退休人员需提供退休证明及聘用合同；未提供相关内容的不计分。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招标文件要求的其他资料或投标人认为需要提供的其他资料.docx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1.具有计算机软件著作权登记证书（涉及农业农村管理相关系统或平台的著作权证书），每提供1项得2分，最多得6分，未提供不得分。 2.具有高新技术企业证书得2分，未提供不得分。 3.具有农业农村管理相关软件平台发明专利得2分，需提供证书扫描件，未提供不得分。 4.具备职业健康安全管理体系认证证书、环境管理体系认证证书、质量管理体系及认证证书，每提供1项得2分，最多得6分，未提供不得分。 5.具备省级及以上测绘地理信息行业信用等级证书信用登记A级得2分，B级得1分，B级以下不得分，需提供证书扫描件，未提供不得分。 6.提供省级及以上奖项或表彰，每提供1项得2分，最多得4分，需提供证书扫描件，未提供不得分。 提供市、县级单位奖项或表彰，每提供1项得2分，最多得4分，需提供证书扫描件，未提供不得分。 7.供应商可提供良好的本地化服务能力，提供相关证明材料得2分。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招标文件要求的其他资料或投标人认为需要提供的其他资料.docx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1.能提供完善的售后技术支持和服务。 售后技术支持与服务方案体系完整、内容详实、针对性强，明确专属售后团队配置、岗位职责、服务驻地、时效承诺、定期巡检、版本迭代保障、售后回访等全流程服务机制，措施周密具体、落地性强，得2分。 方案内容简略空洞，未结合本项目实际情况制定专项服务方案，无明确的服务团队、响应时效、故障处置、运维保障等核心内容，服务体系缺失、措施笼统，合理性及落地可行性较差，得1分。 2.供应商针对本项目提供技术培训方案，具有明确的培训对象，培训组织方式等，方案周密、合理、可行。 技术培训方案周密完善、内容详实，精准划分各类培训对象（管理人员、运维人员、业务操作人员等），培训组织方式科学多样；培训课程贴合项目实际业务，完全满足项目人员操作、运维、使用培训需求，得2分。 培训方案内容简略模糊，未明确培训对象、培训组织方式，培训内容空泛、无针对性；方案合理性、可行性较差，无法满足项目人员培训需求，得1分。 3.供应商针对本项目的质量保证方案，具有明确的质量保证目标，质量保证措施，方案周密、合理、可行。 质量保证方案周密完善、专业详实，制定清晰明确、贴合本项目的专属质量保证目标；质保机制科学规范、落地性极强，可全面保障项目建设质量，完全满足项目质量建设要求，得2分。 质量保证方案框架完整，具备明确的质量保证目标及基础质保措施，覆盖项目核心建设环节质量管控，方案基本合理，可基本保障项目建设质量；存在部分质保流程细化不足、风险防控措施单一、全过程管控覆盖不全等问题，得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招标文件要求的其他资料或投标人认为需要提供的其他资料.docx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供应商具有2021年1月1日（以合同签订时间为准）相关软件开发信息化建设类似项目业绩，提供合同复印件加盖公章，每提供一个得3分，最高得9分。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招标文件要求的其他资料或投标人认为需要提供的其他资料.docx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满足招标文件要求且报价最低的供应商的价格为基准价，其价格分为满分。其他供应商的价格分统一按照下列公式计算： 报价得分=（基准价/投标报价）×30，计算分数时四舍五⼊取⼩数点后两位。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详见附件：法定代表人身份证明书及授权委托书.docx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详见附件：招标文件要求的其他资料或投标人认为需要提供的其他资料.docx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