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版本号：KY2026-1-51720260518001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高温挥发测定仪采购项目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KY2026-1-517</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高温挥发测定仪采购项目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KY2026-1-517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高温挥发测定仪采购项目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高温挥发测定仪是冶金与材料学科实验教学和科研训练的重要基础设备，主要用于煤、焦炭、炭材料及相关固体样品在高温条件下挥发特性的测定，可为原料性能评价、热行为分析和工艺适应性研究提供数据支撑。具体内容详见谈判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1、法定代表人授权委托书：法定代表人授权书及被授权人身份证明。（法定代表人直接谈判只须提供其身份证明）</w:t>
      </w:r>
    </w:p>
    <w:p>
      <w:pPr>
        <w:pStyle w:val="null3"/>
      </w:pPr>
      <w:r>
        <w:rPr>
          <w:rFonts w:ascii="仿宋_GB2312" w:hAnsi="仿宋_GB2312" w:cs="仿宋_GB2312" w:eastAsia="仿宋_GB2312"/>
        </w:rPr>
        <w:t>2、所投进口产品的完整授权链证明材料：所投产品如为进口产品，提供所投进口产品的完整授权链证明材料。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李成龙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温虎、刘金柯、卢韶华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银行账号：86113010750181502001200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说明：供应商成交后凭成交通知书向学校缴纳成交金额的 5 %作为履约保证金，待合同履约完毕后无息退还。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代理服务费收费标准：中标人应依据中标金额向采购代理机构交纳中标服务费，交费金额以国家计委颁布的《招标代理服务收费管理暂行办法》(计价格[2002]1980号)文件为依据计代理服务费，按照以下要求计： 1、100万元(不含)以下的项目，按照文件标准计费收取； 2、100万元(含)以上的项目，按照文件标准上限75%计费。 3、本项目代理服务费按货物计取。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陕西开源招标有限公司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联系人：温虎、刘金柯</w:t>
      </w:r>
    </w:p>
    <w:p>
      <w:pPr>
        <w:pStyle w:val="null3"/>
      </w:pPr>
      <w:r>
        <w:rPr>
          <w:rFonts w:ascii="仿宋_GB2312" w:hAnsi="仿宋_GB2312" w:cs="仿宋_GB2312" w:eastAsia="仿宋_GB2312"/>
        </w:rPr>
        <w:t>联系电话：029-81206622-820</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高温挥发测定仪是冶金与材料学科实验教学和科研训练的重要基础设备，主要用于煤、焦炭、炭材料及相关固体样品在高温条件下挥发特性的测定，可为原料性能评价、热行为分析和工艺适应性研究提供数据支撑。具体采购内容详见技术参数与性能指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高温挥发测定仪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510,000.00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标的名称：高温挥发测定仪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left"/>
            </w:pPr>
            <w:r>
              <w:rPr>
                <w:rFonts w:ascii="仿宋_GB2312" w:hAnsi="仿宋_GB2312" w:cs="仿宋_GB2312" w:eastAsia="仿宋_GB2312"/>
                <w:sz w:val="24"/>
                <w:b/>
              </w:rPr>
              <w:t>采购清单及技术标准、配置要求：</w:t>
            </w:r>
          </w:p>
          <w:p>
            <w:pPr>
              <w:pStyle w:val="null3"/>
            </w:pPr>
            <w:r>
              <w:rPr>
                <w:rFonts w:ascii="仿宋_GB2312" w:hAnsi="仿宋_GB2312" w:cs="仿宋_GB2312" w:eastAsia="仿宋_GB2312"/>
                <w:sz w:val="24"/>
                <w:b/>
                <w:shd w:fill="FFFFFF" w:val="clear"/>
              </w:rPr>
              <w:t>一、</w:t>
            </w:r>
            <w:r>
              <w:rPr>
                <w:rFonts w:ascii="仿宋_GB2312" w:hAnsi="仿宋_GB2312" w:cs="仿宋_GB2312" w:eastAsia="仿宋_GB2312"/>
                <w:sz w:val="24"/>
                <w:b/>
                <w:shd w:fill="FFFFFF" w:val="clear"/>
              </w:rPr>
              <w:t>采购清单</w:t>
            </w:r>
          </w:p>
          <w:tbl>
            <w:tblPr>
              <w:tblInd w:type="dxa" w:w="120"/>
              <w:tblBorders>
                <w:top w:val="none" w:color="000000" w:sz="4"/>
                <w:left w:val="none" w:color="000000" w:sz="4"/>
                <w:bottom w:val="none" w:color="000000" w:sz="4"/>
                <w:right w:val="none" w:color="000000" w:sz="4"/>
                <w:insideH w:val="none"/>
                <w:insideV w:val="none"/>
              </w:tblBorders>
            </w:tblPr>
            <w:tblGrid>
              <w:gridCol w:w="379"/>
              <w:gridCol w:w="1118"/>
              <w:gridCol w:w="526"/>
              <w:gridCol w:w="531"/>
            </w:tblGrid>
            <w:tr>
              <w:tc>
                <w:tcPr>
                  <w:tcW w:type="dxa" w:w="3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序号</w:t>
                  </w:r>
                </w:p>
              </w:tc>
              <w:tc>
                <w:tcPr>
                  <w:tcW w:type="dxa" w:w="11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产品名称</w:t>
                  </w:r>
                </w:p>
              </w:tc>
              <w:tc>
                <w:tcPr>
                  <w:tcW w:type="dxa" w:w="5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数量</w:t>
                  </w:r>
                </w:p>
              </w:tc>
              <w:tc>
                <w:tcPr>
                  <w:tcW w:type="dxa" w:w="5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单位</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高温挥发测定仪</w:t>
                  </w:r>
                </w:p>
                <w:p>
                  <w:pPr>
                    <w:pStyle w:val="null3"/>
                    <w:jc w:val="center"/>
                  </w:pPr>
                  <w:r>
                    <w:rPr>
                      <w:rFonts w:ascii="仿宋_GB2312" w:hAnsi="仿宋_GB2312" w:cs="仿宋_GB2312" w:eastAsia="仿宋_GB2312"/>
                      <w:sz w:val="24"/>
                    </w:rPr>
                    <w:t>【核心产品】</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bl>
          <w:p>
            <w:pPr>
              <w:pStyle w:val="null3"/>
              <w:jc w:val="left"/>
            </w:pPr>
            <w:r>
              <w:rPr>
                <w:rFonts w:ascii="仿宋_GB2312" w:hAnsi="仿宋_GB2312" w:cs="仿宋_GB2312" w:eastAsia="仿宋_GB2312"/>
                <w:sz w:val="24"/>
                <w:b/>
              </w:rPr>
              <w:t>二、技术标准、配置要求</w:t>
            </w:r>
          </w:p>
          <w:tbl>
            <w:tblPr>
              <w:tblInd w:type="dxa" w:w="120"/>
              <w:tblBorders>
                <w:top w:val="none" w:color="000000" w:sz="4"/>
                <w:left w:val="none" w:color="000000" w:sz="4"/>
                <w:bottom w:val="none" w:color="000000" w:sz="4"/>
                <w:right w:val="none" w:color="000000" w:sz="4"/>
                <w:insideH w:val="none"/>
                <w:insideV w:val="none"/>
              </w:tblBorders>
            </w:tblPr>
            <w:tblGrid>
              <w:gridCol w:w="131"/>
              <w:gridCol w:w="236"/>
              <w:gridCol w:w="864"/>
              <w:gridCol w:w="965"/>
              <w:gridCol w:w="175"/>
              <w:gridCol w:w="166"/>
            </w:tblGrid>
            <w:tr>
              <w:tc>
                <w:tcPr>
                  <w:tcW w:type="dxa" w:w="1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产品名称</w:t>
                  </w:r>
                </w:p>
              </w:tc>
              <w:tc>
                <w:tcPr>
                  <w:tcW w:type="dxa" w:w="8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技术标准</w:t>
                  </w:r>
                </w:p>
              </w:tc>
              <w:tc>
                <w:tcPr>
                  <w:tcW w:type="dxa" w:w="9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配置要求</w:t>
                  </w:r>
                </w:p>
              </w:tc>
              <w:tc>
                <w:tcPr>
                  <w:tcW w:type="dxa" w:w="1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高温挥发测定仪</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1）炉体温度范围：室温～1600℃。</w:t>
                  </w:r>
                  <w:r>
                    <w:rPr>
                      <w:rFonts w:ascii="仿宋_GB2312" w:hAnsi="仿宋_GB2312" w:cs="仿宋_GB2312" w:eastAsia="仿宋_GB2312"/>
                      <w:sz w:val="21"/>
                      <w:b/>
                      <w:color w:val="000000"/>
                    </w:rPr>
                    <w:t>（提供佐证材料）</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2）温度准确性：±0.5℃。</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3）整体设计：垂直炉体设计。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4）加热炉体：钨合金加热体，可耐受高温要求，由马达驱动炉体升降。</w:t>
                  </w:r>
                  <w:r>
                    <w:rPr>
                      <w:rFonts w:ascii="仿宋_GB2312" w:hAnsi="仿宋_GB2312" w:cs="仿宋_GB2312" w:eastAsia="仿宋_GB2312"/>
                      <w:sz w:val="21"/>
                      <w:b/>
                      <w:color w:val="000000"/>
                    </w:rPr>
                    <w:t>（提供佐证材料）</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5）炉体冷却方式：采用水循环制冷，炉体结构中配置冷却循环装置。</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6）炉体冷却速度：≤30 min (1600℃ 至 50℃)。</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7）炉腔内能够实现保护气氛、反应气氛，动态气氛、静态气氛和真空状态的测试条件。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8）温度扫描速度：全量程内0.01～100℃/min。</w:t>
                  </w:r>
                  <w:r>
                    <w:rPr>
                      <w:rFonts w:ascii="仿宋_GB2312" w:hAnsi="仿宋_GB2312" w:cs="仿宋_GB2312" w:eastAsia="仿宋_GB2312"/>
                      <w:sz w:val="21"/>
                      <w:b/>
                      <w:color w:val="000000"/>
                    </w:rPr>
                    <w:t>（提供佐证材料）</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9）设备采用TGA-DSC传感器及大样品量单独热重传感器进行检测，可配置不同即插即用式传感器，不同传感器用户可自行切换。</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10）配置单独TGA传感器允许大样品量测试，坩埚体积≥440 μl。</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11）量热精度：±1%。</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12）量热灵敏度：≤0.5μW。</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13）可升级三维比热测试专用传感器，软件标配比热测试功能。</w:t>
                  </w:r>
                  <w:r>
                    <w:rPr>
                      <w:rFonts w:ascii="仿宋_GB2312" w:hAnsi="仿宋_GB2312" w:cs="仿宋_GB2312" w:eastAsia="仿宋_GB2312"/>
                      <w:sz w:val="21"/>
                      <w:b/>
                      <w:color w:val="000000"/>
                    </w:rPr>
                    <w:t>（提供佐证材料）</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14）天平最大载重量：≥20000mg。</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15）天平称量范围：±200mg 及±1000mg双量程，软件内可自动切换。</w:t>
                  </w:r>
                  <w:r>
                    <w:rPr>
                      <w:rFonts w:ascii="仿宋_GB2312" w:hAnsi="仿宋_GB2312" w:cs="仿宋_GB2312" w:eastAsia="仿宋_GB2312"/>
                      <w:sz w:val="21"/>
                      <w:b/>
                      <w:color w:val="000000"/>
                    </w:rPr>
                    <w:t>（提供佐证材料）</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16）天平灵敏度：≤0.02μg（全量程）。</w:t>
                  </w:r>
                  <w:r>
                    <w:rPr>
                      <w:rFonts w:ascii="仿宋_GB2312" w:hAnsi="仿宋_GB2312" w:cs="仿宋_GB2312" w:eastAsia="仿宋_GB2312"/>
                      <w:sz w:val="21"/>
                      <w:b/>
                      <w:color w:val="000000"/>
                    </w:rPr>
                    <w:t>（提供佐证材料）</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17）配置气体分析仪保温接口：接口通过预热的毛细管从分析炉直接取样，可方便连接质谱（MS)、傅立叶红外光谱(FT-IR)等分析仪器。</w:t>
                  </w:r>
                  <w:r>
                    <w:rPr>
                      <w:rFonts w:ascii="仿宋_GB2312" w:hAnsi="仿宋_GB2312" w:cs="仿宋_GB2312" w:eastAsia="仿宋_GB2312"/>
                      <w:sz w:val="21"/>
                      <w:b/>
                      <w:color w:val="000000"/>
                    </w:rPr>
                    <w:t>（提供佐证材料）</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1）高温挥发测定仪主机1套：包含下列组件：绝热TGA天平，最大载荷20g（ 测量范围：+/-1000mg or +/- 200mg，分辨率：0.02 µg）；工具箱；控制器（包含32位微处理器、24位模数转换器、以太网卡）；用户手册U盘。</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2）加热模块1套：适用加热炉，最高温度1600℃，温度扫描速率：0.01 to 100 ℃/min。</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3）真空系统1套：一级真空泵。</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4）传感器及样品坩埚：</w:t>
                  </w:r>
                </w:p>
                <w:p>
                  <w:pPr>
                    <w:pStyle w:val="null3"/>
                    <w:jc w:val="both"/>
                  </w:pPr>
                  <w:r>
                    <w:rPr>
                      <w:rFonts w:ascii="仿宋_GB2312" w:hAnsi="仿宋_GB2312" w:cs="仿宋_GB2312" w:eastAsia="仿宋_GB2312"/>
                      <w:sz w:val="24"/>
                    </w:rPr>
                    <w:t>1）TG-DSC传感器，内置S型热电偶，室温至1600℃，1只；</w:t>
                  </w:r>
                </w:p>
                <w:p>
                  <w:pPr>
                    <w:pStyle w:val="null3"/>
                    <w:jc w:val="both"/>
                  </w:pPr>
                  <w:r>
                    <w:rPr>
                      <w:rFonts w:ascii="仿宋_GB2312" w:hAnsi="仿宋_GB2312" w:cs="仿宋_GB2312" w:eastAsia="仿宋_GB2312"/>
                      <w:sz w:val="24"/>
                    </w:rPr>
                    <w:t>2）TG-DSC传感器，内置E型热电偶，室温至800℃，1只；</w:t>
                  </w:r>
                </w:p>
                <w:p>
                  <w:pPr>
                    <w:pStyle w:val="null3"/>
                    <w:jc w:val="both"/>
                  </w:pPr>
                  <w:r>
                    <w:rPr>
                      <w:rFonts w:ascii="仿宋_GB2312" w:hAnsi="仿宋_GB2312" w:cs="仿宋_GB2312" w:eastAsia="仿宋_GB2312"/>
                      <w:sz w:val="24"/>
                    </w:rPr>
                    <w:t>3）原厂TG-DSC</w:t>
                  </w:r>
                  <w:r>
                    <w:rPr>
                      <w:rFonts w:ascii="仿宋_GB2312" w:hAnsi="仿宋_GB2312" w:cs="仿宋_GB2312" w:eastAsia="仿宋_GB2312"/>
                      <w:sz w:val="24"/>
                    </w:rPr>
                    <w:t>氧化铝坩埚及盖（</w:t>
                  </w:r>
                  <w:r>
                    <w:rPr>
                      <w:rFonts w:ascii="仿宋_GB2312" w:hAnsi="仿宋_GB2312" w:cs="仿宋_GB2312" w:eastAsia="仿宋_GB2312"/>
                      <w:sz w:val="24"/>
                    </w:rPr>
                    <w:t>90ul）-直径5mm，高度8mm，10套；</w:t>
                  </w:r>
                </w:p>
                <w:p>
                  <w:pPr>
                    <w:pStyle w:val="null3"/>
                    <w:jc w:val="both"/>
                  </w:pPr>
                  <w:r>
                    <w:rPr>
                      <w:rFonts w:ascii="仿宋_GB2312" w:hAnsi="仿宋_GB2312" w:cs="仿宋_GB2312" w:eastAsia="仿宋_GB2312"/>
                      <w:sz w:val="24"/>
                    </w:rPr>
                    <w:t>4）国产TG-DSC氧化铝坩埚，200只；</w:t>
                  </w:r>
                </w:p>
                <w:p>
                  <w:pPr>
                    <w:pStyle w:val="null3"/>
                    <w:jc w:val="both"/>
                  </w:pPr>
                  <w:r>
                    <w:rPr>
                      <w:rFonts w:ascii="仿宋_GB2312" w:hAnsi="仿宋_GB2312" w:cs="仿宋_GB2312" w:eastAsia="仿宋_GB2312"/>
                      <w:sz w:val="24"/>
                    </w:rPr>
                    <w:t>5）国产TG-DSC氧化锆坩埚20只；</w:t>
                  </w:r>
                </w:p>
                <w:p>
                  <w:pPr>
                    <w:pStyle w:val="null3"/>
                    <w:jc w:val="both"/>
                  </w:pPr>
                  <w:r>
                    <w:rPr>
                      <w:rFonts w:ascii="仿宋_GB2312" w:hAnsi="仿宋_GB2312" w:cs="仿宋_GB2312" w:eastAsia="仿宋_GB2312"/>
                      <w:sz w:val="24"/>
                    </w:rPr>
                    <w:t>6）国产TG-DSC氮化硼坩埚20只；</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5）逸出气体分析仪连接件1套：接口通过预热的毛细管从分析炉直接取样，可方便连接质谱（MS）、傅立叶红外光谱（FT-IR）等分析仪器。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6）恒温制冷水浴，1套。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7）纯水/超纯水机1套：</w:t>
                  </w:r>
                </w:p>
                <w:p>
                  <w:pPr>
                    <w:pStyle w:val="null3"/>
                    <w:jc w:val="both"/>
                  </w:pPr>
                  <w:r>
                    <w:rPr>
                      <w:rFonts w:ascii="仿宋_GB2312" w:hAnsi="仿宋_GB2312" w:cs="仿宋_GB2312" w:eastAsia="仿宋_GB2312"/>
                      <w:sz w:val="24"/>
                    </w:rPr>
                    <w:t>1）进水水源：一般城市自来水，水压0.1～0.4MPa，水温5-35℃；</w:t>
                  </w:r>
                </w:p>
                <w:p>
                  <w:pPr>
                    <w:pStyle w:val="null3"/>
                    <w:jc w:val="both"/>
                  </w:pPr>
                  <w:r>
                    <w:rPr>
                      <w:rFonts w:ascii="仿宋_GB2312" w:hAnsi="仿宋_GB2312" w:cs="仿宋_GB2312" w:eastAsia="仿宋_GB2312"/>
                      <w:sz w:val="24"/>
                    </w:rPr>
                    <w:t>2）制水速度：20 L/h，产水水质满足中国实验用水国家标准一级纯水标准（纯水产水水质：电导率≤5us/cm@25℃；超纯水产水水质：电阻率 18.2 MΩ•cm＠25℃，总有机碳含量(TOC)＜30ppb，流速 1.2L/min）；</w:t>
                  </w:r>
                </w:p>
                <w:p>
                  <w:pPr>
                    <w:pStyle w:val="null3"/>
                    <w:jc w:val="both"/>
                  </w:pPr>
                  <w:r>
                    <w:rPr>
                      <w:rFonts w:ascii="仿宋_GB2312" w:hAnsi="仿宋_GB2312" w:cs="仿宋_GB2312" w:eastAsia="仿宋_GB2312"/>
                      <w:sz w:val="24"/>
                    </w:rPr>
                    <w:t>3）可同时显示RO（三级水）、超纯水（一级水）二种水质参数。 RO、超纯水产水不合格报警设置（用户可任意设置报警值），文字、指示灯双重自动提示；</w:t>
                  </w:r>
                </w:p>
                <w:p>
                  <w:pPr>
                    <w:pStyle w:val="null3"/>
                    <w:jc w:val="both"/>
                  </w:pPr>
                  <w:r>
                    <w:rPr>
                      <w:rFonts w:ascii="仿宋_GB2312" w:hAnsi="仿宋_GB2312" w:cs="仿宋_GB2312" w:eastAsia="仿宋_GB2312"/>
                      <w:sz w:val="24"/>
                    </w:rPr>
                    <w:t>4）可自由设置RO冲洗功能，可独立设置冲洗次数和间隔冲洗时间及最后一次的冲洗时间。</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4"/>
                <w:b/>
              </w:rPr>
              <w:t>备注：</w:t>
            </w:r>
          </w:p>
          <w:p>
            <w:pPr>
              <w:pStyle w:val="null3"/>
            </w:pPr>
            <w:r>
              <w:rPr>
                <w:rFonts w:ascii="仿宋_GB2312" w:hAnsi="仿宋_GB2312" w:cs="仿宋_GB2312" w:eastAsia="仿宋_GB2312"/>
                <w:sz w:val="24"/>
                <w:b/>
              </w:rPr>
              <w:t>1、</w:t>
            </w:r>
            <w:r>
              <w:rPr>
                <w:rFonts w:ascii="仿宋_GB2312" w:hAnsi="仿宋_GB2312" w:cs="仿宋_GB2312" w:eastAsia="仿宋_GB2312"/>
                <w:sz w:val="24"/>
                <w:b/>
                <w:color w:val="000000"/>
              </w:rPr>
              <w:t>所有</w:t>
            </w:r>
            <w:r>
              <w:rPr>
                <w:rFonts w:ascii="仿宋_GB2312" w:hAnsi="仿宋_GB2312" w:cs="仿宋_GB2312" w:eastAsia="仿宋_GB2312"/>
                <w:sz w:val="24"/>
                <w:b/>
                <w:color w:val="000000"/>
              </w:rPr>
              <w:t>技术参数与性能指标</w:t>
            </w:r>
            <w:r>
              <w:rPr>
                <w:rFonts w:ascii="仿宋_GB2312" w:hAnsi="仿宋_GB2312" w:cs="仿宋_GB2312" w:eastAsia="仿宋_GB2312"/>
                <w:sz w:val="24"/>
                <w:b/>
                <w:color w:val="000000"/>
              </w:rPr>
              <w:t>不允许负偏离，任意一项负偏离按无效文件处理。需提供佐证材料的</w:t>
            </w:r>
            <w:r>
              <w:rPr>
                <w:rFonts w:ascii="仿宋_GB2312" w:hAnsi="仿宋_GB2312" w:cs="仿宋_GB2312" w:eastAsia="仿宋_GB2312"/>
                <w:sz w:val="24"/>
                <w:b/>
                <w:color w:val="000000"/>
              </w:rPr>
              <w:t>技术参数与性能指标，</w:t>
            </w:r>
            <w:r>
              <w:rPr>
                <w:rFonts w:ascii="仿宋_GB2312" w:hAnsi="仿宋_GB2312" w:cs="仿宋_GB2312" w:eastAsia="仿宋_GB2312"/>
                <w:sz w:val="24"/>
                <w:b/>
                <w:color w:val="000000"/>
              </w:rPr>
              <w:t>佐证材料包括但不限于产品彩页、厂家盖章出具的技术白皮书、官网截图等（技术要求中有佐证要求的以技术要求为准）。未提供或提供的佐证材料低于文件规定的相应技术参数时视为负偏离。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交货期：合同签订之日起 90 日历日内完成交付、安装及调试。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 工科楼附体楼324实验室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进口设备：合同生效后，由甲方通过双方认可的进口业务代理公司向中标人指定国外设备供应商开出100%信用证，其中90%货款凭外贸合同约定的发货单据及西安建筑科技大学出具的开箱点货报告原件解付，其余10%货款在设备验收合格后凭甲方签署的验收报告原件解付。国产设备：签订合同后15日内，乙方提供经甲方认可的合同金额100%的预付款保函或双方认可的其他担保措施，支付合同金额的100%。，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1.项目质保期：验收合格通过之日起_1_年。 2.售后服务响应时间（质保期内）：即时响应（包括电话响应）；电话响应无法解决 24 小时内到达现场。修复时间 48 小时内解决；如在 48 小时内无法修复，则提供部件冗余服务或采取应急措施，提供相同产品或不低于故障产品规格档次的备用产品供采购人使用，以确保货物的正常使用。 3. 培训服务要求：培训内容及要求：设备操作、维护等 。</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成交）结果发布后，中标（成交）供应商在2个工作日内向采购代理机构提供一正一副（和上传文件保持一致的）、电子版壹份（U盘壹份注明单位名称）,纸质投标（响应）文件用于备案及档案保存。纸质谈判响应文件正副本分别胶装（纸质谈判响应文件建议采用双面打印）。 2、保证金的退还：自成交通知书发出之日起5个工作日内退还未成交供应商的谈判保证金,自采购合同签订之日起5个工作日内退还成交供应商的谈判保证金。 3、采购人应按照采购文件和成交供应商响应文件，在成交通知书发出之日起25日内签订合同。 4、对本国产品的支持政策：政府采购活动中既有本国产品又有非本国产品参与竞争的，依法对本国产品给予价格评审优惠，对本国产品的报价给予20%的价格扣除，用扣除后的价格参与评审。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5、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6、本项目谈判报价包括设备配套固定件、安装与调试。 7、供应商所投产品为成熟商业化产品，不接受处于科研阶段或需定制的产品。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①有效的主体资格证明：具有独立承担民事责任能力的法人、其他组织或自然人，并出具合法有效的营业执照或事业单位法人证书等国家规定的相关证明，自然人参与的提供其身份证明。 ②税收缴纳证明：提供2025年5月至今已缴纳至少一个月的依法缴纳税款的相关凭据（时间以税款所属日期为准），凭据应有税务机关或代收机关的公章或业务专用章。依法免税或无须缴纳税款的投标人，应提供相关证明文件。 ③社会保障资金缴存证明：提供2025年5月至今已缴存的至少一个月的社会保障资金缴存单据或社保机构开具的社会保险参保缴费情况证明，依法不需要缴纳社会保障资金的单位应提供相关证明材料。 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 ⑤承诺函：提供具有履行合同所必需的设备和专业技术能力的承诺函。 注：供应商需在项目电子化交易系统中上传①-⑤项相关证明文件并进行电子签章。</w:t>
            </w:r>
          </w:p>
        </w:tc>
        <w:tc>
          <w:tcPr>
            <w:tcW w:type="dxa" w:w="1661"/>
          </w:tcPr>
          <w:p>
            <w:pPr>
              <w:pStyle w:val="null3"/>
            </w:pPr>
            <w:r>
              <w:rPr>
                <w:rFonts w:ascii="仿宋_GB2312" w:hAnsi="仿宋_GB2312" w:cs="仿宋_GB2312" w:eastAsia="仿宋_GB2312"/>
              </w:rPr>
              <w:t>6.供应商资格条件证明文件.docx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2025年11月1日以来银行出具的资信证明，或信用担保机构出具的投标担保函（以上三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6.供应商资格条件证明文件.docx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7.谈判响应方案说明.docx 5.商务条款响应说明.docx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法定代表人授权书及被授权人身份证明。（法定代表人直接谈判只须提供其身份证明）</w:t>
            </w:r>
          </w:p>
        </w:tc>
        <w:tc>
          <w:tcPr>
            <w:tcW w:type="dxa" w:w="1661"/>
          </w:tcPr>
          <w:p>
            <w:pPr>
              <w:pStyle w:val="null3"/>
            </w:pPr>
            <w:r>
              <w:rPr>
                <w:rFonts w:ascii="仿宋_GB2312" w:hAnsi="仿宋_GB2312" w:cs="仿宋_GB2312" w:eastAsia="仿宋_GB2312"/>
              </w:rPr>
              <w:t>6.供应商资格条件证明文件.docx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所投进口产品的完整授权链证明材料</w:t>
            </w:r>
          </w:p>
        </w:tc>
        <w:tc>
          <w:tcPr>
            <w:tcW w:type="dxa" w:w="3322"/>
          </w:tcPr>
          <w:p>
            <w:pPr>
              <w:pStyle w:val="null3"/>
            </w:pPr>
            <w:r>
              <w:rPr>
                <w:rFonts w:ascii="仿宋_GB2312" w:hAnsi="仿宋_GB2312" w:cs="仿宋_GB2312" w:eastAsia="仿宋_GB2312"/>
              </w:rPr>
              <w:t>所投产品如为进口产品，提供所投进口产品的完整授权链证明材料。</w:t>
            </w:r>
          </w:p>
        </w:tc>
        <w:tc>
          <w:tcPr>
            <w:tcW w:type="dxa" w:w="1661"/>
          </w:tcPr>
          <w:p>
            <w:pPr>
              <w:pStyle w:val="null3"/>
            </w:pPr>
            <w:r>
              <w:rPr>
                <w:rFonts w:ascii="仿宋_GB2312" w:hAnsi="仿宋_GB2312" w:cs="仿宋_GB2312" w:eastAsia="仿宋_GB2312"/>
              </w:rPr>
              <w:t>6.供应商资格条件证明文件.docx 7.谈判响应方案说明.docx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（1）政府采购评审中出现下列情形之一的，评审委员会应当启动异常低价投标（响应）审查程序：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时间为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3.分项报价表.docx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有下列情形之一的，应在符合性审查时按照无效响应处理： (1)响应文件未按照采购文件规定要求签署、盖章； (2)不满足本谈判文件中“交货时间、交货地点、采购资金的支付方式及约定、质量保修范围和保修期”的实质性条款要求； (3)谈判有效期不足或无有效期； (4)报价超过谈判文件中规定的最高限价； (5)保证金交纳不符合谈判文件要求； (6)未提供或未填写产品使用寿命承诺函； (7)法律、法规和谈判文件规定的其他无效情形。</w:t>
            </w:r>
          </w:p>
        </w:tc>
        <w:tc>
          <w:tcPr>
            <w:tcW w:type="dxa" w:w="1661"/>
          </w:tcPr>
          <w:p>
            <w:pPr>
              <w:pStyle w:val="null3"/>
            </w:pPr>
            <w:r>
              <w:rPr>
                <w:rFonts w:ascii="仿宋_GB2312" w:hAnsi="仿宋_GB2312" w:cs="仿宋_GB2312" w:eastAsia="仿宋_GB2312"/>
              </w:rPr>
              <w:t>关于符合本国产品标准的声明函.docx 6.供应商资格条件证明文件.docx 中小企业声明函.docx 9.保证金交纳凭证.docx 8.供应商承诺书.docx 报价表 响应文件封面 3.分项报价表.docx 残疾人福利性单位声明函 标的清单 响应函 4.技术指标偏差表.docx 7.谈判响应方案说明.docx 监狱企业的证明文件 5.商务条款响应说明.docx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小型、微型企业和监狱企业级符合财政部、民政部、中国残疾人联合会关于促进残疾人就业政府采购政策的通知，以上政策同时具备的仅对其进行一次10%的价格扣除，不重复扣除。</w:t>
            </w:r>
          </w:p>
        </w:tc>
        <w:tc>
          <w:tcPr>
            <w:tcW w:type="dxa" w:w="1910"/>
          </w:tcPr>
          <w:p>
            <w:pPr>
              <w:pStyle w:val="null3"/>
            </w:pPr>
            <w:r>
              <w:rPr>
                <w:rFonts w:ascii="仿宋_GB2312" w:hAnsi="仿宋_GB2312" w:cs="仿宋_GB2312" w:eastAsia="仿宋_GB2312"/>
              </w:rPr>
              <w:t>关于符合本国产品标准的声明函.docx 中小企业声明函.docx</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详见附件：3.分项报价表.docx</w:t>
      </w:r>
    </w:p>
    <w:p>
      <w:pPr>
        <w:pStyle w:val="null3"/>
        <w:ind w:firstLine="960"/>
      </w:pPr>
      <w:r>
        <w:rPr>
          <w:rFonts w:ascii="仿宋_GB2312" w:hAnsi="仿宋_GB2312" w:cs="仿宋_GB2312" w:eastAsia="仿宋_GB2312"/>
        </w:rPr>
        <w:t>详见附件：4.技术指标偏差表.docx</w:t>
      </w:r>
    </w:p>
    <w:p>
      <w:pPr>
        <w:pStyle w:val="null3"/>
        <w:ind w:firstLine="960"/>
      </w:pPr>
      <w:r>
        <w:rPr>
          <w:rFonts w:ascii="仿宋_GB2312" w:hAnsi="仿宋_GB2312" w:cs="仿宋_GB2312" w:eastAsia="仿宋_GB2312"/>
        </w:rPr>
        <w:t>详见附件：5.商务条款响应说明.docx</w:t>
      </w:r>
    </w:p>
    <w:p>
      <w:pPr>
        <w:pStyle w:val="null3"/>
        <w:ind w:firstLine="960"/>
      </w:pPr>
      <w:r>
        <w:rPr>
          <w:rFonts w:ascii="仿宋_GB2312" w:hAnsi="仿宋_GB2312" w:cs="仿宋_GB2312" w:eastAsia="仿宋_GB2312"/>
        </w:rPr>
        <w:t>详见附件：6.供应商资格条件证明文件.docx</w:t>
      </w:r>
    </w:p>
    <w:p>
      <w:pPr>
        <w:pStyle w:val="null3"/>
        <w:ind w:firstLine="960"/>
      </w:pPr>
      <w:r>
        <w:rPr>
          <w:rFonts w:ascii="仿宋_GB2312" w:hAnsi="仿宋_GB2312" w:cs="仿宋_GB2312" w:eastAsia="仿宋_GB2312"/>
        </w:rPr>
        <w:t>详见附件：7.谈判响应方案说明.docx</w:t>
      </w:r>
    </w:p>
    <w:p>
      <w:pPr>
        <w:pStyle w:val="null3"/>
        <w:ind w:firstLine="960"/>
      </w:pPr>
      <w:r>
        <w:rPr>
          <w:rFonts w:ascii="仿宋_GB2312" w:hAnsi="仿宋_GB2312" w:cs="仿宋_GB2312" w:eastAsia="仿宋_GB2312"/>
        </w:rPr>
        <w:t>详见附件：8.供应商承诺书.docx</w:t>
      </w:r>
    </w:p>
    <w:p>
      <w:pPr>
        <w:pStyle w:val="null3"/>
        <w:ind w:firstLine="960"/>
      </w:pPr>
      <w:r>
        <w:rPr>
          <w:rFonts w:ascii="仿宋_GB2312" w:hAnsi="仿宋_GB2312" w:cs="仿宋_GB2312" w:eastAsia="仿宋_GB2312"/>
        </w:rPr>
        <w:t>详见附件：9.保证金交纳凭证.docx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详见附件：中小企业声明函.docx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