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0D9FDD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center"/>
        <w:textAlignment w:val="auto"/>
        <w:rPr>
          <w:rFonts w:hint="eastAsia" w:ascii="宋体" w:hAnsi="宋体"/>
          <w:b/>
          <w:bCs/>
          <w:sz w:val="32"/>
          <w:szCs w:val="32"/>
          <w:highlight w:val="none"/>
          <w:lang w:val="en-US" w:eastAsia="zh-CN"/>
        </w:rPr>
      </w:pPr>
      <w:bookmarkStart w:id="0" w:name="_GoBack"/>
      <w:bookmarkEnd w:id="0"/>
      <w:r>
        <w:rPr>
          <w:rFonts w:hint="eastAsia" w:ascii="宋体" w:hAnsi="宋体"/>
          <w:b/>
          <w:bCs/>
          <w:sz w:val="32"/>
          <w:szCs w:val="32"/>
          <w:highlight w:val="none"/>
          <w:lang w:val="en-US" w:eastAsia="zh-CN"/>
        </w:rPr>
        <w:t>采购需求</w:t>
      </w:r>
    </w:p>
    <w:p w14:paraId="51E0DFBB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一、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  <w:t>功能清单</w:t>
      </w:r>
    </w:p>
    <w:p w14:paraId="4223CA07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2" w:firstLineChars="200"/>
        <w:jc w:val="left"/>
        <w:textAlignment w:val="auto"/>
        <w:rPr>
          <w:rFonts w:hint="default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  <w:t>根据医院实际需求，开发以下三大功能</w:t>
      </w:r>
    </w:p>
    <w:p w14:paraId="0C00FEB9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1、检前预约平台</w:t>
      </w:r>
    </w:p>
    <w:tbl>
      <w:tblPr>
        <w:tblStyle w:val="4"/>
        <w:tblW w:w="499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3"/>
        <w:gridCol w:w="1115"/>
        <w:gridCol w:w="6652"/>
      </w:tblGrid>
      <w:tr w14:paraId="717F66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65" w:hRule="atLeast"/>
          <w:jc w:val="center"/>
        </w:trPr>
        <w:tc>
          <w:tcPr>
            <w:tcW w:w="1096" w:type="pct"/>
            <w:gridSpan w:val="2"/>
            <w:shd w:val="clear" w:color="auto" w:fill="D9E2F3"/>
            <w:noWrap w:val="0"/>
            <w:vAlign w:val="center"/>
          </w:tcPr>
          <w:p w14:paraId="4F5355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功能</w:t>
            </w:r>
            <w:r>
              <w:rPr>
                <w:rFonts w:hint="eastAsia" w:ascii="宋体" w:hAnsi="宋体"/>
                <w:szCs w:val="22"/>
                <w:highlight w:val="none"/>
                <w:lang w:val="en-US" w:eastAsia="zh-CN"/>
              </w:rPr>
              <w:t>开发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类别</w:t>
            </w:r>
          </w:p>
        </w:tc>
        <w:tc>
          <w:tcPr>
            <w:tcW w:w="3903" w:type="pct"/>
            <w:shd w:val="clear" w:color="auto" w:fill="D9E2F3"/>
            <w:noWrap w:val="0"/>
            <w:vAlign w:val="center"/>
          </w:tcPr>
          <w:p w14:paraId="6500A5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功能需求</w:t>
            </w:r>
          </w:p>
        </w:tc>
      </w:tr>
      <w:tr w14:paraId="2830C4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442" w:type="pct"/>
            <w:vMerge w:val="restart"/>
            <w:noWrap w:val="0"/>
            <w:vAlign w:val="center"/>
          </w:tcPr>
          <w:p w14:paraId="740F8C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微官网</w:t>
            </w:r>
          </w:p>
        </w:tc>
        <w:tc>
          <w:tcPr>
            <w:tcW w:w="654" w:type="pct"/>
            <w:noWrap w:val="0"/>
            <w:vAlign w:val="center"/>
          </w:tcPr>
          <w:p w14:paraId="724CB9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医院介绍</w:t>
            </w:r>
          </w:p>
        </w:tc>
        <w:tc>
          <w:tcPr>
            <w:tcW w:w="3903" w:type="pct"/>
            <w:noWrap w:val="0"/>
            <w:vAlign w:val="center"/>
          </w:tcPr>
          <w:p w14:paraId="57C37C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CN"/>
              </w:rPr>
              <w:t>根据使用部门需要开发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医院介绍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，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包括可随时维护医院文字介绍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、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环境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、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设备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、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体检时间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、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服务电话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、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体检须知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、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位置导航等信息</w:t>
            </w:r>
          </w:p>
        </w:tc>
      </w:tr>
      <w:tr w14:paraId="08EB40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442" w:type="pct"/>
            <w:vMerge w:val="continue"/>
            <w:noWrap w:val="0"/>
            <w:vAlign w:val="center"/>
          </w:tcPr>
          <w:p w14:paraId="5DF1B7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</w:p>
        </w:tc>
        <w:tc>
          <w:tcPr>
            <w:tcW w:w="654" w:type="pct"/>
            <w:noWrap w:val="0"/>
            <w:vAlign w:val="center"/>
          </w:tcPr>
          <w:p w14:paraId="0AB36B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个人体检</w:t>
            </w:r>
          </w:p>
        </w:tc>
        <w:tc>
          <w:tcPr>
            <w:tcW w:w="3903" w:type="pct"/>
            <w:noWrap w:val="0"/>
            <w:vAlign w:val="center"/>
          </w:tcPr>
          <w:p w14:paraId="38ED92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CN"/>
              </w:rPr>
              <w:t>根使用部门需要开发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个人通过微信公众号进行套餐购买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，预约体检时间</w:t>
            </w:r>
          </w:p>
        </w:tc>
      </w:tr>
      <w:tr w14:paraId="7C5143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442" w:type="pct"/>
            <w:vMerge w:val="continue"/>
            <w:noWrap w:val="0"/>
            <w:vAlign w:val="center"/>
          </w:tcPr>
          <w:p w14:paraId="54E729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</w:p>
        </w:tc>
        <w:tc>
          <w:tcPr>
            <w:tcW w:w="654" w:type="pct"/>
            <w:noWrap w:val="0"/>
            <w:vAlign w:val="center"/>
          </w:tcPr>
          <w:p w14:paraId="6ACDCF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团队体检</w:t>
            </w:r>
          </w:p>
        </w:tc>
        <w:tc>
          <w:tcPr>
            <w:tcW w:w="3903" w:type="pct"/>
            <w:noWrap w:val="0"/>
            <w:vAlign w:val="center"/>
          </w:tcPr>
          <w:p w14:paraId="1F42BA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支持团队通过微信公众号进行团检预约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，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并须支持用户在线加项</w:t>
            </w:r>
          </w:p>
        </w:tc>
      </w:tr>
      <w:tr w14:paraId="5F06EA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442" w:type="pct"/>
            <w:vMerge w:val="continue"/>
            <w:noWrap w:val="0"/>
            <w:vAlign w:val="center"/>
          </w:tcPr>
          <w:p w14:paraId="23CBC2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</w:p>
        </w:tc>
        <w:tc>
          <w:tcPr>
            <w:tcW w:w="654" w:type="pct"/>
            <w:noWrap w:val="0"/>
            <w:vAlign w:val="center"/>
          </w:tcPr>
          <w:p w14:paraId="247CE2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预约记录</w:t>
            </w:r>
          </w:p>
        </w:tc>
        <w:tc>
          <w:tcPr>
            <w:tcW w:w="3903" w:type="pct"/>
            <w:noWrap w:val="0"/>
            <w:vAlign w:val="center"/>
          </w:tcPr>
          <w:p w14:paraId="5BB1E3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CN"/>
              </w:rPr>
              <w:t>根据使用部门需要</w:t>
            </w:r>
            <w:r>
              <w:rPr>
                <w:rFonts w:hint="eastAsia" w:ascii="宋体" w:hAnsi="宋体"/>
                <w:szCs w:val="22"/>
                <w:highlight w:val="none"/>
                <w:lang w:val="en-US" w:eastAsia="zh-CN"/>
              </w:rPr>
              <w:t>开发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用户查询预约记录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，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并须支持用户在线申请开票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，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须支持在线改约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、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退款</w:t>
            </w:r>
          </w:p>
        </w:tc>
      </w:tr>
      <w:tr w14:paraId="5A2E8A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442" w:type="pct"/>
            <w:vMerge w:val="continue"/>
            <w:noWrap w:val="0"/>
            <w:vAlign w:val="center"/>
          </w:tcPr>
          <w:p w14:paraId="46BBCE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</w:p>
        </w:tc>
        <w:tc>
          <w:tcPr>
            <w:tcW w:w="654" w:type="pct"/>
            <w:noWrap w:val="0"/>
            <w:vAlign w:val="center"/>
          </w:tcPr>
          <w:p w14:paraId="47E82B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报告查询</w:t>
            </w:r>
          </w:p>
        </w:tc>
        <w:tc>
          <w:tcPr>
            <w:tcW w:w="3903" w:type="pct"/>
            <w:noWrap w:val="0"/>
            <w:vAlign w:val="center"/>
          </w:tcPr>
          <w:p w14:paraId="14F147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支持用户在线查询体检报告</w:t>
            </w:r>
          </w:p>
        </w:tc>
      </w:tr>
      <w:tr w14:paraId="520B3E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442" w:type="pct"/>
            <w:vMerge w:val="restart"/>
            <w:noWrap w:val="0"/>
            <w:vAlign w:val="center"/>
          </w:tcPr>
          <w:p w14:paraId="2EE5EB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基础维护</w:t>
            </w:r>
          </w:p>
        </w:tc>
        <w:tc>
          <w:tcPr>
            <w:tcW w:w="654" w:type="pct"/>
            <w:noWrap w:val="0"/>
            <w:vAlign w:val="center"/>
          </w:tcPr>
          <w:p w14:paraId="77ED4F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项目管理</w:t>
            </w:r>
          </w:p>
        </w:tc>
        <w:tc>
          <w:tcPr>
            <w:tcW w:w="3903" w:type="pct"/>
            <w:noWrap w:val="0"/>
            <w:vAlign w:val="center"/>
          </w:tcPr>
          <w:p w14:paraId="120C2E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体检项目从体检软件同步到平台后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，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支持二次维护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。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须支持设置特殊项目折扣，须支持设置项目需要提前预约的时间，须支持设置项目的选中提醒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，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须支持设置项目是否含辐射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，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须支持设置项目是否允许加项</w:t>
            </w:r>
          </w:p>
        </w:tc>
      </w:tr>
      <w:tr w14:paraId="04EFDC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442" w:type="pct"/>
            <w:vMerge w:val="continue"/>
            <w:noWrap w:val="0"/>
            <w:vAlign w:val="center"/>
          </w:tcPr>
          <w:p w14:paraId="10BC58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</w:p>
        </w:tc>
        <w:tc>
          <w:tcPr>
            <w:tcW w:w="654" w:type="pct"/>
            <w:noWrap w:val="0"/>
            <w:vAlign w:val="center"/>
          </w:tcPr>
          <w:p w14:paraId="31DEDE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耗材管理</w:t>
            </w:r>
          </w:p>
        </w:tc>
        <w:tc>
          <w:tcPr>
            <w:tcW w:w="3903" w:type="pct"/>
            <w:noWrap w:val="0"/>
            <w:vAlign w:val="center"/>
          </w:tcPr>
          <w:p w14:paraId="1D0792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须</w:t>
            </w:r>
            <w:r>
              <w:rPr>
                <w:rFonts w:hint="eastAsia" w:ascii="宋体" w:hAnsi="宋体"/>
                <w:szCs w:val="22"/>
                <w:highlight w:val="none"/>
                <w:lang w:eastAsia="zh-CN"/>
              </w:rPr>
              <w:t>根据使用部门需要</w:t>
            </w:r>
            <w:r>
              <w:rPr>
                <w:rFonts w:hint="eastAsia" w:ascii="宋体" w:hAnsi="宋体"/>
                <w:szCs w:val="22"/>
                <w:highlight w:val="none"/>
                <w:lang w:val="en-US" w:eastAsia="zh-CN"/>
              </w:rPr>
              <w:t>开发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常见的体检耗材管理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，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能做到耗材的合并计费</w:t>
            </w:r>
          </w:p>
        </w:tc>
      </w:tr>
      <w:tr w14:paraId="30909C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442" w:type="pct"/>
            <w:vMerge w:val="continue"/>
            <w:noWrap w:val="0"/>
            <w:vAlign w:val="center"/>
          </w:tcPr>
          <w:p w14:paraId="69229A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</w:p>
        </w:tc>
        <w:tc>
          <w:tcPr>
            <w:tcW w:w="654" w:type="pct"/>
            <w:noWrap w:val="0"/>
            <w:vAlign w:val="center"/>
          </w:tcPr>
          <w:p w14:paraId="5D2BCB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加项包管理</w:t>
            </w:r>
          </w:p>
        </w:tc>
        <w:tc>
          <w:tcPr>
            <w:tcW w:w="3903" w:type="pct"/>
            <w:noWrap w:val="0"/>
            <w:vAlign w:val="center"/>
          </w:tcPr>
          <w:p w14:paraId="6E161B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须</w:t>
            </w:r>
            <w:r>
              <w:rPr>
                <w:rFonts w:hint="eastAsia" w:ascii="宋体" w:hAnsi="宋体"/>
                <w:szCs w:val="22"/>
                <w:highlight w:val="none"/>
                <w:lang w:eastAsia="zh-CN"/>
              </w:rPr>
              <w:t>根据使用部门需要开发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加项包模板配置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，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加项包可被个检套餐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、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团检套餐使用</w:t>
            </w:r>
          </w:p>
        </w:tc>
      </w:tr>
      <w:tr w14:paraId="478820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442" w:type="pct"/>
            <w:vMerge w:val="continue"/>
            <w:noWrap w:val="0"/>
            <w:vAlign w:val="center"/>
          </w:tcPr>
          <w:p w14:paraId="328925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</w:p>
        </w:tc>
        <w:tc>
          <w:tcPr>
            <w:tcW w:w="654" w:type="pct"/>
            <w:noWrap w:val="0"/>
            <w:vAlign w:val="center"/>
          </w:tcPr>
          <w:p w14:paraId="0AD209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套餐管理</w:t>
            </w:r>
          </w:p>
        </w:tc>
        <w:tc>
          <w:tcPr>
            <w:tcW w:w="3903" w:type="pct"/>
            <w:noWrap w:val="0"/>
            <w:vAlign w:val="center"/>
          </w:tcPr>
          <w:p w14:paraId="0C109A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须</w:t>
            </w:r>
            <w:r>
              <w:rPr>
                <w:rFonts w:hint="eastAsia" w:ascii="宋体" w:hAnsi="宋体"/>
                <w:szCs w:val="22"/>
                <w:highlight w:val="none"/>
                <w:lang w:eastAsia="zh-CN"/>
              </w:rPr>
              <w:t>根据使用部门需要开发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excel一键生成套餐、套餐复制，满足套餐的快速录入；</w:t>
            </w:r>
          </w:p>
          <w:p w14:paraId="7785B4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须</w:t>
            </w:r>
            <w:r>
              <w:rPr>
                <w:rFonts w:hint="eastAsia" w:ascii="宋体" w:hAnsi="宋体"/>
                <w:szCs w:val="22"/>
                <w:highlight w:val="none"/>
                <w:lang w:eastAsia="zh-CN"/>
              </w:rPr>
              <w:t>根据使用部门需要开发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套餐的主图、基础信息、折扣的配置；须支持设置套餐是否加项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，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可设置套餐的加项项目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、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加项折扣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，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须支持单独配置套餐的购买须知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、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弹框提醒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；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须支持设置套餐可预约的体检时间</w:t>
            </w:r>
          </w:p>
        </w:tc>
      </w:tr>
      <w:tr w14:paraId="310271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442" w:type="pct"/>
            <w:vMerge w:val="continue"/>
            <w:noWrap w:val="0"/>
            <w:vAlign w:val="center"/>
          </w:tcPr>
          <w:p w14:paraId="2F913C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</w:p>
        </w:tc>
        <w:tc>
          <w:tcPr>
            <w:tcW w:w="654" w:type="pct"/>
            <w:noWrap w:val="0"/>
            <w:vAlign w:val="center"/>
          </w:tcPr>
          <w:p w14:paraId="46DA06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业务配置</w:t>
            </w:r>
          </w:p>
        </w:tc>
        <w:tc>
          <w:tcPr>
            <w:tcW w:w="3903" w:type="pct"/>
            <w:noWrap w:val="0"/>
            <w:vAlign w:val="center"/>
          </w:tcPr>
          <w:p w14:paraId="6B6FCB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须</w:t>
            </w:r>
            <w:r>
              <w:rPr>
                <w:rFonts w:hint="eastAsia" w:ascii="宋体" w:hAnsi="宋体"/>
                <w:szCs w:val="22"/>
                <w:highlight w:val="none"/>
                <w:lang w:eastAsia="zh-CN"/>
              </w:rPr>
              <w:t>根据使用部门需要开发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配置体检预约时间限制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，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包括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：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需提前几个工作日预约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，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最长可预约多久后的体检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；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须支持抽血时间配置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，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须支持同步时间的配置</w:t>
            </w:r>
          </w:p>
        </w:tc>
      </w:tr>
      <w:tr w14:paraId="2CCF68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442" w:type="pct"/>
            <w:vMerge w:val="restart"/>
            <w:noWrap w:val="0"/>
            <w:vAlign w:val="center"/>
          </w:tcPr>
          <w:p w14:paraId="287E95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个人体检</w:t>
            </w:r>
          </w:p>
        </w:tc>
        <w:tc>
          <w:tcPr>
            <w:tcW w:w="654" w:type="pct"/>
            <w:noWrap w:val="0"/>
            <w:vAlign w:val="center"/>
          </w:tcPr>
          <w:p w14:paraId="024CE5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套餐选择</w:t>
            </w:r>
          </w:p>
        </w:tc>
        <w:tc>
          <w:tcPr>
            <w:tcW w:w="3903" w:type="pct"/>
            <w:noWrap w:val="0"/>
            <w:vAlign w:val="center"/>
          </w:tcPr>
          <w:p w14:paraId="59295A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须向受检者展示套餐详情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，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告知套餐适用人群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、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重点筛查风险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、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重点检查项目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、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检查项目并说明项目检查意义</w:t>
            </w:r>
          </w:p>
        </w:tc>
      </w:tr>
      <w:tr w14:paraId="750B7D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5" w:hRule="atLeast"/>
          <w:jc w:val="center"/>
        </w:trPr>
        <w:tc>
          <w:tcPr>
            <w:tcW w:w="442" w:type="pct"/>
            <w:vMerge w:val="continue"/>
            <w:noWrap w:val="0"/>
            <w:vAlign w:val="center"/>
          </w:tcPr>
          <w:p w14:paraId="18B0B2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</w:p>
        </w:tc>
        <w:tc>
          <w:tcPr>
            <w:tcW w:w="654" w:type="pct"/>
            <w:noWrap w:val="0"/>
            <w:vAlign w:val="center"/>
          </w:tcPr>
          <w:p w14:paraId="516569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加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、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换项</w:t>
            </w:r>
          </w:p>
        </w:tc>
        <w:tc>
          <w:tcPr>
            <w:tcW w:w="3903" w:type="pct"/>
            <w:noWrap w:val="0"/>
            <w:vAlign w:val="center"/>
          </w:tcPr>
          <w:p w14:paraId="4D991A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须</w:t>
            </w:r>
            <w:r>
              <w:rPr>
                <w:rFonts w:hint="eastAsia" w:ascii="宋体" w:hAnsi="宋体"/>
                <w:szCs w:val="22"/>
                <w:highlight w:val="none"/>
                <w:lang w:eastAsia="zh-CN"/>
              </w:rPr>
              <w:t>根据使用部门需要开发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个检用户自费在线加项或换项目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；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须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支持按身体部位分类体检项目，方便个人快速根据自身情况找到项目并做选择</w:t>
            </w:r>
          </w:p>
        </w:tc>
      </w:tr>
      <w:tr w14:paraId="3AB5B2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  <w:jc w:val="center"/>
        </w:trPr>
        <w:tc>
          <w:tcPr>
            <w:tcW w:w="442" w:type="pct"/>
            <w:vMerge w:val="continue"/>
            <w:noWrap w:val="0"/>
            <w:vAlign w:val="center"/>
          </w:tcPr>
          <w:p w14:paraId="3470E7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</w:p>
        </w:tc>
        <w:tc>
          <w:tcPr>
            <w:tcW w:w="654" w:type="pct"/>
            <w:noWrap w:val="0"/>
            <w:vAlign w:val="center"/>
          </w:tcPr>
          <w:p w14:paraId="192417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AI个检定制</w:t>
            </w:r>
          </w:p>
        </w:tc>
        <w:tc>
          <w:tcPr>
            <w:tcW w:w="3903" w:type="pct"/>
            <w:noWrap w:val="0"/>
            <w:vAlign w:val="center"/>
          </w:tcPr>
          <w:p w14:paraId="19DCB2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须</w:t>
            </w:r>
            <w:r>
              <w:rPr>
                <w:rFonts w:hint="eastAsia" w:ascii="宋体" w:hAnsi="宋体"/>
                <w:szCs w:val="22"/>
                <w:highlight w:val="none"/>
                <w:lang w:eastAsia="zh-CN"/>
              </w:rPr>
              <w:t>根据使用部门需要开发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个体化的体检定制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，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用户通过手机即可完成风险评估获取项目推荐</w:t>
            </w:r>
          </w:p>
        </w:tc>
      </w:tr>
      <w:tr w14:paraId="35D529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442" w:type="pct"/>
            <w:vMerge w:val="restart"/>
            <w:noWrap w:val="0"/>
            <w:vAlign w:val="center"/>
          </w:tcPr>
          <w:p w14:paraId="24F5B9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团队体检</w:t>
            </w:r>
          </w:p>
        </w:tc>
        <w:tc>
          <w:tcPr>
            <w:tcW w:w="654" w:type="pct"/>
            <w:noWrap w:val="0"/>
            <w:vAlign w:val="center"/>
          </w:tcPr>
          <w:p w14:paraId="201B87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团检预约</w:t>
            </w:r>
          </w:p>
        </w:tc>
        <w:tc>
          <w:tcPr>
            <w:tcW w:w="3903" w:type="pct"/>
            <w:noWrap w:val="0"/>
            <w:vAlign w:val="center"/>
          </w:tcPr>
          <w:p w14:paraId="14B1BB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须</w:t>
            </w:r>
            <w:r>
              <w:rPr>
                <w:rFonts w:hint="eastAsia" w:ascii="宋体" w:hAnsi="宋体"/>
                <w:szCs w:val="22"/>
                <w:highlight w:val="none"/>
                <w:lang w:eastAsia="zh-CN"/>
              </w:rPr>
              <w:t>根据使用部门需要开发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团队客户在线预约体检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；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须支持姓名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、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姓名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+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手机号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、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姓名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+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身份证号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、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姓名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+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工号的团检卡领取方式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；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须支持无名单的团检卡领取方式</w:t>
            </w:r>
          </w:p>
        </w:tc>
      </w:tr>
      <w:tr w14:paraId="67F0CD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442" w:type="pct"/>
            <w:vMerge w:val="continue"/>
            <w:noWrap w:val="0"/>
            <w:vAlign w:val="center"/>
          </w:tcPr>
          <w:p w14:paraId="7E4C97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</w:p>
        </w:tc>
        <w:tc>
          <w:tcPr>
            <w:tcW w:w="654" w:type="pct"/>
            <w:noWrap w:val="0"/>
            <w:vAlign w:val="center"/>
          </w:tcPr>
          <w:p w14:paraId="4C4764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多模式团检卡</w:t>
            </w:r>
          </w:p>
        </w:tc>
        <w:tc>
          <w:tcPr>
            <w:tcW w:w="3903" w:type="pct"/>
            <w:noWrap w:val="0"/>
            <w:vAlign w:val="center"/>
          </w:tcPr>
          <w:p w14:paraId="4FE169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须</w:t>
            </w:r>
            <w:r>
              <w:rPr>
                <w:rFonts w:hint="eastAsia" w:ascii="宋体" w:hAnsi="宋体"/>
                <w:szCs w:val="22"/>
                <w:highlight w:val="none"/>
                <w:lang w:eastAsia="zh-CN"/>
              </w:rPr>
              <w:t>根据使用部门需要开发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固定套餐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+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个人自费加项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、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固定套餐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+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团队自选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+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个人自费加项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、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金额卡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（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超额度自费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）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等团检卡模式</w:t>
            </w:r>
          </w:p>
        </w:tc>
      </w:tr>
      <w:tr w14:paraId="573830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442" w:type="pct"/>
            <w:vMerge w:val="continue"/>
            <w:noWrap w:val="0"/>
            <w:vAlign w:val="center"/>
          </w:tcPr>
          <w:p w14:paraId="1B07F7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</w:p>
        </w:tc>
        <w:tc>
          <w:tcPr>
            <w:tcW w:w="654" w:type="pct"/>
            <w:noWrap w:val="0"/>
            <w:vAlign w:val="center"/>
          </w:tcPr>
          <w:p w14:paraId="3C4B2E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加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、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换项</w:t>
            </w:r>
          </w:p>
        </w:tc>
        <w:tc>
          <w:tcPr>
            <w:tcW w:w="3903" w:type="pct"/>
            <w:noWrap w:val="0"/>
            <w:vAlign w:val="center"/>
          </w:tcPr>
          <w:p w14:paraId="561B5B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须</w:t>
            </w:r>
            <w:r>
              <w:rPr>
                <w:rFonts w:hint="eastAsia" w:ascii="宋体" w:hAnsi="宋体"/>
                <w:szCs w:val="22"/>
                <w:highlight w:val="none"/>
                <w:lang w:eastAsia="zh-CN"/>
              </w:rPr>
              <w:t>根据使用部门需要开发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团队客户自费在线加项或换项目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；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须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支持按身体部位分类体检项目，方便个人快速根据自身情况找到项目并做选择；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须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支持不同单位、不同项目的加项折扣优惠</w:t>
            </w:r>
          </w:p>
        </w:tc>
      </w:tr>
      <w:tr w14:paraId="28503F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442" w:type="pct"/>
            <w:vMerge w:val="continue"/>
            <w:noWrap w:val="0"/>
            <w:vAlign w:val="center"/>
          </w:tcPr>
          <w:p w14:paraId="28D778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</w:p>
        </w:tc>
        <w:tc>
          <w:tcPr>
            <w:tcW w:w="654" w:type="pct"/>
            <w:noWrap w:val="0"/>
            <w:vAlign w:val="center"/>
          </w:tcPr>
          <w:p w14:paraId="666C58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AI团检定制</w:t>
            </w:r>
          </w:p>
        </w:tc>
        <w:tc>
          <w:tcPr>
            <w:tcW w:w="3903" w:type="pct"/>
            <w:noWrap w:val="0"/>
            <w:vAlign w:val="center"/>
          </w:tcPr>
          <w:p w14:paraId="219740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须</w:t>
            </w:r>
            <w:r>
              <w:rPr>
                <w:rFonts w:hint="eastAsia" w:ascii="宋体" w:hAnsi="宋体"/>
                <w:szCs w:val="22"/>
                <w:highlight w:val="none"/>
                <w:lang w:eastAsia="zh-CN"/>
              </w:rPr>
              <w:t>根据使用部门需要开发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在团检项目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、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套餐的基础上进行问卷推荐加项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，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用户通过手机即可完成风险评估获取项目推荐</w:t>
            </w:r>
          </w:p>
        </w:tc>
      </w:tr>
      <w:tr w14:paraId="52D48D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442" w:type="pct"/>
            <w:vMerge w:val="continue"/>
            <w:noWrap w:val="0"/>
            <w:vAlign w:val="center"/>
          </w:tcPr>
          <w:p w14:paraId="1F35F7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</w:p>
        </w:tc>
        <w:tc>
          <w:tcPr>
            <w:tcW w:w="654" w:type="pct"/>
            <w:noWrap w:val="0"/>
            <w:vAlign w:val="center"/>
          </w:tcPr>
          <w:p w14:paraId="587B89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团检管理</w:t>
            </w:r>
          </w:p>
        </w:tc>
        <w:tc>
          <w:tcPr>
            <w:tcW w:w="3903" w:type="pct"/>
            <w:noWrap w:val="0"/>
            <w:vAlign w:val="center"/>
          </w:tcPr>
          <w:p w14:paraId="06C255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须</w:t>
            </w:r>
            <w:r>
              <w:rPr>
                <w:rFonts w:hint="eastAsia" w:ascii="宋体" w:hAnsi="宋体"/>
                <w:szCs w:val="22"/>
                <w:highlight w:val="none"/>
                <w:lang w:eastAsia="zh-CN"/>
              </w:rPr>
              <w:t>根据使用部门需要开发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查询团体体检的预约进度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；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须支持预约阶段的防替检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，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须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支持不同单位、不同项目的加项折扣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配置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；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须支持团检的排期管理</w:t>
            </w:r>
          </w:p>
        </w:tc>
      </w:tr>
      <w:tr w14:paraId="05A904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442" w:type="pct"/>
            <w:vMerge w:val="continue"/>
            <w:noWrap w:val="0"/>
            <w:vAlign w:val="center"/>
          </w:tcPr>
          <w:p w14:paraId="41A53B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</w:p>
        </w:tc>
        <w:tc>
          <w:tcPr>
            <w:tcW w:w="654" w:type="pct"/>
            <w:noWrap w:val="0"/>
            <w:vAlign w:val="center"/>
          </w:tcPr>
          <w:p w14:paraId="74A486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代预约</w:t>
            </w:r>
          </w:p>
        </w:tc>
        <w:tc>
          <w:tcPr>
            <w:tcW w:w="3903" w:type="pct"/>
            <w:noWrap w:val="0"/>
            <w:vAlign w:val="center"/>
          </w:tcPr>
          <w:p w14:paraId="779199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须</w:t>
            </w:r>
            <w:r>
              <w:rPr>
                <w:rFonts w:hint="eastAsia" w:ascii="宋体" w:hAnsi="宋体"/>
                <w:szCs w:val="22"/>
                <w:highlight w:val="none"/>
                <w:lang w:eastAsia="zh-CN"/>
              </w:rPr>
              <w:t>根据使用部门需要开发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代员工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、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领导预约</w:t>
            </w:r>
          </w:p>
        </w:tc>
      </w:tr>
      <w:tr w14:paraId="69606F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442" w:type="pct"/>
            <w:vMerge w:val="continue"/>
            <w:noWrap w:val="0"/>
            <w:vAlign w:val="center"/>
          </w:tcPr>
          <w:p w14:paraId="3062AA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</w:p>
        </w:tc>
        <w:tc>
          <w:tcPr>
            <w:tcW w:w="654" w:type="pct"/>
            <w:noWrap w:val="0"/>
            <w:vAlign w:val="center"/>
          </w:tcPr>
          <w:p w14:paraId="1D69BD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亲属检</w:t>
            </w:r>
          </w:p>
        </w:tc>
        <w:tc>
          <w:tcPr>
            <w:tcW w:w="3903" w:type="pct"/>
            <w:noWrap w:val="0"/>
            <w:vAlign w:val="center"/>
          </w:tcPr>
          <w:p w14:paraId="671CD9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须</w:t>
            </w:r>
            <w:r>
              <w:rPr>
                <w:rFonts w:hint="eastAsia" w:ascii="宋体" w:hAnsi="宋体"/>
                <w:szCs w:val="22"/>
                <w:highlight w:val="none"/>
                <w:lang w:eastAsia="zh-CN"/>
              </w:rPr>
              <w:t>根据使用部门需要开发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亲属体检预约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，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须支持亲属检相关套餐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、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折扣的设置</w:t>
            </w:r>
          </w:p>
        </w:tc>
      </w:tr>
      <w:tr w14:paraId="1E4080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442" w:type="pct"/>
            <w:vMerge w:val="restart"/>
            <w:noWrap w:val="0"/>
            <w:vAlign w:val="center"/>
          </w:tcPr>
          <w:p w14:paraId="5A1803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体检报告</w:t>
            </w:r>
          </w:p>
        </w:tc>
        <w:tc>
          <w:tcPr>
            <w:tcW w:w="654" w:type="pct"/>
            <w:noWrap w:val="0"/>
            <w:vAlign w:val="center"/>
          </w:tcPr>
          <w:p w14:paraId="0D1ECC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报告查询</w:t>
            </w:r>
          </w:p>
        </w:tc>
        <w:tc>
          <w:tcPr>
            <w:tcW w:w="3903" w:type="pct"/>
            <w:noWrap w:val="0"/>
            <w:vAlign w:val="center"/>
          </w:tcPr>
          <w:p w14:paraId="1410D1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须</w:t>
            </w:r>
            <w:r>
              <w:rPr>
                <w:rFonts w:hint="eastAsia" w:ascii="宋体" w:hAnsi="宋体"/>
                <w:szCs w:val="22"/>
                <w:highlight w:val="none"/>
                <w:lang w:eastAsia="zh-CN"/>
              </w:rPr>
              <w:t>根据使用部门需要开发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报告线上查询、发送PDF报告到邮箱或下载到手机</w:t>
            </w:r>
          </w:p>
        </w:tc>
      </w:tr>
      <w:tr w14:paraId="3A9604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442" w:type="pct"/>
            <w:vMerge w:val="continue"/>
            <w:noWrap w:val="0"/>
            <w:vAlign w:val="center"/>
          </w:tcPr>
          <w:p w14:paraId="69B901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</w:p>
        </w:tc>
        <w:tc>
          <w:tcPr>
            <w:tcW w:w="654" w:type="pct"/>
            <w:noWrap w:val="0"/>
            <w:vAlign w:val="center"/>
          </w:tcPr>
          <w:p w14:paraId="79ED89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报告对比</w:t>
            </w:r>
          </w:p>
        </w:tc>
        <w:tc>
          <w:tcPr>
            <w:tcW w:w="3903" w:type="pct"/>
            <w:noWrap w:val="0"/>
            <w:vAlign w:val="center"/>
          </w:tcPr>
          <w:p w14:paraId="6D43C3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须</w:t>
            </w:r>
            <w:r>
              <w:rPr>
                <w:rFonts w:hint="eastAsia" w:ascii="宋体" w:hAnsi="宋体"/>
                <w:szCs w:val="22"/>
                <w:highlight w:val="none"/>
                <w:lang w:eastAsia="zh-CN"/>
              </w:rPr>
              <w:t>根据使用部门需要开发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历年报告对比服务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，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须区分异常指标并给出对比图</w:t>
            </w:r>
          </w:p>
        </w:tc>
      </w:tr>
      <w:tr w14:paraId="2EF6AB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442" w:type="pct"/>
            <w:vMerge w:val="continue"/>
            <w:noWrap w:val="0"/>
            <w:vAlign w:val="center"/>
          </w:tcPr>
          <w:p w14:paraId="262172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</w:p>
        </w:tc>
        <w:tc>
          <w:tcPr>
            <w:tcW w:w="654" w:type="pct"/>
            <w:noWrap w:val="0"/>
            <w:vAlign w:val="center"/>
          </w:tcPr>
          <w:p w14:paraId="418539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报告解读</w:t>
            </w:r>
          </w:p>
        </w:tc>
        <w:tc>
          <w:tcPr>
            <w:tcW w:w="3903" w:type="pct"/>
            <w:noWrap w:val="0"/>
            <w:vAlign w:val="center"/>
          </w:tcPr>
          <w:p w14:paraId="639118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须提供在线报告解读服务，客户可选体检报告申请在线解读</w:t>
            </w:r>
          </w:p>
        </w:tc>
      </w:tr>
      <w:tr w14:paraId="3630E7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442" w:type="pct"/>
            <w:vMerge w:val="restart"/>
            <w:noWrap w:val="0"/>
            <w:vAlign w:val="center"/>
          </w:tcPr>
          <w:p w14:paraId="123D59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号源管理</w:t>
            </w:r>
          </w:p>
        </w:tc>
        <w:tc>
          <w:tcPr>
            <w:tcW w:w="654" w:type="pct"/>
            <w:noWrap w:val="0"/>
            <w:vAlign w:val="center"/>
          </w:tcPr>
          <w:p w14:paraId="749087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排班管理</w:t>
            </w:r>
          </w:p>
        </w:tc>
        <w:tc>
          <w:tcPr>
            <w:tcW w:w="3903" w:type="pct"/>
            <w:noWrap w:val="0"/>
            <w:vAlign w:val="center"/>
          </w:tcPr>
          <w:p w14:paraId="17F790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须</w:t>
            </w:r>
            <w:r>
              <w:rPr>
                <w:rFonts w:hint="eastAsia" w:ascii="宋体" w:hAnsi="宋体"/>
                <w:szCs w:val="22"/>
                <w:highlight w:val="none"/>
                <w:lang w:eastAsia="zh-CN"/>
              </w:rPr>
              <w:t>根据使用部门需要开发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排班设置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，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可按周设置上班时间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，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须支持设置特定节假日的调班</w:t>
            </w:r>
          </w:p>
        </w:tc>
      </w:tr>
      <w:tr w14:paraId="6D335E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442" w:type="pct"/>
            <w:vMerge w:val="continue"/>
            <w:noWrap w:val="0"/>
            <w:vAlign w:val="center"/>
          </w:tcPr>
          <w:p w14:paraId="725C51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</w:p>
        </w:tc>
        <w:tc>
          <w:tcPr>
            <w:tcW w:w="654" w:type="pct"/>
            <w:noWrap w:val="0"/>
            <w:vAlign w:val="center"/>
          </w:tcPr>
          <w:p w14:paraId="287159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个检号源</w:t>
            </w:r>
          </w:p>
        </w:tc>
        <w:tc>
          <w:tcPr>
            <w:tcW w:w="3903" w:type="pct"/>
            <w:noWrap w:val="0"/>
            <w:vAlign w:val="center"/>
          </w:tcPr>
          <w:p w14:paraId="08BCC5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须</w:t>
            </w:r>
            <w:r>
              <w:rPr>
                <w:rFonts w:hint="eastAsia" w:ascii="宋体" w:hAnsi="宋体"/>
                <w:szCs w:val="22"/>
                <w:highlight w:val="none"/>
                <w:lang w:eastAsia="zh-CN"/>
              </w:rPr>
              <w:t>根据使用部门需要开发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个检号源管控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，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能控制每日个检预约人数</w:t>
            </w:r>
          </w:p>
        </w:tc>
      </w:tr>
      <w:tr w14:paraId="672B3D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442" w:type="pct"/>
            <w:vMerge w:val="continue"/>
            <w:noWrap w:val="0"/>
            <w:vAlign w:val="center"/>
          </w:tcPr>
          <w:p w14:paraId="46F686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</w:p>
        </w:tc>
        <w:tc>
          <w:tcPr>
            <w:tcW w:w="654" w:type="pct"/>
            <w:noWrap w:val="0"/>
            <w:vAlign w:val="center"/>
          </w:tcPr>
          <w:p w14:paraId="7C2B69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团检号源</w:t>
            </w:r>
          </w:p>
        </w:tc>
        <w:tc>
          <w:tcPr>
            <w:tcW w:w="3903" w:type="pct"/>
            <w:noWrap w:val="0"/>
            <w:vAlign w:val="center"/>
          </w:tcPr>
          <w:p w14:paraId="09A11B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须</w:t>
            </w:r>
            <w:r>
              <w:rPr>
                <w:rFonts w:hint="eastAsia" w:ascii="宋体" w:hAnsi="宋体"/>
                <w:szCs w:val="22"/>
                <w:highlight w:val="none"/>
                <w:lang w:eastAsia="zh-CN"/>
              </w:rPr>
              <w:t>根据使用部门需要开发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按单位设置预约日期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、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每日可预约人数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；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须支持为VIP单位预留号源</w:t>
            </w:r>
          </w:p>
        </w:tc>
      </w:tr>
      <w:tr w14:paraId="7F58FC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442" w:type="pct"/>
            <w:vMerge w:val="continue"/>
            <w:noWrap w:val="0"/>
            <w:vAlign w:val="center"/>
          </w:tcPr>
          <w:p w14:paraId="176470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</w:p>
        </w:tc>
        <w:tc>
          <w:tcPr>
            <w:tcW w:w="654" w:type="pct"/>
            <w:noWrap w:val="0"/>
            <w:vAlign w:val="center"/>
          </w:tcPr>
          <w:p w14:paraId="0BB796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瓶颈项目</w:t>
            </w:r>
          </w:p>
        </w:tc>
        <w:tc>
          <w:tcPr>
            <w:tcW w:w="3903" w:type="pct"/>
            <w:noWrap w:val="0"/>
            <w:vAlign w:val="center"/>
          </w:tcPr>
          <w:p w14:paraId="2AC9C0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须</w:t>
            </w:r>
            <w:r>
              <w:rPr>
                <w:rFonts w:hint="eastAsia" w:ascii="宋体" w:hAnsi="宋体"/>
                <w:szCs w:val="22"/>
                <w:highlight w:val="none"/>
                <w:lang w:eastAsia="zh-CN"/>
              </w:rPr>
              <w:t>根据使用部门需要开发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瓶颈项目号源的单独设置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，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须支持多部位合并设置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；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须支持为VIP客户预留项目</w:t>
            </w:r>
          </w:p>
        </w:tc>
      </w:tr>
      <w:tr w14:paraId="5FE777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442" w:type="pct"/>
            <w:vMerge w:val="continue"/>
            <w:noWrap w:val="0"/>
            <w:vAlign w:val="center"/>
          </w:tcPr>
          <w:p w14:paraId="387C3D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</w:p>
        </w:tc>
        <w:tc>
          <w:tcPr>
            <w:tcW w:w="654" w:type="pct"/>
            <w:noWrap w:val="0"/>
            <w:vAlign w:val="center"/>
          </w:tcPr>
          <w:p w14:paraId="74AE70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分时段</w:t>
            </w:r>
          </w:p>
        </w:tc>
        <w:tc>
          <w:tcPr>
            <w:tcW w:w="3903" w:type="pct"/>
            <w:noWrap w:val="0"/>
            <w:vAlign w:val="center"/>
          </w:tcPr>
          <w:p w14:paraId="57C6EE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须</w:t>
            </w:r>
            <w:r>
              <w:rPr>
                <w:rFonts w:hint="eastAsia" w:ascii="宋体" w:hAnsi="宋体"/>
                <w:szCs w:val="22"/>
                <w:highlight w:val="none"/>
                <w:lang w:eastAsia="zh-CN"/>
              </w:rPr>
              <w:t>根据使用部门需要开发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分时段号源的设置</w:t>
            </w:r>
          </w:p>
        </w:tc>
      </w:tr>
      <w:tr w14:paraId="4AC21C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442" w:type="pct"/>
            <w:vMerge w:val="continue"/>
            <w:noWrap w:val="0"/>
            <w:vAlign w:val="center"/>
          </w:tcPr>
          <w:p w14:paraId="4EE359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</w:p>
        </w:tc>
        <w:tc>
          <w:tcPr>
            <w:tcW w:w="654" w:type="pct"/>
            <w:noWrap w:val="0"/>
            <w:vAlign w:val="center"/>
          </w:tcPr>
          <w:p w14:paraId="61E808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套餐独立号源</w:t>
            </w:r>
          </w:p>
        </w:tc>
        <w:tc>
          <w:tcPr>
            <w:tcW w:w="3903" w:type="pct"/>
            <w:noWrap w:val="0"/>
            <w:vAlign w:val="center"/>
          </w:tcPr>
          <w:p w14:paraId="0928A5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须</w:t>
            </w:r>
            <w:r>
              <w:rPr>
                <w:rFonts w:hint="eastAsia" w:ascii="宋体" w:hAnsi="宋体"/>
                <w:szCs w:val="22"/>
                <w:highlight w:val="none"/>
                <w:lang w:eastAsia="zh-CN"/>
              </w:rPr>
              <w:t>根据使用部门需要开发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针对特殊套餐单独设置号源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，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不占用原个检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、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团检号源</w:t>
            </w:r>
          </w:p>
        </w:tc>
      </w:tr>
      <w:tr w14:paraId="3777B3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42" w:type="pct"/>
            <w:vMerge w:val="continue"/>
            <w:noWrap w:val="0"/>
            <w:vAlign w:val="center"/>
          </w:tcPr>
          <w:p w14:paraId="4FD885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</w:p>
        </w:tc>
        <w:tc>
          <w:tcPr>
            <w:tcW w:w="654" w:type="pct"/>
            <w:noWrap w:val="0"/>
            <w:vAlign w:val="center"/>
          </w:tcPr>
          <w:p w14:paraId="0F848A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数据统计</w:t>
            </w:r>
          </w:p>
        </w:tc>
        <w:tc>
          <w:tcPr>
            <w:tcW w:w="3903" w:type="pct"/>
            <w:noWrap w:val="0"/>
            <w:vAlign w:val="center"/>
          </w:tcPr>
          <w:p w14:paraId="462B8F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须</w:t>
            </w:r>
            <w:r>
              <w:rPr>
                <w:rFonts w:hint="eastAsia" w:ascii="宋体" w:hAnsi="宋体"/>
                <w:szCs w:val="22"/>
                <w:highlight w:val="none"/>
                <w:lang w:eastAsia="zh-CN"/>
              </w:rPr>
              <w:t>根据使用部门需要开发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查看每日号源预约情况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，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须支持区分个检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、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团检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、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特殊项目进行查看</w:t>
            </w:r>
          </w:p>
        </w:tc>
      </w:tr>
      <w:tr w14:paraId="64D988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442" w:type="pct"/>
            <w:vMerge w:val="restart"/>
            <w:noWrap w:val="0"/>
            <w:vAlign w:val="center"/>
          </w:tcPr>
          <w:p w14:paraId="1ABCD8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质量控制</w:t>
            </w:r>
          </w:p>
        </w:tc>
        <w:tc>
          <w:tcPr>
            <w:tcW w:w="654" w:type="pct"/>
            <w:noWrap w:val="0"/>
            <w:vAlign w:val="center"/>
          </w:tcPr>
          <w:p w14:paraId="13A3F0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项目关系</w:t>
            </w:r>
          </w:p>
        </w:tc>
        <w:tc>
          <w:tcPr>
            <w:tcW w:w="3903" w:type="pct"/>
            <w:noWrap w:val="0"/>
            <w:vAlign w:val="top"/>
          </w:tcPr>
          <w:p w14:paraId="3C8B2C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须</w:t>
            </w:r>
            <w:r>
              <w:rPr>
                <w:rFonts w:hint="eastAsia" w:ascii="宋体" w:hAnsi="宋体"/>
                <w:szCs w:val="22"/>
                <w:highlight w:val="none"/>
                <w:lang w:eastAsia="zh-CN"/>
              </w:rPr>
              <w:t>根据使用部门需要开发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维护项目的互斥关系、依赖关系，防止客户多选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、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漏选项目</w:t>
            </w:r>
          </w:p>
        </w:tc>
      </w:tr>
      <w:tr w14:paraId="4C6F1C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442" w:type="pct"/>
            <w:vMerge w:val="continue"/>
            <w:noWrap w:val="0"/>
            <w:vAlign w:val="center"/>
          </w:tcPr>
          <w:p w14:paraId="2B0B5E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</w:p>
        </w:tc>
        <w:tc>
          <w:tcPr>
            <w:tcW w:w="654" w:type="pct"/>
            <w:noWrap w:val="0"/>
            <w:vAlign w:val="center"/>
          </w:tcPr>
          <w:p w14:paraId="2B59F0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必检项</w:t>
            </w:r>
          </w:p>
        </w:tc>
        <w:tc>
          <w:tcPr>
            <w:tcW w:w="3903" w:type="pct"/>
            <w:noWrap w:val="0"/>
            <w:vAlign w:val="top"/>
          </w:tcPr>
          <w:p w14:paraId="618D65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须</w:t>
            </w:r>
            <w:r>
              <w:rPr>
                <w:rFonts w:hint="eastAsia" w:ascii="宋体" w:hAnsi="宋体"/>
                <w:szCs w:val="22"/>
                <w:highlight w:val="none"/>
                <w:lang w:eastAsia="zh-CN"/>
              </w:rPr>
              <w:t>根据使用部门需要开发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配置必检项目，必检项目不可取消</w:t>
            </w:r>
          </w:p>
        </w:tc>
      </w:tr>
      <w:tr w14:paraId="7A93EA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  <w:jc w:val="center"/>
        </w:trPr>
        <w:tc>
          <w:tcPr>
            <w:tcW w:w="442" w:type="pct"/>
            <w:vMerge w:val="continue"/>
            <w:noWrap w:val="0"/>
            <w:vAlign w:val="center"/>
          </w:tcPr>
          <w:p w14:paraId="440509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</w:p>
        </w:tc>
        <w:tc>
          <w:tcPr>
            <w:tcW w:w="654" w:type="pct"/>
            <w:noWrap w:val="0"/>
            <w:vAlign w:val="center"/>
          </w:tcPr>
          <w:p w14:paraId="027477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禁忌项</w:t>
            </w:r>
          </w:p>
        </w:tc>
        <w:tc>
          <w:tcPr>
            <w:tcW w:w="3903" w:type="pct"/>
            <w:noWrap w:val="0"/>
            <w:vAlign w:val="center"/>
          </w:tcPr>
          <w:p w14:paraId="0C45FC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须</w:t>
            </w:r>
            <w:r>
              <w:rPr>
                <w:rFonts w:hint="eastAsia" w:ascii="宋体" w:hAnsi="宋体"/>
                <w:szCs w:val="22"/>
                <w:highlight w:val="none"/>
                <w:lang w:eastAsia="zh-CN"/>
              </w:rPr>
              <w:t>根据使用部门需要开发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配置禁忌项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，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预约询问备孕计划</w:t>
            </w:r>
          </w:p>
        </w:tc>
      </w:tr>
      <w:tr w14:paraId="4214CF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  <w:jc w:val="center"/>
        </w:trPr>
        <w:tc>
          <w:tcPr>
            <w:tcW w:w="442" w:type="pct"/>
            <w:vMerge w:val="restart"/>
            <w:noWrap w:val="0"/>
            <w:vAlign w:val="center"/>
          </w:tcPr>
          <w:p w14:paraId="1406E7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预约管理</w:t>
            </w:r>
          </w:p>
        </w:tc>
        <w:tc>
          <w:tcPr>
            <w:tcW w:w="654" w:type="pct"/>
            <w:noWrap w:val="0"/>
            <w:vAlign w:val="center"/>
          </w:tcPr>
          <w:p w14:paraId="3F1B3B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预约管理</w:t>
            </w:r>
          </w:p>
        </w:tc>
        <w:tc>
          <w:tcPr>
            <w:tcW w:w="3903" w:type="pct"/>
            <w:noWrap w:val="0"/>
            <w:vAlign w:val="center"/>
          </w:tcPr>
          <w:p w14:paraId="3905AC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须</w:t>
            </w:r>
            <w:r>
              <w:rPr>
                <w:rFonts w:hint="eastAsia" w:ascii="宋体" w:hAnsi="宋体"/>
                <w:szCs w:val="22"/>
                <w:highlight w:val="none"/>
                <w:lang w:eastAsia="zh-CN"/>
              </w:rPr>
              <w:t>根据使用部门需要开发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查看体检预约数据，可手动单个、批量提前操作同步数据进体软</w:t>
            </w:r>
          </w:p>
        </w:tc>
      </w:tr>
      <w:tr w14:paraId="2EEE33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  <w:jc w:val="center"/>
        </w:trPr>
        <w:tc>
          <w:tcPr>
            <w:tcW w:w="442" w:type="pct"/>
            <w:vMerge w:val="continue"/>
            <w:noWrap w:val="0"/>
            <w:vAlign w:val="center"/>
          </w:tcPr>
          <w:p w14:paraId="2D16DE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</w:p>
        </w:tc>
        <w:tc>
          <w:tcPr>
            <w:tcW w:w="654" w:type="pct"/>
            <w:noWrap w:val="0"/>
            <w:vAlign w:val="center"/>
          </w:tcPr>
          <w:p w14:paraId="1E57AD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订单管理</w:t>
            </w:r>
          </w:p>
        </w:tc>
        <w:tc>
          <w:tcPr>
            <w:tcW w:w="3903" w:type="pct"/>
            <w:noWrap w:val="0"/>
            <w:vAlign w:val="center"/>
          </w:tcPr>
          <w:p w14:paraId="080DD4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须</w:t>
            </w:r>
            <w:r>
              <w:rPr>
                <w:rFonts w:hint="eastAsia" w:ascii="宋体" w:hAnsi="宋体"/>
                <w:szCs w:val="22"/>
                <w:highlight w:val="none"/>
                <w:lang w:eastAsia="zh-CN"/>
              </w:rPr>
              <w:t>根据使用部门需要开发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体检订单的查看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，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支持按项目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、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套餐进行退款，退款实时到账</w:t>
            </w:r>
          </w:p>
        </w:tc>
      </w:tr>
      <w:tr w14:paraId="3E5F10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  <w:jc w:val="center"/>
        </w:trPr>
        <w:tc>
          <w:tcPr>
            <w:tcW w:w="442" w:type="pct"/>
            <w:vMerge w:val="restart"/>
            <w:noWrap w:val="0"/>
            <w:vAlign w:val="center"/>
          </w:tcPr>
          <w:p w14:paraId="0618D9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支付服务</w:t>
            </w:r>
          </w:p>
        </w:tc>
        <w:tc>
          <w:tcPr>
            <w:tcW w:w="654" w:type="pct"/>
            <w:noWrap w:val="0"/>
            <w:vAlign w:val="center"/>
          </w:tcPr>
          <w:p w14:paraId="231D9F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线上支付</w:t>
            </w:r>
          </w:p>
        </w:tc>
        <w:tc>
          <w:tcPr>
            <w:tcW w:w="3903" w:type="pct"/>
            <w:noWrap w:val="0"/>
            <w:vAlign w:val="center"/>
          </w:tcPr>
          <w:p w14:paraId="4FAD95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须</w:t>
            </w:r>
            <w:r>
              <w:rPr>
                <w:rFonts w:hint="eastAsia" w:ascii="宋体" w:hAnsi="宋体"/>
                <w:szCs w:val="22"/>
                <w:highlight w:val="none"/>
                <w:lang w:eastAsia="zh-CN"/>
              </w:rPr>
              <w:t>根据使用部门需要开发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微信线上支付、退款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；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退款须实时到账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；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须支持医院微信账户收款</w:t>
            </w:r>
          </w:p>
        </w:tc>
      </w:tr>
      <w:tr w14:paraId="49CAB0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  <w:jc w:val="center"/>
        </w:trPr>
        <w:tc>
          <w:tcPr>
            <w:tcW w:w="442" w:type="pct"/>
            <w:vMerge w:val="continue"/>
            <w:noWrap w:val="0"/>
            <w:vAlign w:val="center"/>
          </w:tcPr>
          <w:p w14:paraId="799A3B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</w:p>
        </w:tc>
        <w:tc>
          <w:tcPr>
            <w:tcW w:w="654" w:type="pct"/>
            <w:noWrap w:val="0"/>
            <w:vAlign w:val="center"/>
          </w:tcPr>
          <w:p w14:paraId="7BF777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线下支付</w:t>
            </w:r>
          </w:p>
        </w:tc>
        <w:tc>
          <w:tcPr>
            <w:tcW w:w="3903" w:type="pct"/>
            <w:noWrap w:val="0"/>
            <w:vAlign w:val="center"/>
          </w:tcPr>
          <w:p w14:paraId="69E64D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须</w:t>
            </w:r>
            <w:r>
              <w:rPr>
                <w:rFonts w:hint="eastAsia" w:ascii="宋体" w:hAnsi="宋体"/>
                <w:szCs w:val="22"/>
                <w:highlight w:val="none"/>
                <w:lang w:eastAsia="zh-CN"/>
              </w:rPr>
              <w:t>根据使用部门需要开发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配置部分套餐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、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团单支持线上预约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，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线下支付</w:t>
            </w:r>
          </w:p>
        </w:tc>
      </w:tr>
      <w:tr w14:paraId="1079A5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" w:hRule="atLeast"/>
          <w:jc w:val="center"/>
        </w:trPr>
        <w:tc>
          <w:tcPr>
            <w:tcW w:w="442" w:type="pct"/>
            <w:vMerge w:val="continue"/>
            <w:noWrap w:val="0"/>
            <w:vAlign w:val="center"/>
          </w:tcPr>
          <w:p w14:paraId="72BC0C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</w:p>
        </w:tc>
        <w:tc>
          <w:tcPr>
            <w:tcW w:w="654" w:type="pct"/>
            <w:noWrap w:val="0"/>
            <w:vAlign w:val="center"/>
          </w:tcPr>
          <w:p w14:paraId="2B560E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开发票</w:t>
            </w:r>
          </w:p>
        </w:tc>
        <w:tc>
          <w:tcPr>
            <w:tcW w:w="3903" w:type="pct"/>
            <w:noWrap w:val="0"/>
            <w:vAlign w:val="center"/>
          </w:tcPr>
          <w:p w14:paraId="28BC00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须</w:t>
            </w:r>
            <w:r>
              <w:rPr>
                <w:rFonts w:hint="eastAsia" w:ascii="宋体" w:hAnsi="宋体"/>
                <w:szCs w:val="22"/>
                <w:highlight w:val="none"/>
                <w:lang w:eastAsia="zh-CN"/>
              </w:rPr>
              <w:t>根据使用部门需要开发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线上支付客户，申请开电子票</w:t>
            </w:r>
          </w:p>
        </w:tc>
      </w:tr>
      <w:tr w14:paraId="0041F4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  <w:jc w:val="center"/>
        </w:trPr>
        <w:tc>
          <w:tcPr>
            <w:tcW w:w="442" w:type="pct"/>
            <w:vMerge w:val="continue"/>
            <w:noWrap w:val="0"/>
            <w:vAlign w:val="center"/>
          </w:tcPr>
          <w:p w14:paraId="5D9D48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</w:p>
        </w:tc>
        <w:tc>
          <w:tcPr>
            <w:tcW w:w="654" w:type="pct"/>
            <w:noWrap w:val="0"/>
            <w:vAlign w:val="center"/>
          </w:tcPr>
          <w:p w14:paraId="48C4FF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在线退款</w:t>
            </w:r>
          </w:p>
        </w:tc>
        <w:tc>
          <w:tcPr>
            <w:tcW w:w="3903" w:type="pct"/>
            <w:noWrap w:val="0"/>
            <w:vAlign w:val="center"/>
          </w:tcPr>
          <w:p w14:paraId="115420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须</w:t>
            </w:r>
            <w:r>
              <w:rPr>
                <w:rFonts w:hint="eastAsia" w:ascii="宋体" w:hAnsi="宋体"/>
                <w:szCs w:val="22"/>
                <w:highlight w:val="none"/>
                <w:lang w:eastAsia="zh-CN"/>
              </w:rPr>
              <w:t>根据使用部门需要开发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客户在线申请退款</w:t>
            </w:r>
          </w:p>
        </w:tc>
      </w:tr>
      <w:tr w14:paraId="294F4D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  <w:jc w:val="center"/>
        </w:trPr>
        <w:tc>
          <w:tcPr>
            <w:tcW w:w="442" w:type="pct"/>
            <w:vMerge w:val="restart"/>
            <w:noWrap w:val="0"/>
            <w:vAlign w:val="center"/>
          </w:tcPr>
          <w:p w14:paraId="5665A4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问卷管理</w:t>
            </w:r>
          </w:p>
        </w:tc>
        <w:tc>
          <w:tcPr>
            <w:tcW w:w="654" w:type="pct"/>
            <w:noWrap w:val="0"/>
            <w:vAlign w:val="center"/>
          </w:tcPr>
          <w:p w14:paraId="78CD1B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问卷配置</w:t>
            </w:r>
          </w:p>
        </w:tc>
        <w:tc>
          <w:tcPr>
            <w:tcW w:w="3903" w:type="pct"/>
            <w:noWrap w:val="0"/>
            <w:vAlign w:val="center"/>
          </w:tcPr>
          <w:p w14:paraId="7166B4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须</w:t>
            </w:r>
            <w:r>
              <w:rPr>
                <w:rFonts w:hint="eastAsia" w:ascii="宋体" w:hAnsi="宋体"/>
                <w:szCs w:val="22"/>
                <w:highlight w:val="none"/>
                <w:lang w:eastAsia="zh-CN"/>
              </w:rPr>
              <w:t>根据使用部门需要开发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满意度调查等问卷的自定义配置</w:t>
            </w:r>
          </w:p>
        </w:tc>
      </w:tr>
      <w:tr w14:paraId="44DE2B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  <w:jc w:val="center"/>
        </w:trPr>
        <w:tc>
          <w:tcPr>
            <w:tcW w:w="442" w:type="pct"/>
            <w:vMerge w:val="continue"/>
            <w:noWrap w:val="0"/>
            <w:vAlign w:val="center"/>
          </w:tcPr>
          <w:p w14:paraId="3181B0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</w:p>
        </w:tc>
        <w:tc>
          <w:tcPr>
            <w:tcW w:w="654" w:type="pct"/>
            <w:noWrap w:val="0"/>
            <w:vAlign w:val="center"/>
          </w:tcPr>
          <w:p w14:paraId="588E82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结果导出</w:t>
            </w:r>
          </w:p>
        </w:tc>
        <w:tc>
          <w:tcPr>
            <w:tcW w:w="3903" w:type="pct"/>
            <w:noWrap w:val="0"/>
            <w:vAlign w:val="center"/>
          </w:tcPr>
          <w:p w14:paraId="0014A9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须</w:t>
            </w:r>
            <w:r>
              <w:rPr>
                <w:rFonts w:hint="eastAsia" w:ascii="宋体" w:hAnsi="宋体"/>
                <w:szCs w:val="22"/>
                <w:highlight w:val="none"/>
                <w:lang w:eastAsia="zh-CN"/>
              </w:rPr>
              <w:t>根据使用部门需要开发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调查结果的查看与导出</w:t>
            </w:r>
          </w:p>
        </w:tc>
      </w:tr>
      <w:tr w14:paraId="305931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  <w:jc w:val="center"/>
        </w:trPr>
        <w:tc>
          <w:tcPr>
            <w:tcW w:w="442" w:type="pct"/>
            <w:vMerge w:val="restart"/>
            <w:noWrap w:val="0"/>
            <w:vAlign w:val="center"/>
          </w:tcPr>
          <w:p w14:paraId="507E84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自动同步</w:t>
            </w:r>
          </w:p>
        </w:tc>
        <w:tc>
          <w:tcPr>
            <w:tcW w:w="654" w:type="pct"/>
            <w:noWrap w:val="0"/>
            <w:vAlign w:val="center"/>
          </w:tcPr>
          <w:p w14:paraId="775E1F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体检人同步</w:t>
            </w:r>
          </w:p>
        </w:tc>
        <w:tc>
          <w:tcPr>
            <w:tcW w:w="3903" w:type="pct"/>
            <w:noWrap w:val="0"/>
            <w:vAlign w:val="center"/>
          </w:tcPr>
          <w:p w14:paraId="26C55E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须与院内体检管理系统对接，保证数据互通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，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体检人信息与体检项目按配置要求同步进体检系统</w:t>
            </w:r>
          </w:p>
        </w:tc>
      </w:tr>
      <w:tr w14:paraId="37FA0E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  <w:jc w:val="center"/>
        </w:trPr>
        <w:tc>
          <w:tcPr>
            <w:tcW w:w="442" w:type="pct"/>
            <w:vMerge w:val="continue"/>
            <w:noWrap w:val="0"/>
            <w:vAlign w:val="center"/>
          </w:tcPr>
          <w:p w14:paraId="6B618C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</w:p>
        </w:tc>
        <w:tc>
          <w:tcPr>
            <w:tcW w:w="654" w:type="pct"/>
            <w:noWrap w:val="0"/>
            <w:vAlign w:val="center"/>
          </w:tcPr>
          <w:p w14:paraId="403968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项目同步</w:t>
            </w:r>
          </w:p>
        </w:tc>
        <w:tc>
          <w:tcPr>
            <w:tcW w:w="3903" w:type="pct"/>
            <w:noWrap w:val="0"/>
            <w:vAlign w:val="center"/>
          </w:tcPr>
          <w:p w14:paraId="340DE4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须定时检测体检软件项目变更</w:t>
            </w:r>
            <w:r>
              <w:rPr>
                <w:rFonts w:ascii="宋体" w:hAnsi="宋体"/>
                <w:szCs w:val="22"/>
                <w:highlight w:val="none"/>
                <w:lang w:eastAsia="zh-Hans"/>
              </w:rPr>
              <w:t>，</w:t>
            </w:r>
            <w:r>
              <w:rPr>
                <w:rFonts w:hint="eastAsia" w:ascii="宋体" w:hAnsi="宋体"/>
                <w:szCs w:val="22"/>
                <w:highlight w:val="none"/>
                <w:lang w:eastAsia="zh-Hans"/>
              </w:rPr>
              <w:t>并通知预约平台完成同步变更</w:t>
            </w:r>
          </w:p>
        </w:tc>
      </w:tr>
    </w:tbl>
    <w:p w14:paraId="1C29D14A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2、检中智能管理系统</w:t>
      </w:r>
    </w:p>
    <w:tbl>
      <w:tblPr>
        <w:tblStyle w:val="4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1"/>
        <w:gridCol w:w="975"/>
        <w:gridCol w:w="6853"/>
      </w:tblGrid>
      <w:tr w14:paraId="57C1C9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978" w:type="pct"/>
            <w:gridSpan w:val="2"/>
            <w:shd w:val="clear" w:color="auto" w:fill="D9E2F3"/>
            <w:noWrap w:val="0"/>
            <w:vAlign w:val="center"/>
          </w:tcPr>
          <w:p w14:paraId="6F8523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功能</w:t>
            </w:r>
            <w:r>
              <w:rPr>
                <w:rFonts w:hint="eastAsia" w:ascii="宋体" w:hAnsi="宋体"/>
                <w:color w:val="auto"/>
                <w:szCs w:val="22"/>
                <w:highlight w:val="none"/>
                <w:lang w:val="en-US" w:eastAsia="zh-CN"/>
              </w:rPr>
              <w:t>开发</w:t>
            </w: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类别</w:t>
            </w:r>
          </w:p>
        </w:tc>
        <w:tc>
          <w:tcPr>
            <w:tcW w:w="4021" w:type="pct"/>
            <w:shd w:val="clear" w:color="auto" w:fill="D9E2F3"/>
            <w:noWrap w:val="0"/>
            <w:vAlign w:val="center"/>
          </w:tcPr>
          <w:p w14:paraId="51E3FA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功能需求</w:t>
            </w:r>
          </w:p>
        </w:tc>
      </w:tr>
      <w:tr w14:paraId="40BD08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  <w:jc w:val="center"/>
        </w:trPr>
        <w:tc>
          <w:tcPr>
            <w:tcW w:w="406" w:type="pct"/>
            <w:noWrap w:val="0"/>
            <w:vAlign w:val="center"/>
          </w:tcPr>
          <w:p w14:paraId="1F80C7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系统构架要求</w:t>
            </w:r>
          </w:p>
        </w:tc>
        <w:tc>
          <w:tcPr>
            <w:tcW w:w="571" w:type="pct"/>
            <w:noWrap w:val="0"/>
            <w:vAlign w:val="center"/>
          </w:tcPr>
          <w:p w14:paraId="360838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B/S架构</w:t>
            </w:r>
          </w:p>
        </w:tc>
        <w:tc>
          <w:tcPr>
            <w:tcW w:w="4021" w:type="pct"/>
            <w:noWrap w:val="0"/>
            <w:vAlign w:val="center"/>
          </w:tcPr>
          <w:p w14:paraId="2A3828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系统须采用B/S</w:t>
            </w:r>
            <w:r>
              <w:rPr>
                <w:rFonts w:ascii="宋体" w:hAnsi="宋体"/>
                <w:color w:val="auto"/>
                <w:szCs w:val="22"/>
                <w:highlight w:val="none"/>
                <w:lang w:eastAsia="zh-Hans"/>
              </w:rPr>
              <w:t>架构</w:t>
            </w: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界面符合医院体软操作习惯</w:t>
            </w:r>
            <w:r>
              <w:rPr>
                <w:rFonts w:ascii="宋体" w:hAnsi="宋体"/>
                <w:color w:val="auto"/>
                <w:szCs w:val="22"/>
                <w:highlight w:val="none"/>
                <w:lang w:eastAsia="zh-Hans"/>
              </w:rPr>
              <w:t>，</w:t>
            </w: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可</w:t>
            </w:r>
            <w:r>
              <w:rPr>
                <w:rFonts w:ascii="宋体" w:hAnsi="宋体"/>
                <w:color w:val="auto"/>
                <w:szCs w:val="22"/>
                <w:highlight w:val="none"/>
                <w:lang w:eastAsia="zh-Hans"/>
              </w:rPr>
              <w:t>降低学习成本。</w:t>
            </w: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系统须</w:t>
            </w:r>
            <w:r>
              <w:rPr>
                <w:rFonts w:ascii="宋体" w:hAnsi="宋体"/>
                <w:color w:val="auto"/>
                <w:szCs w:val="22"/>
                <w:highlight w:val="none"/>
                <w:lang w:eastAsia="zh-Hans"/>
              </w:rPr>
              <w:t>在后期的系统升级、售后维护上，能做到及时响应</w:t>
            </w: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，方便更新</w:t>
            </w:r>
            <w:r>
              <w:rPr>
                <w:rFonts w:ascii="宋体" w:hAnsi="宋体"/>
                <w:color w:val="auto"/>
                <w:szCs w:val="22"/>
                <w:highlight w:val="none"/>
                <w:lang w:eastAsia="zh-Hans"/>
              </w:rPr>
              <w:t>。</w:t>
            </w:r>
          </w:p>
        </w:tc>
      </w:tr>
      <w:tr w14:paraId="07D302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  <w:jc w:val="center"/>
        </w:trPr>
        <w:tc>
          <w:tcPr>
            <w:tcW w:w="406" w:type="pct"/>
            <w:vMerge w:val="restart"/>
            <w:noWrap w:val="0"/>
            <w:vAlign w:val="center"/>
          </w:tcPr>
          <w:p w14:paraId="02EA03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模块管理</w:t>
            </w:r>
          </w:p>
        </w:tc>
        <w:tc>
          <w:tcPr>
            <w:tcW w:w="571" w:type="pct"/>
            <w:noWrap w:val="0"/>
            <w:vAlign w:val="center"/>
          </w:tcPr>
          <w:p w14:paraId="3E1C97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模块划分</w:t>
            </w:r>
          </w:p>
        </w:tc>
        <w:tc>
          <w:tcPr>
            <w:tcW w:w="4021" w:type="pct"/>
            <w:noWrap w:val="0"/>
            <w:vAlign w:val="center"/>
          </w:tcPr>
          <w:p w14:paraId="368B8B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系统须按照体检的主业务流程进行模块划分，须包含体检全流程七大核心模块：预约、登记、分科、总检、报告、财务、维护。并按模块进行功能菜单的定义，支持各模块的功能业务。</w:t>
            </w:r>
          </w:p>
        </w:tc>
      </w:tr>
      <w:tr w14:paraId="0B1790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  <w:jc w:val="center"/>
        </w:trPr>
        <w:tc>
          <w:tcPr>
            <w:tcW w:w="406" w:type="pct"/>
            <w:vMerge w:val="continue"/>
            <w:noWrap w:val="0"/>
            <w:vAlign w:val="center"/>
          </w:tcPr>
          <w:p w14:paraId="3AD8D2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</w:p>
        </w:tc>
        <w:tc>
          <w:tcPr>
            <w:tcW w:w="571" w:type="pct"/>
            <w:noWrap w:val="0"/>
            <w:vAlign w:val="center"/>
          </w:tcPr>
          <w:p w14:paraId="001934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我的收藏</w:t>
            </w:r>
          </w:p>
        </w:tc>
        <w:tc>
          <w:tcPr>
            <w:tcW w:w="4021" w:type="pct"/>
            <w:noWrap w:val="0"/>
            <w:vAlign w:val="center"/>
          </w:tcPr>
          <w:p w14:paraId="535060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每个操作员或角色，可以定义自己经常用到的功能，后期在业务中可以快速直达功能菜单。</w:t>
            </w:r>
          </w:p>
        </w:tc>
      </w:tr>
      <w:tr w14:paraId="64D089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  <w:jc w:val="center"/>
        </w:trPr>
        <w:tc>
          <w:tcPr>
            <w:tcW w:w="406" w:type="pct"/>
            <w:vMerge w:val="restart"/>
            <w:noWrap w:val="0"/>
            <w:vAlign w:val="center"/>
          </w:tcPr>
          <w:p w14:paraId="6268E4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体检预约</w:t>
            </w:r>
          </w:p>
        </w:tc>
        <w:tc>
          <w:tcPr>
            <w:tcW w:w="571" w:type="pct"/>
            <w:noWrap w:val="0"/>
            <w:vAlign w:val="center"/>
          </w:tcPr>
          <w:p w14:paraId="2D863D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单位信息</w:t>
            </w:r>
          </w:p>
        </w:tc>
        <w:tc>
          <w:tcPr>
            <w:tcW w:w="4021" w:type="pct"/>
            <w:noWrap w:val="0"/>
            <w:vAlign w:val="center"/>
          </w:tcPr>
          <w:p w14:paraId="0B3211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对团检单位的基本信息进行录入和编辑，为团检客户建立基本档案，用于长期客户管理，维护客情关系。</w:t>
            </w:r>
          </w:p>
        </w:tc>
      </w:tr>
      <w:tr w14:paraId="19C06A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Merge w:val="continue"/>
            <w:noWrap w:val="0"/>
            <w:vAlign w:val="center"/>
          </w:tcPr>
          <w:p w14:paraId="1B5558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</w:p>
        </w:tc>
        <w:tc>
          <w:tcPr>
            <w:tcW w:w="571" w:type="pct"/>
            <w:noWrap w:val="0"/>
            <w:vAlign w:val="center"/>
          </w:tcPr>
          <w:p w14:paraId="7069FB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任务分组</w:t>
            </w:r>
          </w:p>
        </w:tc>
        <w:tc>
          <w:tcPr>
            <w:tcW w:w="4021" w:type="pct"/>
            <w:noWrap w:val="0"/>
            <w:vAlign w:val="center"/>
          </w:tcPr>
          <w:p w14:paraId="372CA9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对同一单位进行不同体检批次任务的设定。通过批次任务的管理，分批管理体检客户，并支持与单位进行分批结账；</w:t>
            </w:r>
          </w:p>
          <w:p w14:paraId="4D0CB7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同一年内可设置多个批次，方便进行同年的健康状况分析对比；</w:t>
            </w:r>
          </w:p>
          <w:p w14:paraId="6E89BE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基于批次任务，进行分组管理，对不同人群指定不同的套餐；</w:t>
            </w:r>
          </w:p>
          <w:p w14:paraId="5C7A55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套餐可以选用医院标准套餐，也可挑选项目进行搭配，搭配时，会有项目互斥限制，并可以调整单项目、多项目的折扣和价格，也可支持套餐整体打折。</w:t>
            </w:r>
          </w:p>
        </w:tc>
      </w:tr>
      <w:tr w14:paraId="60B758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Merge w:val="continue"/>
            <w:noWrap w:val="0"/>
            <w:vAlign w:val="center"/>
          </w:tcPr>
          <w:p w14:paraId="631B45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</w:p>
        </w:tc>
        <w:tc>
          <w:tcPr>
            <w:tcW w:w="571" w:type="pct"/>
            <w:noWrap w:val="0"/>
            <w:vAlign w:val="center"/>
          </w:tcPr>
          <w:p w14:paraId="1B9E49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多模式分组</w:t>
            </w:r>
          </w:p>
        </w:tc>
        <w:tc>
          <w:tcPr>
            <w:tcW w:w="4021" w:type="pct"/>
            <w:noWrap w:val="0"/>
            <w:vAlign w:val="center"/>
          </w:tcPr>
          <w:p w14:paraId="2D58E3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分组</w:t>
            </w: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CN"/>
              </w:rPr>
              <w:t>根据使用部门需要开发</w:t>
            </w: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多种模式：固定套餐、限额、1+X等。</w:t>
            </w:r>
          </w:p>
        </w:tc>
      </w:tr>
      <w:tr w14:paraId="002F5D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Merge w:val="continue"/>
            <w:noWrap w:val="0"/>
            <w:vAlign w:val="center"/>
          </w:tcPr>
          <w:p w14:paraId="6519D1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</w:p>
        </w:tc>
        <w:tc>
          <w:tcPr>
            <w:tcW w:w="571" w:type="pct"/>
            <w:noWrap w:val="0"/>
            <w:vAlign w:val="center"/>
          </w:tcPr>
          <w:p w14:paraId="7E1C40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快速分组</w:t>
            </w:r>
          </w:p>
        </w:tc>
        <w:tc>
          <w:tcPr>
            <w:tcW w:w="4021" w:type="pct"/>
            <w:noWrap w:val="0"/>
            <w:vAlign w:val="center"/>
          </w:tcPr>
          <w:p w14:paraId="7A1AD2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须在创建分组项目时，</w:t>
            </w: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CN"/>
              </w:rPr>
              <w:t>根据使用部门需要开发</w:t>
            </w: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从Excel或Word中，通过复制、粘贴的方式实现项目的快捷匹配与录入，提高组套效率。</w:t>
            </w:r>
          </w:p>
        </w:tc>
      </w:tr>
      <w:tr w14:paraId="06CFEC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Merge w:val="continue"/>
            <w:noWrap w:val="0"/>
            <w:vAlign w:val="center"/>
          </w:tcPr>
          <w:p w14:paraId="49FCA3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</w:p>
        </w:tc>
        <w:tc>
          <w:tcPr>
            <w:tcW w:w="571" w:type="pct"/>
            <w:noWrap w:val="0"/>
            <w:vAlign w:val="center"/>
          </w:tcPr>
          <w:p w14:paraId="441864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分组体检</w:t>
            </w:r>
          </w:p>
        </w:tc>
        <w:tc>
          <w:tcPr>
            <w:tcW w:w="4021" w:type="pct"/>
            <w:noWrap w:val="0"/>
            <w:vAlign w:val="center"/>
          </w:tcPr>
          <w:p w14:paraId="62C13B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CN"/>
              </w:rPr>
              <w:t>根据使用部门需要开发</w:t>
            </w: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按Excel模板批量导入</w:t>
            </w:r>
            <w:r>
              <w:rPr>
                <w:rFonts w:ascii="宋体" w:hAnsi="宋体"/>
                <w:color w:val="auto"/>
                <w:szCs w:val="22"/>
                <w:highlight w:val="none"/>
                <w:lang w:eastAsia="zh-Hans"/>
              </w:rPr>
              <w:t>名单</w:t>
            </w: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，也可单个添加体检客户</w:t>
            </w:r>
            <w:r>
              <w:rPr>
                <w:rFonts w:ascii="宋体" w:hAnsi="宋体"/>
                <w:color w:val="auto"/>
                <w:szCs w:val="22"/>
                <w:highlight w:val="none"/>
                <w:lang w:eastAsia="zh-Hans"/>
              </w:rPr>
              <w:t>；可通过指定条件和分组识别符进行自动快速分组；</w:t>
            </w:r>
          </w:p>
          <w:p w14:paraId="54D1FF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ascii="宋体" w:hAnsi="宋体"/>
                <w:color w:val="auto"/>
                <w:szCs w:val="22"/>
                <w:highlight w:val="none"/>
                <w:lang w:eastAsia="zh-Hans"/>
              </w:rPr>
              <w:t>根据录入信息识别男女、婚否相关</w:t>
            </w: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信息</w:t>
            </w:r>
            <w:r>
              <w:rPr>
                <w:rFonts w:ascii="宋体" w:hAnsi="宋体"/>
                <w:color w:val="auto"/>
                <w:szCs w:val="22"/>
                <w:highlight w:val="none"/>
                <w:lang w:eastAsia="zh-Hans"/>
              </w:rPr>
              <w:t>，并能做到项目互斥</w:t>
            </w: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提醒</w:t>
            </w:r>
            <w:r>
              <w:rPr>
                <w:rFonts w:ascii="宋体" w:hAnsi="宋体"/>
                <w:color w:val="auto"/>
                <w:szCs w:val="22"/>
                <w:highlight w:val="none"/>
                <w:lang w:eastAsia="zh-Hans"/>
              </w:rPr>
              <w:t>；</w:t>
            </w:r>
          </w:p>
        </w:tc>
      </w:tr>
      <w:tr w14:paraId="071419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  <w:jc w:val="center"/>
        </w:trPr>
        <w:tc>
          <w:tcPr>
            <w:tcW w:w="406" w:type="pct"/>
            <w:vMerge w:val="continue"/>
            <w:noWrap w:val="0"/>
            <w:vAlign w:val="center"/>
          </w:tcPr>
          <w:p w14:paraId="27983F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</w:p>
        </w:tc>
        <w:tc>
          <w:tcPr>
            <w:tcW w:w="571" w:type="pct"/>
            <w:noWrap w:val="0"/>
            <w:vAlign w:val="center"/>
          </w:tcPr>
          <w:p w14:paraId="7BFE41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个人预约</w:t>
            </w:r>
          </w:p>
        </w:tc>
        <w:tc>
          <w:tcPr>
            <w:tcW w:w="4021" w:type="pct"/>
            <w:noWrap w:val="0"/>
            <w:vAlign w:val="center"/>
          </w:tcPr>
          <w:p w14:paraId="7EF341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通过与检前平台对接，从互联网平台上预约的体检，可以实现自动落单。</w:t>
            </w:r>
          </w:p>
        </w:tc>
      </w:tr>
      <w:tr w14:paraId="4EDEEA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  <w:jc w:val="center"/>
        </w:trPr>
        <w:tc>
          <w:tcPr>
            <w:tcW w:w="406" w:type="pct"/>
            <w:vMerge w:val="continue"/>
            <w:noWrap w:val="0"/>
            <w:vAlign w:val="center"/>
          </w:tcPr>
          <w:p w14:paraId="43E1BA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</w:p>
        </w:tc>
        <w:tc>
          <w:tcPr>
            <w:tcW w:w="571" w:type="pct"/>
            <w:noWrap w:val="0"/>
            <w:vAlign w:val="center"/>
          </w:tcPr>
          <w:p w14:paraId="075C3D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预约查询</w:t>
            </w:r>
          </w:p>
        </w:tc>
        <w:tc>
          <w:tcPr>
            <w:tcW w:w="4021" w:type="pct"/>
            <w:noWrap w:val="0"/>
            <w:vAlign w:val="center"/>
          </w:tcPr>
          <w:p w14:paraId="543306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系统须</w:t>
            </w: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CN"/>
              </w:rPr>
              <w:t>根据使用部门需要开发</w:t>
            </w: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可以进行查询通过平台和渠道预约的体检信息，并须支持查看已经排期的团检信息。</w:t>
            </w:r>
          </w:p>
        </w:tc>
      </w:tr>
      <w:tr w14:paraId="245387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  <w:jc w:val="center"/>
        </w:trPr>
        <w:tc>
          <w:tcPr>
            <w:tcW w:w="406" w:type="pct"/>
            <w:vMerge w:val="continue"/>
            <w:noWrap w:val="0"/>
            <w:vAlign w:val="center"/>
          </w:tcPr>
          <w:p w14:paraId="09340B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</w:p>
        </w:tc>
        <w:tc>
          <w:tcPr>
            <w:tcW w:w="571" w:type="pct"/>
            <w:noWrap w:val="0"/>
            <w:vAlign w:val="center"/>
          </w:tcPr>
          <w:p w14:paraId="18FF71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排期管理</w:t>
            </w:r>
          </w:p>
        </w:tc>
        <w:tc>
          <w:tcPr>
            <w:tcW w:w="4021" w:type="pct"/>
            <w:noWrap w:val="0"/>
            <w:vAlign w:val="center"/>
          </w:tcPr>
          <w:p w14:paraId="756125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系统须</w:t>
            </w: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CN"/>
              </w:rPr>
              <w:t>根据使用部门需要开发</w:t>
            </w: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对线上预约平台进行相关内容设置；包括（但不限于）按天、按时段、按渠道、按检查设备预约等；</w:t>
            </w:r>
          </w:p>
          <w:p w14:paraId="7F4F37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须分别设置团检和个检可预约人数上限，实现号源管理；</w:t>
            </w:r>
          </w:p>
          <w:p w14:paraId="609EEC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须按照体检中心工作时间，对上、下班时间进行详细设置，控制休息日的预约排期；</w:t>
            </w:r>
          </w:p>
          <w:p w14:paraId="071C41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须</w:t>
            </w:r>
            <w:r>
              <w:rPr>
                <w:rFonts w:ascii="宋体" w:hAnsi="宋体"/>
                <w:color w:val="auto"/>
                <w:szCs w:val="22"/>
                <w:highlight w:val="none"/>
                <w:lang w:eastAsia="zh-Hans"/>
              </w:rPr>
              <w:t>可对指定单位进行预约日期和人数设定，用于优化VIP单位的体验。</w:t>
            </w:r>
          </w:p>
        </w:tc>
      </w:tr>
      <w:tr w14:paraId="2C377A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Merge w:val="restart"/>
            <w:noWrap w:val="0"/>
            <w:vAlign w:val="center"/>
          </w:tcPr>
          <w:p w14:paraId="070D7C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登记打单</w:t>
            </w:r>
          </w:p>
        </w:tc>
        <w:tc>
          <w:tcPr>
            <w:tcW w:w="571" w:type="pct"/>
            <w:noWrap w:val="0"/>
            <w:vAlign w:val="center"/>
          </w:tcPr>
          <w:p w14:paraId="0C4480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体检登记</w:t>
            </w:r>
          </w:p>
        </w:tc>
        <w:tc>
          <w:tcPr>
            <w:tcW w:w="4021" w:type="pct"/>
            <w:noWrap w:val="0"/>
            <w:vAlign w:val="center"/>
          </w:tcPr>
          <w:p w14:paraId="69C48C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系统须</w:t>
            </w: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CN"/>
              </w:rPr>
              <w:t>根据使用部门需要开发</w:t>
            </w:r>
            <w:r>
              <w:rPr>
                <w:rFonts w:ascii="宋体" w:hAnsi="宋体"/>
                <w:color w:val="auto"/>
                <w:szCs w:val="22"/>
                <w:highlight w:val="none"/>
                <w:lang w:eastAsia="zh-Hans"/>
              </w:rPr>
              <w:t>手工</w:t>
            </w: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录入</w:t>
            </w:r>
            <w:r>
              <w:rPr>
                <w:rFonts w:ascii="宋体" w:hAnsi="宋体"/>
                <w:color w:val="auto"/>
                <w:szCs w:val="22"/>
                <w:highlight w:val="none"/>
                <w:lang w:eastAsia="zh-Hans"/>
              </w:rPr>
              <w:t>、刷身份证、无证等多种登记方式</w:t>
            </w: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，进行登记和查询</w:t>
            </w:r>
            <w:r>
              <w:rPr>
                <w:rFonts w:ascii="宋体" w:hAnsi="宋体"/>
                <w:color w:val="auto"/>
                <w:szCs w:val="22"/>
                <w:highlight w:val="none"/>
                <w:lang w:eastAsia="zh-Hans"/>
              </w:rPr>
              <w:t>；</w:t>
            </w:r>
          </w:p>
          <w:p w14:paraId="68D5D8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登</w:t>
            </w:r>
            <w:r>
              <w:rPr>
                <w:rFonts w:ascii="宋体" w:hAnsi="宋体"/>
                <w:color w:val="auto"/>
                <w:szCs w:val="22"/>
                <w:highlight w:val="none"/>
                <w:lang w:eastAsia="zh-Hans"/>
              </w:rPr>
              <w:t>记时</w:t>
            </w: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须</w:t>
            </w: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CN"/>
              </w:rPr>
              <w:t>根据使用部门需要开发</w:t>
            </w:r>
            <w:r>
              <w:rPr>
                <w:rFonts w:ascii="宋体" w:hAnsi="宋体"/>
                <w:color w:val="auto"/>
                <w:szCs w:val="22"/>
                <w:highlight w:val="none"/>
                <w:lang w:eastAsia="zh-Hans"/>
              </w:rPr>
              <w:t>人像采集，确保体检人员身份的真实性；</w:t>
            </w:r>
          </w:p>
          <w:p w14:paraId="5BAE1F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登</w:t>
            </w:r>
            <w:r>
              <w:rPr>
                <w:rFonts w:ascii="宋体" w:hAnsi="宋体"/>
                <w:color w:val="auto"/>
                <w:szCs w:val="22"/>
                <w:highlight w:val="none"/>
                <w:lang w:eastAsia="zh-Hans"/>
              </w:rPr>
              <w:t>记时</w:t>
            </w: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须</w:t>
            </w:r>
            <w:r>
              <w:rPr>
                <w:rFonts w:ascii="宋体" w:hAnsi="宋体"/>
                <w:color w:val="auto"/>
                <w:szCs w:val="22"/>
                <w:highlight w:val="none"/>
                <w:lang w:eastAsia="zh-Hans"/>
              </w:rPr>
              <w:t>可以指定客户类型（普通客户、VIP、本院职工等）和体检类型（一般健康体检、入职体检，和高级版中的职业健康检、婚孕专项检等）；</w:t>
            </w:r>
          </w:p>
          <w:p w14:paraId="07FA394A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after="0" w:line="440" w:lineRule="exact"/>
              <w:textAlignment w:val="auto"/>
              <w:rPr>
                <w:rFonts w:hint="eastAsia" w:ascii="宋体" w:hAnsi="宋体" w:eastAsia="宋体" w:cs="Times New Roman"/>
                <w:color w:val="auto"/>
                <w:kern w:val="2"/>
                <w:sz w:val="22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2"/>
                <w:sz w:val="22"/>
                <w:szCs w:val="22"/>
                <w:highlight w:val="none"/>
                <w:lang w:eastAsia="zh-Hans"/>
              </w:rPr>
              <w:t>须</w:t>
            </w:r>
            <w:r>
              <w:rPr>
                <w:rFonts w:ascii="宋体" w:hAnsi="宋体" w:eastAsia="宋体" w:cs="Times New Roman"/>
                <w:color w:val="auto"/>
                <w:kern w:val="2"/>
                <w:sz w:val="22"/>
                <w:szCs w:val="22"/>
                <w:highlight w:val="none"/>
                <w:lang w:eastAsia="zh-Hans"/>
              </w:rPr>
              <w:t>可以执行个人加项、团检加项、换项、退项等操作。</w:t>
            </w:r>
          </w:p>
          <w:p w14:paraId="75AB41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单位体检，支持家属体检关联，方便结账。体检档案分开管理，明确区分。</w:t>
            </w:r>
          </w:p>
        </w:tc>
      </w:tr>
      <w:tr w14:paraId="4122EB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Merge w:val="continue"/>
            <w:noWrap w:val="0"/>
            <w:vAlign w:val="center"/>
          </w:tcPr>
          <w:p w14:paraId="221B4A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</w:p>
        </w:tc>
        <w:tc>
          <w:tcPr>
            <w:tcW w:w="571" w:type="pct"/>
            <w:noWrap w:val="0"/>
            <w:vAlign w:val="center"/>
          </w:tcPr>
          <w:p w14:paraId="5DEF6E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项目引用</w:t>
            </w:r>
          </w:p>
        </w:tc>
        <w:tc>
          <w:tcPr>
            <w:tcW w:w="4021" w:type="pct"/>
            <w:noWrap w:val="0"/>
            <w:vAlign w:val="center"/>
          </w:tcPr>
          <w:p w14:paraId="19549F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系统须</w:t>
            </w: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CN"/>
              </w:rPr>
              <w:t>根据使用部门需要开发</w:t>
            </w: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对其他客户的体检项目进行引用，同时能够查看当前客户的历次体检记录，并对本人前期体检项目进行引用。</w:t>
            </w:r>
          </w:p>
        </w:tc>
      </w:tr>
      <w:tr w14:paraId="3E7457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  <w:jc w:val="center"/>
        </w:trPr>
        <w:tc>
          <w:tcPr>
            <w:tcW w:w="406" w:type="pct"/>
            <w:vMerge w:val="continue"/>
            <w:noWrap w:val="0"/>
            <w:vAlign w:val="center"/>
          </w:tcPr>
          <w:p w14:paraId="266A13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</w:p>
        </w:tc>
        <w:tc>
          <w:tcPr>
            <w:tcW w:w="571" w:type="pct"/>
            <w:noWrap w:val="0"/>
            <w:vAlign w:val="center"/>
          </w:tcPr>
          <w:p w14:paraId="5F6B99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批量登记</w:t>
            </w:r>
          </w:p>
        </w:tc>
        <w:tc>
          <w:tcPr>
            <w:tcW w:w="4021" w:type="pct"/>
            <w:noWrap w:val="0"/>
            <w:vAlign w:val="center"/>
          </w:tcPr>
          <w:p w14:paraId="37F0DA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系统须</w:t>
            </w: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CN"/>
              </w:rPr>
              <w:t>根据使用部门需要开发</w:t>
            </w: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团检单位提前批量登记与打单，减少体检客户到检后临时排队登记。</w:t>
            </w:r>
          </w:p>
        </w:tc>
      </w:tr>
      <w:tr w14:paraId="0A8A3F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Merge w:val="continue"/>
            <w:noWrap w:val="0"/>
            <w:vAlign w:val="center"/>
          </w:tcPr>
          <w:p w14:paraId="12D8F2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</w:p>
        </w:tc>
        <w:tc>
          <w:tcPr>
            <w:tcW w:w="571" w:type="pct"/>
            <w:noWrap w:val="0"/>
            <w:vAlign w:val="center"/>
          </w:tcPr>
          <w:p w14:paraId="4A2335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业务打单</w:t>
            </w:r>
          </w:p>
        </w:tc>
        <w:tc>
          <w:tcPr>
            <w:tcW w:w="4021" w:type="pct"/>
            <w:noWrap w:val="0"/>
            <w:vAlign w:val="center"/>
          </w:tcPr>
          <w:p w14:paraId="74BF6E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系统须</w:t>
            </w:r>
            <w:r>
              <w:rPr>
                <w:rFonts w:ascii="宋体" w:hAnsi="宋体"/>
                <w:color w:val="auto"/>
                <w:szCs w:val="22"/>
                <w:highlight w:val="none"/>
                <w:lang w:eastAsia="zh-Hans"/>
              </w:rPr>
              <w:t>登记完成后支持一键打单，也可有选择性的进行</w:t>
            </w: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打印指定</w:t>
            </w:r>
            <w:r>
              <w:rPr>
                <w:rFonts w:ascii="宋体" w:hAnsi="宋体"/>
                <w:color w:val="auto"/>
                <w:szCs w:val="22"/>
                <w:highlight w:val="none"/>
                <w:lang w:eastAsia="zh-Hans"/>
              </w:rPr>
              <w:t>项目；</w:t>
            </w:r>
          </w:p>
          <w:p w14:paraId="185018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团检单位须</w:t>
            </w:r>
            <w:r>
              <w:rPr>
                <w:rFonts w:ascii="宋体" w:hAnsi="宋体"/>
                <w:color w:val="auto"/>
                <w:szCs w:val="22"/>
                <w:highlight w:val="none"/>
                <w:lang w:eastAsia="zh-Hans"/>
              </w:rPr>
              <w:t>支持批量</w:t>
            </w: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打印指引单和条码</w:t>
            </w:r>
            <w:r>
              <w:rPr>
                <w:rFonts w:ascii="宋体" w:hAnsi="宋体"/>
                <w:color w:val="auto"/>
                <w:szCs w:val="22"/>
                <w:highlight w:val="none"/>
                <w:lang w:eastAsia="zh-Hans"/>
              </w:rPr>
              <w:t>；</w:t>
            </w:r>
          </w:p>
          <w:p w14:paraId="3C2D4F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指引单须支持按不同客户类型配置不同模板</w:t>
            </w:r>
            <w:r>
              <w:rPr>
                <w:rFonts w:ascii="宋体" w:hAnsi="宋体"/>
                <w:color w:val="auto"/>
                <w:szCs w:val="22"/>
                <w:highlight w:val="none"/>
                <w:lang w:eastAsia="zh-Hans"/>
              </w:rPr>
              <w:t>；</w:t>
            </w:r>
          </w:p>
          <w:p w14:paraId="386B0D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ascii="宋体" w:hAnsi="宋体"/>
                <w:color w:val="auto"/>
                <w:szCs w:val="22"/>
                <w:highlight w:val="none"/>
                <w:lang w:eastAsia="zh-Hans"/>
              </w:rPr>
              <w:t>如有发生指引单破损、丢失等情况，</w:t>
            </w: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须</w:t>
            </w:r>
            <w:r>
              <w:rPr>
                <w:rFonts w:ascii="宋体" w:hAnsi="宋体"/>
                <w:color w:val="auto"/>
                <w:szCs w:val="22"/>
                <w:highlight w:val="none"/>
                <w:lang w:eastAsia="zh-Hans"/>
              </w:rPr>
              <w:t>可进行指引单补打。</w:t>
            </w:r>
          </w:p>
        </w:tc>
      </w:tr>
      <w:tr w14:paraId="4C4BAE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7" w:hRule="atLeast"/>
          <w:jc w:val="center"/>
        </w:trPr>
        <w:tc>
          <w:tcPr>
            <w:tcW w:w="406" w:type="pct"/>
            <w:vMerge w:val="continue"/>
            <w:noWrap w:val="0"/>
            <w:vAlign w:val="center"/>
          </w:tcPr>
          <w:p w14:paraId="02CDA9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</w:p>
        </w:tc>
        <w:tc>
          <w:tcPr>
            <w:tcW w:w="571" w:type="pct"/>
            <w:noWrap w:val="0"/>
            <w:vAlign w:val="center"/>
          </w:tcPr>
          <w:p w14:paraId="431691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体检加项</w:t>
            </w:r>
          </w:p>
        </w:tc>
        <w:tc>
          <w:tcPr>
            <w:tcW w:w="4021" w:type="pct"/>
            <w:noWrap w:val="0"/>
            <w:vAlign w:val="center"/>
          </w:tcPr>
          <w:p w14:paraId="3A5AE6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系统须支持体检时，因个人需要或医生推荐，进行加项。</w:t>
            </w:r>
          </w:p>
          <w:p w14:paraId="59ECAA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特殊科室项目支持半价结算和附加费自动关联，减少医护手工调价和手工增加附加项目。</w:t>
            </w:r>
          </w:p>
        </w:tc>
      </w:tr>
      <w:tr w14:paraId="4B9C27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406" w:type="pct"/>
            <w:vMerge w:val="continue"/>
            <w:noWrap w:val="0"/>
            <w:vAlign w:val="center"/>
          </w:tcPr>
          <w:p w14:paraId="1ACC7E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</w:p>
        </w:tc>
        <w:tc>
          <w:tcPr>
            <w:tcW w:w="571" w:type="pct"/>
            <w:noWrap w:val="0"/>
            <w:vAlign w:val="center"/>
          </w:tcPr>
          <w:p w14:paraId="6351CE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客户管理与查询</w:t>
            </w:r>
          </w:p>
        </w:tc>
        <w:tc>
          <w:tcPr>
            <w:tcW w:w="4021" w:type="pct"/>
            <w:noWrap w:val="0"/>
            <w:vAlign w:val="center"/>
          </w:tcPr>
          <w:p w14:paraId="4DF3A0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系统须</w:t>
            </w: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CN"/>
              </w:rPr>
              <w:t>根据使用部门需要开发</w:t>
            </w: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对团检客户的到检管理，并跟进</w:t>
            </w:r>
          </w:p>
          <w:p w14:paraId="70BEEC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须可以按时间区间查看登记客户列表；</w:t>
            </w:r>
          </w:p>
          <w:p w14:paraId="2102CE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须可以查看历史完成登记客户的体检信息，包含每次体检项目、分科小结、总检报告等，并可以时间轴的形式查看历次体检的总检结果；</w:t>
            </w:r>
          </w:p>
          <w:p w14:paraId="6224C7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须可以查看团检客户的人员的体检日期、体检状态、收费情况等。</w:t>
            </w:r>
          </w:p>
        </w:tc>
      </w:tr>
      <w:tr w14:paraId="2A0A97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1" w:hRule="atLeast"/>
          <w:jc w:val="center"/>
        </w:trPr>
        <w:tc>
          <w:tcPr>
            <w:tcW w:w="406" w:type="pct"/>
            <w:vMerge w:val="continue"/>
            <w:noWrap w:val="0"/>
            <w:vAlign w:val="center"/>
          </w:tcPr>
          <w:p w14:paraId="502F77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</w:p>
        </w:tc>
        <w:tc>
          <w:tcPr>
            <w:tcW w:w="571" w:type="pct"/>
            <w:noWrap w:val="0"/>
            <w:vAlign w:val="center"/>
          </w:tcPr>
          <w:p w14:paraId="2D56AC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体检收单</w:t>
            </w:r>
          </w:p>
        </w:tc>
        <w:tc>
          <w:tcPr>
            <w:tcW w:w="4021" w:type="pct"/>
            <w:noWrap w:val="0"/>
            <w:vAlign w:val="center"/>
          </w:tcPr>
          <w:p w14:paraId="26139E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系统须</w:t>
            </w: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CN"/>
              </w:rPr>
              <w:t>根据使用部门需要开发</w:t>
            </w: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指引单扫码收单、弃检、延期检查等操作，并对操作过程进行备注和记录；</w:t>
            </w:r>
          </w:p>
          <w:p w14:paraId="59696F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系统须</w:t>
            </w: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CN"/>
              </w:rPr>
              <w:t>根据使用部门需要开发</w:t>
            </w: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明确提醒“未检查”的项目；</w:t>
            </w:r>
          </w:p>
          <w:p w14:paraId="2C1968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须支持批量收单操作。</w:t>
            </w:r>
          </w:p>
        </w:tc>
      </w:tr>
      <w:tr w14:paraId="655AAD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7" w:hRule="atLeast"/>
          <w:jc w:val="center"/>
        </w:trPr>
        <w:tc>
          <w:tcPr>
            <w:tcW w:w="406" w:type="pct"/>
            <w:vMerge w:val="continue"/>
            <w:noWrap w:val="0"/>
            <w:vAlign w:val="center"/>
          </w:tcPr>
          <w:p w14:paraId="427639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</w:p>
        </w:tc>
        <w:tc>
          <w:tcPr>
            <w:tcW w:w="571" w:type="pct"/>
            <w:noWrap w:val="0"/>
            <w:vAlign w:val="center"/>
          </w:tcPr>
          <w:p w14:paraId="23177F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团单管理</w:t>
            </w:r>
          </w:p>
        </w:tc>
        <w:tc>
          <w:tcPr>
            <w:tcW w:w="4021" w:type="pct"/>
            <w:noWrap w:val="0"/>
            <w:vAlign w:val="center"/>
          </w:tcPr>
          <w:p w14:paraId="0AEB1F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系统须对单位团检进行统一管理，能够随时查看团检单位的每个体检客户的体检进度情况、加项情况、弃检情况，以及单位的付款情况等；</w:t>
            </w:r>
          </w:p>
          <w:p w14:paraId="717D3A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支持须对团单数据的导出功能等；</w:t>
            </w:r>
          </w:p>
          <w:p w14:paraId="465874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若存在家属体检关联，有明确区分标识。</w:t>
            </w:r>
          </w:p>
        </w:tc>
      </w:tr>
      <w:tr w14:paraId="21D2FD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  <w:jc w:val="center"/>
        </w:trPr>
        <w:tc>
          <w:tcPr>
            <w:tcW w:w="406" w:type="pct"/>
            <w:vMerge w:val="restart"/>
            <w:noWrap w:val="0"/>
            <w:vAlign w:val="center"/>
          </w:tcPr>
          <w:p w14:paraId="3E9FC4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分科体检</w:t>
            </w:r>
          </w:p>
        </w:tc>
        <w:tc>
          <w:tcPr>
            <w:tcW w:w="571" w:type="pct"/>
            <w:noWrap w:val="0"/>
            <w:vAlign w:val="center"/>
          </w:tcPr>
          <w:p w14:paraId="03FABF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分科队列</w:t>
            </w:r>
          </w:p>
        </w:tc>
        <w:tc>
          <w:tcPr>
            <w:tcW w:w="4021" w:type="pct"/>
            <w:noWrap w:val="0"/>
            <w:vAlign w:val="center"/>
          </w:tcPr>
          <w:p w14:paraId="71D91C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系统须</w:t>
            </w: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CN"/>
              </w:rPr>
              <w:t>根据使用部门需要开发</w:t>
            </w: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医生根据权限，进入自己负责的科室页面；</w:t>
            </w:r>
          </w:p>
          <w:p w14:paraId="228AF4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显示当前科室自己负责的受检人待检、已检信息。</w:t>
            </w:r>
          </w:p>
        </w:tc>
      </w:tr>
      <w:tr w14:paraId="46AA13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406" w:type="pct"/>
            <w:vMerge w:val="continue"/>
            <w:noWrap w:val="0"/>
            <w:vAlign w:val="center"/>
          </w:tcPr>
          <w:p w14:paraId="167EC7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</w:p>
        </w:tc>
        <w:tc>
          <w:tcPr>
            <w:tcW w:w="571" w:type="pct"/>
            <w:noWrap w:val="0"/>
            <w:vAlign w:val="center"/>
          </w:tcPr>
          <w:p w14:paraId="11EDCD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结果录入与采集</w:t>
            </w:r>
          </w:p>
        </w:tc>
        <w:tc>
          <w:tcPr>
            <w:tcW w:w="4021" w:type="pct"/>
            <w:noWrap w:val="0"/>
            <w:vAlign w:val="center"/>
          </w:tcPr>
          <w:p w14:paraId="49A265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体检的过程中，部分检查项的结果（如：身高、体重、血压），系统须支持通过设备对接的方式，从设备中直接获取，也可手工记录测量结果；</w:t>
            </w:r>
          </w:p>
          <w:p w14:paraId="2E6D1F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词条的书写和数值的填入使用模板化设计，医生可从词条库中直接选择体征词条，快速完成检查结果录入，模板可进行编辑调整；</w:t>
            </w:r>
          </w:p>
          <w:p w14:paraId="15165E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支持对当前科室检查项目执行弃检操作。</w:t>
            </w:r>
          </w:p>
        </w:tc>
      </w:tr>
      <w:tr w14:paraId="6B3C9E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406" w:type="pct"/>
            <w:vMerge w:val="continue"/>
            <w:noWrap w:val="0"/>
            <w:vAlign w:val="center"/>
          </w:tcPr>
          <w:p w14:paraId="6A817E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</w:p>
        </w:tc>
        <w:tc>
          <w:tcPr>
            <w:tcW w:w="571" w:type="pct"/>
            <w:noWrap w:val="0"/>
            <w:vAlign w:val="center"/>
          </w:tcPr>
          <w:p w14:paraId="77576D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异常结果自动标红</w:t>
            </w:r>
          </w:p>
        </w:tc>
        <w:tc>
          <w:tcPr>
            <w:tcW w:w="4021" w:type="pct"/>
            <w:noWrap w:val="0"/>
            <w:vAlign w:val="center"/>
          </w:tcPr>
          <w:p w14:paraId="5E1310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系统须</w:t>
            </w: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CN"/>
              </w:rPr>
              <w:t>根据使用部门需要开发</w:t>
            </w: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异常结果自动标红；</w:t>
            </w:r>
          </w:p>
        </w:tc>
      </w:tr>
      <w:tr w14:paraId="54D10B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406" w:type="pct"/>
            <w:vMerge w:val="continue"/>
            <w:noWrap w:val="0"/>
            <w:vAlign w:val="center"/>
          </w:tcPr>
          <w:p w14:paraId="7F330F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</w:p>
        </w:tc>
        <w:tc>
          <w:tcPr>
            <w:tcW w:w="571" w:type="pct"/>
            <w:noWrap w:val="0"/>
            <w:vAlign w:val="center"/>
          </w:tcPr>
          <w:p w14:paraId="7074F5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历次体检的数据引用</w:t>
            </w:r>
          </w:p>
        </w:tc>
        <w:tc>
          <w:tcPr>
            <w:tcW w:w="4021" w:type="pct"/>
            <w:noWrap w:val="0"/>
            <w:vAlign w:val="center"/>
          </w:tcPr>
          <w:p w14:paraId="516C51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系统须对有历次体检的数据，支持引用（如病史等）</w:t>
            </w:r>
          </w:p>
        </w:tc>
      </w:tr>
      <w:tr w14:paraId="71F455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406" w:type="pct"/>
            <w:vMerge w:val="continue"/>
            <w:noWrap w:val="0"/>
            <w:vAlign w:val="center"/>
          </w:tcPr>
          <w:p w14:paraId="18092A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</w:p>
        </w:tc>
        <w:tc>
          <w:tcPr>
            <w:tcW w:w="571" w:type="pct"/>
            <w:noWrap w:val="0"/>
            <w:vAlign w:val="center"/>
          </w:tcPr>
          <w:p w14:paraId="24FD14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检中加项</w:t>
            </w:r>
          </w:p>
        </w:tc>
        <w:tc>
          <w:tcPr>
            <w:tcW w:w="4021" w:type="pct"/>
            <w:noWrap w:val="0"/>
            <w:vAlign w:val="center"/>
          </w:tcPr>
          <w:p w14:paraId="35F05C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医生在体检过程中，根据体检客户的当前状况，可以随时新增体检项目</w:t>
            </w:r>
          </w:p>
        </w:tc>
      </w:tr>
      <w:tr w14:paraId="12C284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406" w:type="pct"/>
            <w:vMerge w:val="continue"/>
            <w:noWrap w:val="0"/>
            <w:vAlign w:val="center"/>
          </w:tcPr>
          <w:p w14:paraId="4494CF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</w:p>
        </w:tc>
        <w:tc>
          <w:tcPr>
            <w:tcW w:w="571" w:type="pct"/>
            <w:noWrap w:val="0"/>
            <w:vAlign w:val="center"/>
          </w:tcPr>
          <w:p w14:paraId="701303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分科小结</w:t>
            </w:r>
          </w:p>
        </w:tc>
        <w:tc>
          <w:tcPr>
            <w:tcW w:w="4021" w:type="pct"/>
            <w:noWrap w:val="0"/>
            <w:vAlign w:val="center"/>
          </w:tcPr>
          <w:p w14:paraId="522381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科室小结自动生成，并支持手工进行内容编辑；</w:t>
            </w:r>
          </w:p>
          <w:p w14:paraId="7C6AA4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系统自动对异常结果进行重症级别分层；</w:t>
            </w:r>
          </w:p>
          <w:p w14:paraId="186D8F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重大异常结果会在显著位置提醒医生及时处理。</w:t>
            </w:r>
          </w:p>
        </w:tc>
      </w:tr>
      <w:tr w14:paraId="003014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406" w:type="pct"/>
            <w:vMerge w:val="continue"/>
            <w:noWrap w:val="0"/>
            <w:vAlign w:val="center"/>
          </w:tcPr>
          <w:p w14:paraId="372737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</w:p>
        </w:tc>
        <w:tc>
          <w:tcPr>
            <w:tcW w:w="571" w:type="pct"/>
            <w:noWrap w:val="0"/>
            <w:vAlign w:val="center"/>
          </w:tcPr>
          <w:p w14:paraId="26A183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结果审核</w:t>
            </w:r>
          </w:p>
        </w:tc>
        <w:tc>
          <w:tcPr>
            <w:tcW w:w="4021" w:type="pct"/>
            <w:noWrap w:val="0"/>
            <w:vAlign w:val="center"/>
          </w:tcPr>
          <w:p w14:paraId="16BBEE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CN"/>
              </w:rPr>
              <w:t>根据使用部门需要开发</w:t>
            </w: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分角色对分科小结进行确认与审核。</w:t>
            </w:r>
          </w:p>
          <w:p w14:paraId="039FE20E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 w:eastAsia="宋体" w:cs="Times New Roman"/>
                <w:color w:val="auto"/>
                <w:kern w:val="2"/>
                <w:sz w:val="22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2"/>
                <w:sz w:val="22"/>
                <w:szCs w:val="22"/>
                <w:highlight w:val="none"/>
                <w:lang w:eastAsia="zh-Hans"/>
              </w:rPr>
              <w:t>若发现有重要异常指标，支持上报，并自动进入质控统一管理。</w:t>
            </w:r>
          </w:p>
        </w:tc>
      </w:tr>
      <w:tr w14:paraId="50B3EE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406" w:type="pct"/>
            <w:vMerge w:val="continue"/>
            <w:noWrap w:val="0"/>
            <w:vAlign w:val="center"/>
          </w:tcPr>
          <w:p w14:paraId="4A7DCA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</w:p>
        </w:tc>
        <w:tc>
          <w:tcPr>
            <w:tcW w:w="571" w:type="pct"/>
            <w:noWrap w:val="0"/>
            <w:vAlign w:val="center"/>
          </w:tcPr>
          <w:p w14:paraId="2A7810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查看他科结果</w:t>
            </w:r>
          </w:p>
        </w:tc>
        <w:tc>
          <w:tcPr>
            <w:tcW w:w="4021" w:type="pct"/>
            <w:noWrap w:val="0"/>
            <w:vAlign w:val="center"/>
          </w:tcPr>
          <w:p w14:paraId="4B2919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系统须可随时查看其他科室已完成的检查结果；</w:t>
            </w:r>
          </w:p>
          <w:p w14:paraId="273484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须可以查看影像科上传的图片；</w:t>
            </w:r>
          </w:p>
          <w:p w14:paraId="539075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须可以查看历史体检结果和关键指标变化趋势。</w:t>
            </w:r>
          </w:p>
        </w:tc>
      </w:tr>
      <w:tr w14:paraId="50E13E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406" w:type="pct"/>
            <w:vMerge w:val="continue"/>
            <w:noWrap w:val="0"/>
            <w:vAlign w:val="center"/>
          </w:tcPr>
          <w:p w14:paraId="5064FE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</w:p>
        </w:tc>
        <w:tc>
          <w:tcPr>
            <w:tcW w:w="571" w:type="pct"/>
            <w:noWrap w:val="0"/>
            <w:vAlign w:val="center"/>
          </w:tcPr>
          <w:p w14:paraId="5256D3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影像结果调阅</w:t>
            </w:r>
          </w:p>
        </w:tc>
        <w:tc>
          <w:tcPr>
            <w:tcW w:w="4021" w:type="pct"/>
            <w:noWrap w:val="0"/>
            <w:vAlign w:val="center"/>
          </w:tcPr>
          <w:p w14:paraId="7C0966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系统须支持与PACS系统或设备的对接，并及时调阅影像结果（包括图片、文字或PDF报告等）。</w:t>
            </w:r>
          </w:p>
        </w:tc>
      </w:tr>
      <w:tr w14:paraId="2B3458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406" w:type="pct"/>
            <w:vMerge w:val="continue"/>
            <w:noWrap w:val="0"/>
            <w:vAlign w:val="center"/>
          </w:tcPr>
          <w:p w14:paraId="4A6D30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</w:p>
        </w:tc>
        <w:tc>
          <w:tcPr>
            <w:tcW w:w="571" w:type="pct"/>
            <w:noWrap w:val="0"/>
            <w:vAlign w:val="center"/>
          </w:tcPr>
          <w:p w14:paraId="76477D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标本采集</w:t>
            </w:r>
          </w:p>
        </w:tc>
        <w:tc>
          <w:tcPr>
            <w:tcW w:w="4021" w:type="pct"/>
            <w:noWrap w:val="0"/>
            <w:vAlign w:val="center"/>
          </w:tcPr>
          <w:p w14:paraId="51FACF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须按照不同的标本类型，进行样本采集，并进行采集追踪管理等。</w:t>
            </w:r>
          </w:p>
        </w:tc>
      </w:tr>
      <w:tr w14:paraId="120EE0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406" w:type="pct"/>
            <w:vMerge w:val="restart"/>
            <w:noWrap w:val="0"/>
            <w:vAlign w:val="center"/>
          </w:tcPr>
          <w:p w14:paraId="76CA6B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总检审核</w:t>
            </w:r>
          </w:p>
        </w:tc>
        <w:tc>
          <w:tcPr>
            <w:tcW w:w="571" w:type="pct"/>
            <w:noWrap w:val="0"/>
            <w:vAlign w:val="center"/>
          </w:tcPr>
          <w:p w14:paraId="02C5A8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总检队列</w:t>
            </w:r>
          </w:p>
        </w:tc>
        <w:tc>
          <w:tcPr>
            <w:tcW w:w="4021" w:type="pct"/>
            <w:noWrap w:val="0"/>
            <w:vAlign w:val="center"/>
          </w:tcPr>
          <w:p w14:paraId="75609D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此页面须可以按照待总检、已总检、分检进行中、历史积案进行分类查看。可打造无纸化总检。</w:t>
            </w:r>
          </w:p>
          <w:p w14:paraId="624D2D76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 w:eastAsia="宋体" w:cs="Times New Roman"/>
                <w:color w:val="auto"/>
                <w:kern w:val="2"/>
                <w:sz w:val="22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2"/>
                <w:sz w:val="22"/>
                <w:szCs w:val="22"/>
                <w:highlight w:val="none"/>
                <w:lang w:eastAsia="zh-Hans"/>
              </w:rPr>
              <w:t>支持批量总检。</w:t>
            </w:r>
          </w:p>
        </w:tc>
      </w:tr>
      <w:tr w14:paraId="5E05CB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406" w:type="pct"/>
            <w:vMerge w:val="continue"/>
            <w:noWrap w:val="0"/>
            <w:vAlign w:val="center"/>
          </w:tcPr>
          <w:p w14:paraId="3765F1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</w:p>
        </w:tc>
        <w:tc>
          <w:tcPr>
            <w:tcW w:w="571" w:type="pct"/>
            <w:noWrap w:val="0"/>
            <w:vAlign w:val="center"/>
          </w:tcPr>
          <w:p w14:paraId="066034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总检分配</w:t>
            </w:r>
          </w:p>
        </w:tc>
        <w:tc>
          <w:tcPr>
            <w:tcW w:w="4021" w:type="pct"/>
            <w:noWrap w:val="0"/>
            <w:vAlign w:val="center"/>
          </w:tcPr>
          <w:p w14:paraId="3357DB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存在多个总检医生时，支持按一定规则分配总检医生。</w:t>
            </w:r>
          </w:p>
        </w:tc>
      </w:tr>
      <w:tr w14:paraId="0B96FE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406" w:type="pct"/>
            <w:vMerge w:val="continue"/>
            <w:noWrap w:val="0"/>
            <w:vAlign w:val="center"/>
          </w:tcPr>
          <w:p w14:paraId="02858D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</w:p>
        </w:tc>
        <w:tc>
          <w:tcPr>
            <w:tcW w:w="571" w:type="pct"/>
            <w:noWrap w:val="0"/>
            <w:vAlign w:val="center"/>
          </w:tcPr>
          <w:p w14:paraId="392C84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总检结论</w:t>
            </w:r>
          </w:p>
        </w:tc>
        <w:tc>
          <w:tcPr>
            <w:tcW w:w="4021" w:type="pct"/>
            <w:noWrap w:val="0"/>
            <w:vAlign w:val="center"/>
          </w:tcPr>
          <w:p w14:paraId="581501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CN"/>
              </w:rPr>
              <w:t>根据使用部门需要开发</w:t>
            </w: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结论词按一定规则自动合并，也可以进行手动合并、拆分等编辑操作；</w:t>
            </w:r>
          </w:p>
          <w:p w14:paraId="1A8E65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重大阳性指标突出提醒；</w:t>
            </w:r>
          </w:p>
          <w:p w14:paraId="0C0118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可查看分科结果、分科小结、弃检项目、检验科结果、影像科结果和图片等内容；</w:t>
            </w:r>
          </w:p>
          <w:p w14:paraId="53A9FA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可以查看报告打印预览；</w:t>
            </w:r>
          </w:p>
          <w:p w14:paraId="6AB75F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影像报告可直接进入体检报告中；</w:t>
            </w:r>
          </w:p>
          <w:p w14:paraId="7F5881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对于体检结果可按需选择进入体检报告的内容。</w:t>
            </w:r>
          </w:p>
          <w:p w14:paraId="3578000B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 w:eastAsia="宋体" w:cs="Times New Roman"/>
                <w:color w:val="auto"/>
                <w:kern w:val="2"/>
                <w:sz w:val="22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2"/>
                <w:sz w:val="22"/>
                <w:szCs w:val="22"/>
                <w:highlight w:val="none"/>
                <w:lang w:eastAsia="zh-Hans"/>
              </w:rPr>
              <w:t>若新增的结论与建议被删除了，可以支持快速的找回与恢复。</w:t>
            </w:r>
          </w:p>
        </w:tc>
      </w:tr>
      <w:tr w14:paraId="03E557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8" w:hRule="atLeast"/>
          <w:jc w:val="center"/>
        </w:trPr>
        <w:tc>
          <w:tcPr>
            <w:tcW w:w="406" w:type="pct"/>
            <w:vMerge w:val="continue"/>
            <w:noWrap w:val="0"/>
            <w:vAlign w:val="center"/>
          </w:tcPr>
          <w:p w14:paraId="3D4A20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</w:p>
        </w:tc>
        <w:tc>
          <w:tcPr>
            <w:tcW w:w="571" w:type="pct"/>
            <w:noWrap w:val="0"/>
            <w:vAlign w:val="center"/>
          </w:tcPr>
          <w:p w14:paraId="761E54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总检复审</w:t>
            </w:r>
          </w:p>
        </w:tc>
        <w:tc>
          <w:tcPr>
            <w:tcW w:w="4021" w:type="pct"/>
            <w:noWrap w:val="0"/>
            <w:vAlign w:val="center"/>
          </w:tcPr>
          <w:p w14:paraId="615DC4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根据医院业务安排，灵活配置，支持二级总检、三级总检机制；</w:t>
            </w:r>
          </w:p>
          <w:p w14:paraId="2A06D3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不符合的总检结果，支持驳回；</w:t>
            </w:r>
          </w:p>
          <w:p w14:paraId="570E23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支持总检、审核过程可追溯。</w:t>
            </w:r>
          </w:p>
        </w:tc>
      </w:tr>
      <w:tr w14:paraId="59DAB2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406" w:type="pct"/>
            <w:vMerge w:val="continue"/>
            <w:noWrap w:val="0"/>
            <w:vAlign w:val="center"/>
          </w:tcPr>
          <w:p w14:paraId="53C245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</w:p>
        </w:tc>
        <w:tc>
          <w:tcPr>
            <w:tcW w:w="571" w:type="pct"/>
            <w:noWrap w:val="0"/>
            <w:vAlign w:val="center"/>
          </w:tcPr>
          <w:p w14:paraId="19FBF9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总检查询</w:t>
            </w:r>
          </w:p>
        </w:tc>
        <w:tc>
          <w:tcPr>
            <w:tcW w:w="4021" w:type="pct"/>
            <w:noWrap w:val="0"/>
            <w:vAlign w:val="center"/>
          </w:tcPr>
          <w:p w14:paraId="55FCB2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CN"/>
              </w:rPr>
              <w:t>根据使用部门需要开发</w:t>
            </w: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对体检客户的总检过程进行查询，明确总检医生、时间等。</w:t>
            </w:r>
          </w:p>
        </w:tc>
      </w:tr>
      <w:tr w14:paraId="645748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406" w:type="pct"/>
            <w:vMerge w:val="continue"/>
            <w:noWrap w:val="0"/>
            <w:vAlign w:val="center"/>
          </w:tcPr>
          <w:p w14:paraId="47FA5F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</w:p>
        </w:tc>
        <w:tc>
          <w:tcPr>
            <w:tcW w:w="571" w:type="pct"/>
            <w:noWrap w:val="0"/>
            <w:vAlign w:val="center"/>
          </w:tcPr>
          <w:p w14:paraId="547C6C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结论分类智能归一</w:t>
            </w:r>
          </w:p>
        </w:tc>
        <w:tc>
          <w:tcPr>
            <w:tcW w:w="4021" w:type="pct"/>
            <w:noWrap w:val="0"/>
            <w:vAlign w:val="center"/>
          </w:tcPr>
          <w:p w14:paraId="59C287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系统须</w:t>
            </w: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CN"/>
              </w:rPr>
              <w:t>根据使用部门需要开发</w:t>
            </w: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对各科（特别是影像检查科室或特殊辅助检查科室）相同指标结果但描述不同的结论进行智能识别，统一成一致的结论分类，方便出体检报告和统计分析，以及对体检客户进行分类管理。</w:t>
            </w:r>
          </w:p>
        </w:tc>
      </w:tr>
      <w:tr w14:paraId="343BFC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406" w:type="pct"/>
            <w:vMerge w:val="continue"/>
            <w:noWrap w:val="0"/>
            <w:vAlign w:val="center"/>
          </w:tcPr>
          <w:p w14:paraId="2D0F2E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</w:p>
        </w:tc>
        <w:tc>
          <w:tcPr>
            <w:tcW w:w="571" w:type="pct"/>
            <w:noWrap w:val="0"/>
            <w:vAlign w:val="center"/>
          </w:tcPr>
          <w:p w14:paraId="654974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检前问卷综合评估</w:t>
            </w:r>
          </w:p>
        </w:tc>
        <w:tc>
          <w:tcPr>
            <w:tcW w:w="4021" w:type="pct"/>
            <w:noWrap w:val="0"/>
            <w:vAlign w:val="center"/>
          </w:tcPr>
          <w:p w14:paraId="5EB54F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系统须在总检时，能够查看体检客户提交的问卷评估信息，方便结合问卷结果做综合评估，并给出健康建议等。</w:t>
            </w:r>
          </w:p>
        </w:tc>
      </w:tr>
      <w:tr w14:paraId="40B2AE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406" w:type="pct"/>
            <w:vMerge w:val="restart"/>
            <w:noWrap w:val="0"/>
            <w:vAlign w:val="center"/>
          </w:tcPr>
          <w:p w14:paraId="59FEA7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财务结算</w:t>
            </w:r>
          </w:p>
        </w:tc>
        <w:tc>
          <w:tcPr>
            <w:tcW w:w="571" w:type="pct"/>
            <w:noWrap w:val="0"/>
            <w:vAlign w:val="center"/>
          </w:tcPr>
          <w:p w14:paraId="04E40E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个人收费</w:t>
            </w:r>
          </w:p>
        </w:tc>
        <w:tc>
          <w:tcPr>
            <w:tcW w:w="4021" w:type="pct"/>
            <w:noWrap w:val="0"/>
            <w:vAlign w:val="center"/>
          </w:tcPr>
          <w:p w14:paraId="12FD1C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CN"/>
              </w:rPr>
              <w:t>根据使用部门需要开发</w:t>
            </w: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现金、银行卡、微信、支付宝等支付方式；</w:t>
            </w:r>
          </w:p>
          <w:p w14:paraId="77D408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支持组合方式支付；</w:t>
            </w:r>
          </w:p>
          <w:p w14:paraId="7E54DB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用户每次进行登记操作，如存在付费项目均会生成一张结算单。</w:t>
            </w:r>
          </w:p>
          <w:p w14:paraId="4C24BE5E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 w:eastAsia="宋体" w:cs="Times New Roman"/>
                <w:color w:val="auto"/>
                <w:kern w:val="2"/>
                <w:sz w:val="22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2"/>
                <w:sz w:val="22"/>
                <w:szCs w:val="22"/>
                <w:highlight w:val="none"/>
                <w:lang w:eastAsia="zh-Hans"/>
              </w:rPr>
              <w:t>支持线上、线下结算状态一致，并支持线上支付，线下可发起退费申请，线上自动完成退费，并保持状态实时一致。</w:t>
            </w:r>
          </w:p>
        </w:tc>
      </w:tr>
      <w:tr w14:paraId="35BAD9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406" w:type="pct"/>
            <w:vMerge w:val="continue"/>
            <w:noWrap w:val="0"/>
            <w:vAlign w:val="center"/>
          </w:tcPr>
          <w:p w14:paraId="5CC208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</w:p>
        </w:tc>
        <w:tc>
          <w:tcPr>
            <w:tcW w:w="571" w:type="pct"/>
            <w:noWrap w:val="0"/>
            <w:vAlign w:val="center"/>
          </w:tcPr>
          <w:p w14:paraId="11868E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团体结账</w:t>
            </w:r>
          </w:p>
        </w:tc>
        <w:tc>
          <w:tcPr>
            <w:tcW w:w="4021" w:type="pct"/>
            <w:noWrap w:val="0"/>
            <w:vAlign w:val="center"/>
          </w:tcPr>
          <w:p w14:paraId="3FD347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CN"/>
              </w:rPr>
              <w:t>根据使用部门需要开发</w:t>
            </w: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按任务、按体检客户进行统一结账或分批结账；</w:t>
            </w:r>
          </w:p>
          <w:p w14:paraId="3051B8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结账时，支持对未体检的客户进行区分参与结账或不参与结账的处理，并对结账的团检客户进行数据导出等。</w:t>
            </w:r>
          </w:p>
          <w:p w14:paraId="598345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支持与财务系统进行对接，基于结账单进行收费与发票打印。</w:t>
            </w:r>
          </w:p>
        </w:tc>
      </w:tr>
      <w:tr w14:paraId="44B2DA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406" w:type="pct"/>
            <w:vMerge w:val="continue"/>
            <w:noWrap w:val="0"/>
            <w:vAlign w:val="center"/>
          </w:tcPr>
          <w:p w14:paraId="787C29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</w:p>
        </w:tc>
        <w:tc>
          <w:tcPr>
            <w:tcW w:w="571" w:type="pct"/>
            <w:noWrap w:val="0"/>
            <w:vAlign w:val="center"/>
          </w:tcPr>
          <w:p w14:paraId="73D484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团体付款</w:t>
            </w:r>
          </w:p>
        </w:tc>
        <w:tc>
          <w:tcPr>
            <w:tcW w:w="4021" w:type="pct"/>
            <w:noWrap w:val="0"/>
            <w:vAlign w:val="center"/>
          </w:tcPr>
          <w:p w14:paraId="7D7B88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体检系统也</w:t>
            </w: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CN"/>
              </w:rPr>
              <w:t>根据使用部门需要开发</w:t>
            </w: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团体客户的付款，支持现金、银行卡、微信、支付宝等支付方式；</w:t>
            </w:r>
          </w:p>
          <w:p w14:paraId="7A0ECF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支持组合方式支付；</w:t>
            </w:r>
          </w:p>
          <w:p w14:paraId="3B7F71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支持选中部分对已完成体检的人员进行分批结账。</w:t>
            </w:r>
          </w:p>
        </w:tc>
      </w:tr>
      <w:tr w14:paraId="21D119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406" w:type="pct"/>
            <w:vMerge w:val="continue"/>
            <w:noWrap w:val="0"/>
            <w:vAlign w:val="center"/>
          </w:tcPr>
          <w:p w14:paraId="4F2F67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</w:p>
        </w:tc>
        <w:tc>
          <w:tcPr>
            <w:tcW w:w="571" w:type="pct"/>
            <w:noWrap w:val="0"/>
            <w:vAlign w:val="center"/>
          </w:tcPr>
          <w:p w14:paraId="4601BB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团体预付</w:t>
            </w:r>
          </w:p>
        </w:tc>
        <w:tc>
          <w:tcPr>
            <w:tcW w:w="4021" w:type="pct"/>
            <w:noWrap w:val="0"/>
            <w:vAlign w:val="center"/>
          </w:tcPr>
          <w:p w14:paraId="620A7F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CN"/>
              </w:rPr>
              <w:t>根据使用部门需要开发</w:t>
            </w: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对团体单位的体检进行预付款，并支持预付款参与团体结算时进行抵扣。</w:t>
            </w:r>
          </w:p>
        </w:tc>
      </w:tr>
      <w:tr w14:paraId="0E9286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406" w:type="pct"/>
            <w:vMerge w:val="continue"/>
            <w:noWrap w:val="0"/>
            <w:vAlign w:val="center"/>
          </w:tcPr>
          <w:p w14:paraId="565D04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</w:p>
        </w:tc>
        <w:tc>
          <w:tcPr>
            <w:tcW w:w="571" w:type="pct"/>
            <w:noWrap w:val="0"/>
            <w:vAlign w:val="center"/>
          </w:tcPr>
          <w:p w14:paraId="5C4EE6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发票管理</w:t>
            </w:r>
          </w:p>
        </w:tc>
        <w:tc>
          <w:tcPr>
            <w:tcW w:w="4021" w:type="pct"/>
            <w:noWrap w:val="0"/>
            <w:vAlign w:val="center"/>
          </w:tcPr>
          <w:p w14:paraId="7BFBFF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CN"/>
              </w:rPr>
              <w:t>根据使用部门需要开发</w:t>
            </w: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票据入库和分发，并记录分发操作；</w:t>
            </w:r>
          </w:p>
        </w:tc>
      </w:tr>
      <w:tr w14:paraId="1DB851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406" w:type="pct"/>
            <w:vMerge w:val="continue"/>
            <w:noWrap w:val="0"/>
            <w:vAlign w:val="center"/>
          </w:tcPr>
          <w:p w14:paraId="7E95C9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</w:p>
        </w:tc>
        <w:tc>
          <w:tcPr>
            <w:tcW w:w="571" w:type="pct"/>
            <w:noWrap w:val="0"/>
            <w:vAlign w:val="center"/>
          </w:tcPr>
          <w:p w14:paraId="225289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发票打印</w:t>
            </w:r>
          </w:p>
        </w:tc>
        <w:tc>
          <w:tcPr>
            <w:tcW w:w="4021" w:type="pct"/>
            <w:noWrap w:val="0"/>
            <w:vAlign w:val="center"/>
          </w:tcPr>
          <w:p w14:paraId="017AC7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CN"/>
              </w:rPr>
              <w:t>根据使用部门需要开发</w:t>
            </w: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个人收费结算，团体结算时的发票打印，并对发票抬头可进行设置。</w:t>
            </w:r>
          </w:p>
          <w:p w14:paraId="23521C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支持在结算后期，体检客户需要打印发票的操作；</w:t>
            </w:r>
          </w:p>
          <w:p w14:paraId="516014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与电子发票系统进行对接，支持在线上获取电子发票；</w:t>
            </w:r>
          </w:p>
        </w:tc>
      </w:tr>
      <w:tr w14:paraId="0B1FC5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406" w:type="pct"/>
            <w:vMerge w:val="continue"/>
            <w:noWrap w:val="0"/>
            <w:vAlign w:val="center"/>
          </w:tcPr>
          <w:p w14:paraId="7524E0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</w:p>
        </w:tc>
        <w:tc>
          <w:tcPr>
            <w:tcW w:w="571" w:type="pct"/>
            <w:noWrap w:val="0"/>
            <w:vAlign w:val="center"/>
          </w:tcPr>
          <w:p w14:paraId="2ED172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卡管理</w:t>
            </w:r>
          </w:p>
        </w:tc>
        <w:tc>
          <w:tcPr>
            <w:tcW w:w="4021" w:type="pct"/>
            <w:noWrap w:val="0"/>
            <w:vAlign w:val="center"/>
          </w:tcPr>
          <w:p w14:paraId="2220BF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 w:eastAsia="宋体"/>
                <w:color w:val="auto"/>
                <w:szCs w:val="22"/>
                <w:highlight w:val="none"/>
                <w:lang w:eastAsia="zh-CN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CN"/>
              </w:rPr>
              <w:t>根据使用部门需要开发</w:t>
            </w: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会员卡、VIP卡及储值卡需实现一卡多人、多次使用，并可进行续费、充值、注销等操作；消费记录、消费金额、操作者及操作时间可追溯</w:t>
            </w: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CN"/>
              </w:rPr>
              <w:t>。</w:t>
            </w:r>
          </w:p>
        </w:tc>
      </w:tr>
      <w:tr w14:paraId="141141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406" w:type="pct"/>
            <w:vMerge w:val="continue"/>
            <w:noWrap w:val="0"/>
            <w:vAlign w:val="center"/>
          </w:tcPr>
          <w:p w14:paraId="73DB3A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</w:p>
        </w:tc>
        <w:tc>
          <w:tcPr>
            <w:tcW w:w="571" w:type="pct"/>
            <w:noWrap w:val="0"/>
            <w:vAlign w:val="center"/>
          </w:tcPr>
          <w:p w14:paraId="42DF0F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财务报表</w:t>
            </w:r>
          </w:p>
        </w:tc>
        <w:tc>
          <w:tcPr>
            <w:tcW w:w="4021" w:type="pct"/>
            <w:noWrap w:val="0"/>
            <w:vAlign w:val="center"/>
          </w:tcPr>
          <w:p w14:paraId="6339F8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财务工作用到的各类报表，包含日结交款明细、个人收费明细、单位收费明细、项目收费明细、票据使用明细、票据作废查询等；</w:t>
            </w:r>
          </w:p>
          <w:p w14:paraId="2B0982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所有报表均支持按常见格式进行导出。</w:t>
            </w:r>
          </w:p>
        </w:tc>
      </w:tr>
      <w:tr w14:paraId="2F713C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406" w:type="pct"/>
            <w:vMerge w:val="restart"/>
            <w:noWrap w:val="0"/>
            <w:vAlign w:val="center"/>
          </w:tcPr>
          <w:p w14:paraId="5CF917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业务报表</w:t>
            </w:r>
          </w:p>
        </w:tc>
        <w:tc>
          <w:tcPr>
            <w:tcW w:w="571" w:type="pct"/>
            <w:noWrap w:val="0"/>
            <w:vAlign w:val="center"/>
          </w:tcPr>
          <w:p w14:paraId="37C0B5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当日业务看板</w:t>
            </w:r>
          </w:p>
        </w:tc>
        <w:tc>
          <w:tcPr>
            <w:tcW w:w="4021" w:type="pct"/>
            <w:noWrap w:val="0"/>
            <w:vAlign w:val="center"/>
          </w:tcPr>
          <w:p w14:paraId="298470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提供数据驾驶舱，供主任查看当日的整体业务情况，进行经营数据分析，包括团检和个检实际到检人数、已检人数、套餐和加项收入、到检人员详细名单，指定日期内业务趋势分析图等。</w:t>
            </w:r>
          </w:p>
        </w:tc>
      </w:tr>
      <w:tr w14:paraId="680923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406" w:type="pct"/>
            <w:vMerge w:val="continue"/>
            <w:noWrap w:val="0"/>
            <w:vAlign w:val="center"/>
          </w:tcPr>
          <w:p w14:paraId="7B704E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</w:p>
        </w:tc>
        <w:tc>
          <w:tcPr>
            <w:tcW w:w="571" w:type="pct"/>
            <w:noWrap w:val="0"/>
            <w:vAlign w:val="center"/>
          </w:tcPr>
          <w:p w14:paraId="3C6B7B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业务工作量统计</w:t>
            </w:r>
          </w:p>
        </w:tc>
        <w:tc>
          <w:tcPr>
            <w:tcW w:w="4021" w:type="pct"/>
            <w:noWrap w:val="0"/>
            <w:vAlign w:val="center"/>
          </w:tcPr>
          <w:p w14:paraId="7E0966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包含中心所需的各类业务统计报表。包括科室工作量统计、医生工作量统计、登记工作量统计等；</w:t>
            </w:r>
          </w:p>
        </w:tc>
      </w:tr>
      <w:tr w14:paraId="04D3E0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406" w:type="pct"/>
            <w:vMerge w:val="continue"/>
            <w:noWrap w:val="0"/>
            <w:vAlign w:val="center"/>
          </w:tcPr>
          <w:p w14:paraId="4535D5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</w:p>
        </w:tc>
        <w:tc>
          <w:tcPr>
            <w:tcW w:w="571" w:type="pct"/>
            <w:noWrap w:val="0"/>
            <w:vAlign w:val="center"/>
          </w:tcPr>
          <w:p w14:paraId="54A84A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单位体检统计</w:t>
            </w:r>
          </w:p>
        </w:tc>
        <w:tc>
          <w:tcPr>
            <w:tcW w:w="4021" w:type="pct"/>
            <w:noWrap w:val="0"/>
            <w:vAlign w:val="center"/>
          </w:tcPr>
          <w:p w14:paraId="2F7DAD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 w:eastAsia="宋体"/>
                <w:color w:val="auto"/>
                <w:szCs w:val="22"/>
                <w:highlight w:val="none"/>
                <w:lang w:eastAsia="zh-CN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CN"/>
              </w:rPr>
              <w:t>根据使用部门需要开发</w:t>
            </w: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按单位维度，进行各类报表的统计，包括：单位体检统计、单位项目统计等</w:t>
            </w: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CN"/>
              </w:rPr>
              <w:t>。</w:t>
            </w:r>
          </w:p>
        </w:tc>
      </w:tr>
      <w:tr w14:paraId="256B6B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406" w:type="pct"/>
            <w:vMerge w:val="continue"/>
            <w:noWrap w:val="0"/>
            <w:vAlign w:val="center"/>
          </w:tcPr>
          <w:p w14:paraId="3FBABC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</w:p>
        </w:tc>
        <w:tc>
          <w:tcPr>
            <w:tcW w:w="571" w:type="pct"/>
            <w:noWrap w:val="0"/>
            <w:vAlign w:val="center"/>
          </w:tcPr>
          <w:p w14:paraId="086292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体检项目统计</w:t>
            </w:r>
          </w:p>
        </w:tc>
        <w:tc>
          <w:tcPr>
            <w:tcW w:w="4021" w:type="pct"/>
            <w:noWrap w:val="0"/>
            <w:vAlign w:val="center"/>
          </w:tcPr>
          <w:p w14:paraId="13FF5E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CN"/>
              </w:rPr>
              <w:t>根据使用部门需要开发</w:t>
            </w: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按项目维度，进行各类报表的统计。</w:t>
            </w:r>
          </w:p>
        </w:tc>
      </w:tr>
      <w:tr w14:paraId="627276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  <w:jc w:val="center"/>
        </w:trPr>
        <w:tc>
          <w:tcPr>
            <w:tcW w:w="406" w:type="pct"/>
            <w:vMerge w:val="continue"/>
            <w:noWrap w:val="0"/>
            <w:vAlign w:val="center"/>
          </w:tcPr>
          <w:p w14:paraId="1A9EB8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</w:p>
        </w:tc>
        <w:tc>
          <w:tcPr>
            <w:tcW w:w="571" w:type="pct"/>
            <w:noWrap w:val="0"/>
            <w:vAlign w:val="center"/>
          </w:tcPr>
          <w:p w14:paraId="7A97EA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疾病分类统计</w:t>
            </w:r>
          </w:p>
        </w:tc>
        <w:tc>
          <w:tcPr>
            <w:tcW w:w="4021" w:type="pct"/>
            <w:noWrap w:val="0"/>
            <w:vAlign w:val="center"/>
          </w:tcPr>
          <w:p w14:paraId="7139AC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CN"/>
              </w:rPr>
              <w:t>根据使用部门需要开发</w:t>
            </w: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按疾病维度，对各类疾病进行统计与分析。</w:t>
            </w:r>
          </w:p>
        </w:tc>
      </w:tr>
      <w:tr w14:paraId="66C60B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406" w:type="pct"/>
            <w:vMerge w:val="continue"/>
            <w:noWrap w:val="0"/>
            <w:vAlign w:val="center"/>
          </w:tcPr>
          <w:p w14:paraId="24CA03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</w:p>
        </w:tc>
        <w:tc>
          <w:tcPr>
            <w:tcW w:w="571" w:type="pct"/>
            <w:noWrap w:val="0"/>
            <w:vAlign w:val="center"/>
          </w:tcPr>
          <w:p w14:paraId="6BDDF7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课题研究数据抽取</w:t>
            </w:r>
          </w:p>
        </w:tc>
        <w:tc>
          <w:tcPr>
            <w:tcW w:w="4021" w:type="pct"/>
            <w:noWrap w:val="0"/>
            <w:vAlign w:val="center"/>
          </w:tcPr>
          <w:p w14:paraId="06E810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CN"/>
              </w:rPr>
              <w:t>根据使用部门需要开发</w:t>
            </w: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按课题研究，进行数据的抽取与统计，用于案例分析。</w:t>
            </w:r>
          </w:p>
        </w:tc>
      </w:tr>
      <w:tr w14:paraId="0345FE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  <w:jc w:val="center"/>
        </w:trPr>
        <w:tc>
          <w:tcPr>
            <w:tcW w:w="406" w:type="pct"/>
            <w:vMerge w:val="continue"/>
            <w:noWrap w:val="0"/>
            <w:vAlign w:val="center"/>
          </w:tcPr>
          <w:p w14:paraId="55FFE2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</w:p>
        </w:tc>
        <w:tc>
          <w:tcPr>
            <w:tcW w:w="571" w:type="pct"/>
            <w:noWrap w:val="0"/>
            <w:vAlign w:val="center"/>
          </w:tcPr>
          <w:p w14:paraId="6B402E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自定义报表</w:t>
            </w:r>
          </w:p>
        </w:tc>
        <w:tc>
          <w:tcPr>
            <w:tcW w:w="4021" w:type="pct"/>
            <w:noWrap w:val="0"/>
            <w:vAlign w:val="center"/>
          </w:tcPr>
          <w:p w14:paraId="60626B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可新增自定义报表页；</w:t>
            </w:r>
          </w:p>
          <w:p w14:paraId="1FDFED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编辑内容包括数据列、筛选条件、关联菜单等，编辑过程中可随时预览；</w:t>
            </w:r>
          </w:p>
          <w:p w14:paraId="39714E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支持导出相同内容格式的Excel文件。</w:t>
            </w:r>
          </w:p>
        </w:tc>
      </w:tr>
      <w:tr w14:paraId="5E6A09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  <w:jc w:val="center"/>
        </w:trPr>
        <w:tc>
          <w:tcPr>
            <w:tcW w:w="406" w:type="pct"/>
            <w:vMerge w:val="restart"/>
            <w:noWrap w:val="0"/>
            <w:vAlign w:val="center"/>
          </w:tcPr>
          <w:p w14:paraId="5C42D7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基础维护</w:t>
            </w:r>
          </w:p>
        </w:tc>
        <w:tc>
          <w:tcPr>
            <w:tcW w:w="571" w:type="pct"/>
            <w:noWrap w:val="0"/>
            <w:vAlign w:val="center"/>
          </w:tcPr>
          <w:p w14:paraId="67991B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系统字典维护</w:t>
            </w:r>
          </w:p>
        </w:tc>
        <w:tc>
          <w:tcPr>
            <w:tcW w:w="4021" w:type="pct"/>
            <w:noWrap w:val="0"/>
            <w:vAlign w:val="center"/>
          </w:tcPr>
          <w:p w14:paraId="4037B2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对科室、检查项、组合项、标本类型、指引信息、体检类型等内容进行详细设置；</w:t>
            </w:r>
          </w:p>
          <w:p w14:paraId="10C996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针对检查项的维护支持阈值设置，防止手误输入非常规数值；</w:t>
            </w:r>
          </w:p>
        </w:tc>
      </w:tr>
      <w:tr w14:paraId="082C13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  <w:jc w:val="center"/>
        </w:trPr>
        <w:tc>
          <w:tcPr>
            <w:tcW w:w="406" w:type="pct"/>
            <w:vMerge w:val="continue"/>
            <w:noWrap w:val="0"/>
            <w:vAlign w:val="center"/>
          </w:tcPr>
          <w:p w14:paraId="0392A8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</w:p>
        </w:tc>
        <w:tc>
          <w:tcPr>
            <w:tcW w:w="571" w:type="pct"/>
            <w:noWrap w:val="0"/>
            <w:vAlign w:val="center"/>
          </w:tcPr>
          <w:p w14:paraId="7B4580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收费项目维护</w:t>
            </w:r>
          </w:p>
        </w:tc>
        <w:tc>
          <w:tcPr>
            <w:tcW w:w="4021" w:type="pct"/>
            <w:noWrap w:val="0"/>
            <w:vAlign w:val="center"/>
          </w:tcPr>
          <w:p w14:paraId="09E6DF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CN"/>
              </w:rPr>
              <w:t>根据使用部门需要开发</w:t>
            </w: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按照医院价目表，维护对应的收费项目，并确定对应的检查项目。相关内容与院内系统保持实时同步；</w:t>
            </w:r>
          </w:p>
        </w:tc>
      </w:tr>
      <w:tr w14:paraId="5F8A02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  <w:jc w:val="center"/>
        </w:trPr>
        <w:tc>
          <w:tcPr>
            <w:tcW w:w="406" w:type="pct"/>
            <w:vMerge w:val="continue"/>
            <w:noWrap w:val="0"/>
            <w:vAlign w:val="center"/>
          </w:tcPr>
          <w:p w14:paraId="319C00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</w:p>
        </w:tc>
        <w:tc>
          <w:tcPr>
            <w:tcW w:w="571" w:type="pct"/>
            <w:noWrap w:val="0"/>
            <w:vAlign w:val="center"/>
          </w:tcPr>
          <w:p w14:paraId="1333E8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体检套餐维护</w:t>
            </w:r>
          </w:p>
        </w:tc>
        <w:tc>
          <w:tcPr>
            <w:tcW w:w="4021" w:type="pct"/>
            <w:noWrap w:val="0"/>
            <w:vAlign w:val="center"/>
          </w:tcPr>
          <w:p w14:paraId="520224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CN"/>
              </w:rPr>
              <w:t>根据使用部门需要开发</w:t>
            </w: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对医院标准套餐进行管理；</w:t>
            </w:r>
          </w:p>
          <w:p w14:paraId="323DEA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支持按总额、单项折扣等多种方式维护套餐价格；</w:t>
            </w:r>
          </w:p>
          <w:p w14:paraId="387D7F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支持通过套餐复制，并结合互斥规则，快速维护套餐。</w:t>
            </w:r>
          </w:p>
        </w:tc>
      </w:tr>
      <w:tr w14:paraId="61BBA2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  <w:jc w:val="center"/>
        </w:trPr>
        <w:tc>
          <w:tcPr>
            <w:tcW w:w="406" w:type="pct"/>
            <w:vMerge w:val="continue"/>
            <w:noWrap w:val="0"/>
            <w:vAlign w:val="center"/>
          </w:tcPr>
          <w:p w14:paraId="7D867D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</w:p>
        </w:tc>
        <w:tc>
          <w:tcPr>
            <w:tcW w:w="571" w:type="pct"/>
            <w:noWrap w:val="0"/>
            <w:vAlign w:val="center"/>
          </w:tcPr>
          <w:p w14:paraId="6C786C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体检知识库管理</w:t>
            </w:r>
          </w:p>
        </w:tc>
        <w:tc>
          <w:tcPr>
            <w:tcW w:w="4021" w:type="pct"/>
            <w:noWrap w:val="0"/>
            <w:vAlign w:val="center"/>
          </w:tcPr>
          <w:p w14:paraId="152AF7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体征词、结论建议、结论合并规则、常用语模板等内容的维护；</w:t>
            </w:r>
          </w:p>
          <w:p w14:paraId="672B64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 w:eastAsia="宋体"/>
                <w:color w:val="auto"/>
                <w:szCs w:val="22"/>
                <w:highlight w:val="none"/>
                <w:lang w:eastAsia="zh-CN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预置体征和结论词库数目</w:t>
            </w:r>
            <w:r>
              <w:rPr>
                <w:rFonts w:hint="eastAsia" w:ascii="宋体" w:hAnsi="宋体"/>
                <w:color w:val="auto"/>
                <w:szCs w:val="22"/>
                <w:highlight w:val="none"/>
                <w:lang w:val="en-US" w:eastAsia="zh-CN"/>
              </w:rPr>
              <w:t>覆盖医院现有体检项目，并根据采购人需求持续扩充</w:t>
            </w:r>
          </w:p>
        </w:tc>
      </w:tr>
      <w:tr w14:paraId="5E5F81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  <w:jc w:val="center"/>
        </w:trPr>
        <w:tc>
          <w:tcPr>
            <w:tcW w:w="406" w:type="pct"/>
            <w:vMerge w:val="continue"/>
            <w:noWrap w:val="0"/>
            <w:vAlign w:val="center"/>
          </w:tcPr>
          <w:p w14:paraId="0AA097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</w:p>
        </w:tc>
        <w:tc>
          <w:tcPr>
            <w:tcW w:w="571" w:type="pct"/>
            <w:noWrap w:val="0"/>
            <w:vAlign w:val="center"/>
          </w:tcPr>
          <w:p w14:paraId="41771D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打印模板设置</w:t>
            </w:r>
          </w:p>
        </w:tc>
        <w:tc>
          <w:tcPr>
            <w:tcW w:w="4021" w:type="pct"/>
            <w:noWrap w:val="0"/>
            <w:vAlign w:val="center"/>
          </w:tcPr>
          <w:p w14:paraId="3EE9DC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CN"/>
              </w:rPr>
              <w:t>根据使用部门需要开发</w:t>
            </w: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按体检类型、客户类型等维护不同的打印类型模板。</w:t>
            </w:r>
          </w:p>
        </w:tc>
      </w:tr>
      <w:tr w14:paraId="7EC970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  <w:jc w:val="center"/>
        </w:trPr>
        <w:tc>
          <w:tcPr>
            <w:tcW w:w="406" w:type="pct"/>
            <w:vMerge w:val="continue"/>
            <w:noWrap w:val="0"/>
            <w:vAlign w:val="center"/>
          </w:tcPr>
          <w:p w14:paraId="280955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</w:p>
        </w:tc>
        <w:tc>
          <w:tcPr>
            <w:tcW w:w="571" w:type="pct"/>
            <w:noWrap w:val="0"/>
            <w:vAlign w:val="center"/>
          </w:tcPr>
          <w:p w14:paraId="704CB8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机构配置</w:t>
            </w:r>
          </w:p>
        </w:tc>
        <w:tc>
          <w:tcPr>
            <w:tcW w:w="4021" w:type="pct"/>
            <w:noWrap w:val="0"/>
            <w:vAlign w:val="center"/>
          </w:tcPr>
          <w:p w14:paraId="7EA634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对机构相关信息进行个性化配置管理。</w:t>
            </w:r>
          </w:p>
        </w:tc>
      </w:tr>
      <w:tr w14:paraId="1C9B40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  <w:jc w:val="center"/>
        </w:trPr>
        <w:tc>
          <w:tcPr>
            <w:tcW w:w="406" w:type="pct"/>
            <w:vMerge w:val="continue"/>
            <w:noWrap w:val="0"/>
            <w:vAlign w:val="center"/>
          </w:tcPr>
          <w:p w14:paraId="2FA5C5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</w:p>
        </w:tc>
        <w:tc>
          <w:tcPr>
            <w:tcW w:w="571" w:type="pct"/>
            <w:noWrap w:val="0"/>
            <w:vAlign w:val="center"/>
          </w:tcPr>
          <w:p w14:paraId="00E7F3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操作日志</w:t>
            </w:r>
          </w:p>
        </w:tc>
        <w:tc>
          <w:tcPr>
            <w:tcW w:w="4021" w:type="pct"/>
            <w:noWrap w:val="0"/>
            <w:vAlign w:val="center"/>
          </w:tcPr>
          <w:p w14:paraId="75527D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记录重点业务功能的操作日志，便于追溯与防止内部发生数据泄露事件。</w:t>
            </w:r>
          </w:p>
        </w:tc>
      </w:tr>
      <w:tr w14:paraId="4499FB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  <w:jc w:val="center"/>
        </w:trPr>
        <w:tc>
          <w:tcPr>
            <w:tcW w:w="406" w:type="pct"/>
            <w:vMerge w:val="restart"/>
            <w:noWrap w:val="0"/>
            <w:vAlign w:val="center"/>
          </w:tcPr>
          <w:p w14:paraId="1B896D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权限管理</w:t>
            </w:r>
          </w:p>
        </w:tc>
        <w:tc>
          <w:tcPr>
            <w:tcW w:w="571" w:type="pct"/>
            <w:noWrap w:val="0"/>
            <w:vAlign w:val="center"/>
          </w:tcPr>
          <w:p w14:paraId="3789D2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菜单管理</w:t>
            </w:r>
          </w:p>
        </w:tc>
        <w:tc>
          <w:tcPr>
            <w:tcW w:w="4021" w:type="pct"/>
            <w:noWrap w:val="0"/>
            <w:vAlign w:val="center"/>
          </w:tcPr>
          <w:p w14:paraId="5F6759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CN"/>
              </w:rPr>
              <w:t>根据使用部门需要开发</w:t>
            </w: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对系统的菜单进行统一管理，支持个性化定制菜单名称、菜单归类等相关操作。</w:t>
            </w:r>
          </w:p>
        </w:tc>
      </w:tr>
      <w:tr w14:paraId="2E2458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  <w:jc w:val="center"/>
        </w:trPr>
        <w:tc>
          <w:tcPr>
            <w:tcW w:w="406" w:type="pct"/>
            <w:vMerge w:val="continue"/>
            <w:noWrap w:val="0"/>
            <w:vAlign w:val="center"/>
          </w:tcPr>
          <w:p w14:paraId="4CD0BD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</w:p>
        </w:tc>
        <w:tc>
          <w:tcPr>
            <w:tcW w:w="571" w:type="pct"/>
            <w:noWrap w:val="0"/>
            <w:vAlign w:val="center"/>
          </w:tcPr>
          <w:p w14:paraId="2C2A4D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用户管理</w:t>
            </w:r>
          </w:p>
        </w:tc>
        <w:tc>
          <w:tcPr>
            <w:tcW w:w="4021" w:type="pct"/>
            <w:noWrap w:val="0"/>
            <w:vAlign w:val="center"/>
          </w:tcPr>
          <w:p w14:paraId="0748D3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管理系统下的各类角色人员的账号和个人相关信息等；</w:t>
            </w:r>
          </w:p>
        </w:tc>
      </w:tr>
      <w:tr w14:paraId="43D247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  <w:jc w:val="center"/>
        </w:trPr>
        <w:tc>
          <w:tcPr>
            <w:tcW w:w="406" w:type="pct"/>
            <w:vMerge w:val="continue"/>
            <w:noWrap w:val="0"/>
            <w:vAlign w:val="center"/>
          </w:tcPr>
          <w:p w14:paraId="68BC16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</w:p>
        </w:tc>
        <w:tc>
          <w:tcPr>
            <w:tcW w:w="571" w:type="pct"/>
            <w:noWrap w:val="0"/>
            <w:vAlign w:val="center"/>
          </w:tcPr>
          <w:p w14:paraId="4D7542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角色权限</w:t>
            </w:r>
          </w:p>
        </w:tc>
        <w:tc>
          <w:tcPr>
            <w:tcW w:w="4021" w:type="pct"/>
            <w:noWrap w:val="0"/>
            <w:vAlign w:val="center"/>
          </w:tcPr>
          <w:p w14:paraId="05A12B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设置系统操作人员的角色，并根据不同角色进行权限细分，包括可显示的功能页面和按键的点击权；</w:t>
            </w:r>
          </w:p>
          <w:p w14:paraId="731A5F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支持页面按钮权限的配置。</w:t>
            </w:r>
          </w:p>
        </w:tc>
      </w:tr>
      <w:tr w14:paraId="70E5AB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  <w:jc w:val="center"/>
        </w:trPr>
        <w:tc>
          <w:tcPr>
            <w:tcW w:w="406" w:type="pct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23D258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</w:p>
        </w:tc>
        <w:tc>
          <w:tcPr>
            <w:tcW w:w="571" w:type="pct"/>
            <w:tcBorders>
              <w:bottom w:val="single" w:color="auto" w:sz="4" w:space="0"/>
            </w:tcBorders>
            <w:noWrap w:val="0"/>
            <w:vAlign w:val="center"/>
          </w:tcPr>
          <w:p w14:paraId="7EF5D1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密级管理</w:t>
            </w:r>
          </w:p>
        </w:tc>
        <w:tc>
          <w:tcPr>
            <w:tcW w:w="4021" w:type="pct"/>
            <w:tcBorders>
              <w:bottom w:val="single" w:color="auto" w:sz="4" w:space="0"/>
            </w:tcBorders>
            <w:noWrap w:val="0"/>
            <w:vAlign w:val="center"/>
          </w:tcPr>
          <w:p w14:paraId="6B3814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auto"/>
                <w:szCs w:val="22"/>
                <w:highlight w:val="none"/>
                <w:lang w:eastAsia="zh-Hans"/>
              </w:rPr>
              <w:t>根据不同的客户类型，可设置对重要信息的加密管理。</w:t>
            </w:r>
          </w:p>
        </w:tc>
      </w:tr>
    </w:tbl>
    <w:p w14:paraId="71D90D79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3、检后健康管理</w:t>
      </w:r>
    </w:p>
    <w:tbl>
      <w:tblPr>
        <w:tblStyle w:val="4"/>
        <w:tblW w:w="499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2"/>
        <w:gridCol w:w="975"/>
        <w:gridCol w:w="6853"/>
      </w:tblGrid>
      <w:tr w14:paraId="5A7076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978" w:type="pct"/>
            <w:gridSpan w:val="2"/>
            <w:shd w:val="clear" w:color="auto" w:fill="D9E2F3"/>
            <w:noWrap w:val="0"/>
            <w:vAlign w:val="center"/>
          </w:tcPr>
          <w:p w14:paraId="4A795E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000000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000000"/>
                <w:szCs w:val="22"/>
                <w:highlight w:val="none"/>
                <w:lang w:eastAsia="zh-Hans"/>
              </w:rPr>
              <w:t>功能</w:t>
            </w:r>
            <w:r>
              <w:rPr>
                <w:rFonts w:hint="eastAsia" w:ascii="宋体" w:hAnsi="宋体"/>
                <w:szCs w:val="22"/>
                <w:highlight w:val="none"/>
                <w:lang w:val="en-US" w:eastAsia="zh-CN"/>
              </w:rPr>
              <w:t>开发</w:t>
            </w:r>
            <w:r>
              <w:rPr>
                <w:rFonts w:hint="eastAsia" w:ascii="宋体" w:hAnsi="宋体"/>
                <w:color w:val="000000"/>
                <w:szCs w:val="22"/>
                <w:highlight w:val="none"/>
                <w:lang w:eastAsia="zh-Hans"/>
              </w:rPr>
              <w:t>类别</w:t>
            </w:r>
          </w:p>
        </w:tc>
        <w:tc>
          <w:tcPr>
            <w:tcW w:w="4021" w:type="pct"/>
            <w:shd w:val="clear" w:color="auto" w:fill="D9E2F3"/>
            <w:noWrap w:val="0"/>
            <w:vAlign w:val="center"/>
          </w:tcPr>
          <w:p w14:paraId="61C606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000000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000000"/>
                <w:szCs w:val="22"/>
                <w:highlight w:val="none"/>
                <w:lang w:eastAsia="zh-Hans"/>
              </w:rPr>
              <w:t>功能需求</w:t>
            </w:r>
          </w:p>
        </w:tc>
      </w:tr>
      <w:tr w14:paraId="5C46DB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7" w:hRule="atLeast"/>
          <w:jc w:val="center"/>
        </w:trPr>
        <w:tc>
          <w:tcPr>
            <w:tcW w:w="406" w:type="pct"/>
            <w:vMerge w:val="restart"/>
            <w:noWrap w:val="0"/>
            <w:vAlign w:val="center"/>
          </w:tcPr>
          <w:p w14:paraId="12E956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000000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000000"/>
                <w:szCs w:val="22"/>
                <w:highlight w:val="none"/>
                <w:lang w:eastAsia="zh-Hans"/>
              </w:rPr>
              <w:t>报告管理</w:t>
            </w:r>
          </w:p>
        </w:tc>
        <w:tc>
          <w:tcPr>
            <w:tcW w:w="572" w:type="pct"/>
            <w:noWrap w:val="0"/>
            <w:vAlign w:val="center"/>
          </w:tcPr>
          <w:p w14:paraId="608096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000000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000000"/>
                <w:szCs w:val="22"/>
                <w:highlight w:val="none"/>
                <w:lang w:eastAsia="zh-Hans"/>
              </w:rPr>
              <w:t>个人报告</w:t>
            </w:r>
          </w:p>
        </w:tc>
        <w:tc>
          <w:tcPr>
            <w:tcW w:w="4021" w:type="pct"/>
            <w:noWrap w:val="0"/>
            <w:vAlign w:val="center"/>
          </w:tcPr>
          <w:p w14:paraId="21096D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000000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000000"/>
                <w:szCs w:val="22"/>
                <w:highlight w:val="none"/>
                <w:lang w:eastAsia="zh-CN"/>
              </w:rPr>
              <w:t>根据使用部门需要开发</w:t>
            </w:r>
            <w:r>
              <w:rPr>
                <w:rFonts w:ascii="宋体" w:hAnsi="宋体"/>
                <w:color w:val="000000"/>
                <w:szCs w:val="22"/>
                <w:highlight w:val="none"/>
                <w:lang w:eastAsia="zh-Hans"/>
              </w:rPr>
              <w:t>待打印和已打印报告查看；</w:t>
            </w:r>
          </w:p>
          <w:p w14:paraId="4E7F00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000000"/>
                <w:szCs w:val="22"/>
                <w:highlight w:val="none"/>
                <w:lang w:eastAsia="zh-Hans"/>
              </w:rPr>
            </w:pPr>
            <w:r>
              <w:rPr>
                <w:rFonts w:ascii="宋体" w:hAnsi="宋体"/>
                <w:color w:val="000000"/>
                <w:szCs w:val="22"/>
                <w:highlight w:val="none"/>
                <w:lang w:eastAsia="zh-Hans"/>
              </w:rPr>
              <w:t>可单个打印和批量打印，打印前可支持预览；</w:t>
            </w:r>
          </w:p>
          <w:p w14:paraId="00F54C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000000"/>
                <w:szCs w:val="22"/>
                <w:highlight w:val="none"/>
                <w:lang w:eastAsia="zh-Hans"/>
              </w:rPr>
            </w:pPr>
            <w:r>
              <w:rPr>
                <w:rFonts w:ascii="宋体" w:hAnsi="宋体"/>
                <w:color w:val="000000"/>
                <w:szCs w:val="22"/>
                <w:highlight w:val="none"/>
                <w:lang w:eastAsia="zh-Hans"/>
              </w:rPr>
              <w:t>报告支持按常见格式进行导出（如PDF等）。</w:t>
            </w:r>
          </w:p>
          <w:p w14:paraId="5C3566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000000"/>
                <w:szCs w:val="22"/>
                <w:highlight w:val="none"/>
                <w:lang w:eastAsia="zh-Hans"/>
              </w:rPr>
            </w:pPr>
            <w:r>
              <w:rPr>
                <w:rFonts w:ascii="宋体" w:hAnsi="宋体"/>
                <w:color w:val="000000"/>
                <w:szCs w:val="22"/>
                <w:highlight w:val="none"/>
                <w:lang w:eastAsia="zh-Hans"/>
              </w:rPr>
              <w:t>报告模板可进行自定义编辑；</w:t>
            </w:r>
          </w:p>
          <w:p w14:paraId="0197F6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000000"/>
                <w:szCs w:val="22"/>
                <w:highlight w:val="none"/>
                <w:lang w:eastAsia="zh-Hans"/>
              </w:rPr>
            </w:pPr>
            <w:r>
              <w:rPr>
                <w:rFonts w:ascii="宋体" w:hAnsi="宋体"/>
                <w:color w:val="000000"/>
                <w:szCs w:val="22"/>
                <w:highlight w:val="none"/>
                <w:lang w:eastAsia="zh-Hans"/>
              </w:rPr>
              <w:t>个人领取报告可进行记录，包括领取的方式、领取人员信息等</w:t>
            </w:r>
            <w:r>
              <w:rPr>
                <w:rFonts w:hint="eastAsia" w:ascii="宋体" w:hAnsi="宋体"/>
                <w:color w:val="000000"/>
                <w:szCs w:val="22"/>
                <w:highlight w:val="none"/>
                <w:lang w:eastAsia="zh-Hans"/>
              </w:rPr>
              <w:t>，并支持批量领取</w:t>
            </w:r>
            <w:r>
              <w:rPr>
                <w:rFonts w:ascii="宋体" w:hAnsi="宋体"/>
                <w:color w:val="000000"/>
                <w:szCs w:val="22"/>
                <w:highlight w:val="none"/>
                <w:lang w:eastAsia="zh-Hans"/>
              </w:rPr>
              <w:t>。</w:t>
            </w:r>
          </w:p>
        </w:tc>
      </w:tr>
      <w:tr w14:paraId="734BF7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7" w:hRule="atLeast"/>
          <w:jc w:val="center"/>
        </w:trPr>
        <w:tc>
          <w:tcPr>
            <w:tcW w:w="406" w:type="pct"/>
            <w:vMerge w:val="continue"/>
            <w:noWrap w:val="0"/>
            <w:vAlign w:val="center"/>
          </w:tcPr>
          <w:p w14:paraId="3C866C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000000"/>
                <w:szCs w:val="22"/>
                <w:highlight w:val="none"/>
                <w:lang w:eastAsia="zh-Hans"/>
              </w:rPr>
            </w:pPr>
          </w:p>
        </w:tc>
        <w:tc>
          <w:tcPr>
            <w:tcW w:w="572" w:type="pct"/>
            <w:noWrap w:val="0"/>
            <w:vAlign w:val="center"/>
          </w:tcPr>
          <w:p w14:paraId="1A4D65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000000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000000"/>
                <w:szCs w:val="22"/>
                <w:highlight w:val="none"/>
                <w:lang w:eastAsia="zh-Hans"/>
              </w:rPr>
              <w:t>团检报告</w:t>
            </w:r>
          </w:p>
        </w:tc>
        <w:tc>
          <w:tcPr>
            <w:tcW w:w="4021" w:type="pct"/>
            <w:noWrap w:val="0"/>
            <w:vAlign w:val="center"/>
          </w:tcPr>
          <w:p w14:paraId="0EE3D9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000000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000000"/>
                <w:szCs w:val="22"/>
                <w:highlight w:val="none"/>
                <w:lang w:eastAsia="zh-Hans"/>
              </w:rPr>
              <w:t>对于全部人员均已完成体检的单位可生成团检报告；</w:t>
            </w:r>
          </w:p>
          <w:p w14:paraId="61D307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000000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000000"/>
                <w:szCs w:val="22"/>
                <w:highlight w:val="none"/>
                <w:lang w:eastAsia="zh-Hans"/>
              </w:rPr>
              <w:t>团检报告包含以下内容：参建人员基本信息统计（年龄分布，性别分布等）；体检项目统计；阳性结果统计；异常检出率动态T</w:t>
            </w:r>
            <w:r>
              <w:rPr>
                <w:rFonts w:ascii="宋体" w:hAnsi="宋体"/>
                <w:color w:val="000000"/>
                <w:szCs w:val="22"/>
                <w:highlight w:val="none"/>
                <w:lang w:eastAsia="zh-Hans"/>
              </w:rPr>
              <w:t>OP</w:t>
            </w:r>
            <w:r>
              <w:rPr>
                <w:rFonts w:hint="eastAsia" w:ascii="宋体" w:hAnsi="宋体"/>
                <w:color w:val="000000"/>
                <w:szCs w:val="22"/>
                <w:highlight w:val="none"/>
                <w:lang w:eastAsia="zh-Hans"/>
              </w:rPr>
              <w:t>10统计；对于企业健康风险的建议。</w:t>
            </w:r>
          </w:p>
          <w:p w14:paraId="73554B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000000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000000"/>
                <w:szCs w:val="22"/>
                <w:highlight w:val="none"/>
                <w:lang w:eastAsia="zh-Hans"/>
              </w:rPr>
              <w:t>报告模板支持自定义编辑。</w:t>
            </w:r>
          </w:p>
          <w:p w14:paraId="33B8F8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000000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000000"/>
                <w:szCs w:val="22"/>
                <w:highlight w:val="none"/>
                <w:lang w:eastAsia="zh-Hans"/>
              </w:rPr>
              <w:t>单位领取报告可进行记录，类似个人报告领取方式。</w:t>
            </w:r>
          </w:p>
        </w:tc>
      </w:tr>
      <w:tr w14:paraId="4E8AF4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406" w:type="pct"/>
            <w:vMerge w:val="continue"/>
            <w:noWrap w:val="0"/>
            <w:vAlign w:val="center"/>
          </w:tcPr>
          <w:p w14:paraId="290005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000000"/>
                <w:szCs w:val="22"/>
                <w:highlight w:val="none"/>
                <w:lang w:eastAsia="zh-Hans"/>
              </w:rPr>
            </w:pPr>
          </w:p>
        </w:tc>
        <w:tc>
          <w:tcPr>
            <w:tcW w:w="572" w:type="pct"/>
            <w:noWrap w:val="0"/>
            <w:vAlign w:val="center"/>
          </w:tcPr>
          <w:p w14:paraId="0F742A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000000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000000"/>
                <w:szCs w:val="22"/>
                <w:highlight w:val="none"/>
                <w:lang w:eastAsia="zh-Hans"/>
              </w:rPr>
              <w:t>报告点评</w:t>
            </w:r>
          </w:p>
        </w:tc>
        <w:tc>
          <w:tcPr>
            <w:tcW w:w="4021" w:type="pct"/>
            <w:noWrap w:val="0"/>
            <w:vAlign w:val="center"/>
          </w:tcPr>
          <w:p w14:paraId="0DC9A8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000000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000000"/>
                <w:szCs w:val="22"/>
                <w:highlight w:val="none"/>
                <w:lang w:eastAsia="zh-CN"/>
              </w:rPr>
              <w:t>根据使用部门需要开发</w:t>
            </w:r>
            <w:r>
              <w:rPr>
                <w:rFonts w:hint="eastAsia" w:ascii="宋体" w:hAnsi="宋体"/>
                <w:color w:val="000000"/>
                <w:szCs w:val="22"/>
                <w:highlight w:val="none"/>
                <w:lang w:eastAsia="zh-Hans"/>
              </w:rPr>
              <w:t>通过一定规则，抽取出相关总检报告，进行点评，并对点评结果进行保存，便于后期调阅查看。</w:t>
            </w:r>
          </w:p>
        </w:tc>
      </w:tr>
      <w:tr w14:paraId="19750C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406" w:type="pct"/>
            <w:noWrap w:val="0"/>
            <w:vAlign w:val="center"/>
          </w:tcPr>
          <w:p w14:paraId="403055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000000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000000"/>
                <w:szCs w:val="22"/>
                <w:highlight w:val="none"/>
                <w:lang w:eastAsia="zh-Hans"/>
              </w:rPr>
              <w:t>质控管理</w:t>
            </w:r>
          </w:p>
        </w:tc>
        <w:tc>
          <w:tcPr>
            <w:tcW w:w="5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5343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000000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000000"/>
                <w:szCs w:val="22"/>
                <w:highlight w:val="none"/>
                <w:lang w:eastAsia="zh-Hans"/>
              </w:rPr>
              <w:t>重要异常管理</w:t>
            </w:r>
          </w:p>
        </w:tc>
        <w:tc>
          <w:tcPr>
            <w:tcW w:w="40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1009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000000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000000"/>
                <w:szCs w:val="22"/>
                <w:highlight w:val="none"/>
                <w:lang w:eastAsia="zh-Hans"/>
              </w:rPr>
              <w:t>体检过程中发现的A类、B类、其他等重要异常，按列表分类进行统一管理，支持结果导出、上报、通知/随访安排等。</w:t>
            </w:r>
          </w:p>
          <w:p w14:paraId="7DB424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000000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000000"/>
                <w:szCs w:val="22"/>
                <w:highlight w:val="none"/>
                <w:lang w:eastAsia="zh-Hans"/>
              </w:rPr>
              <w:t>通知方式支持：电话、微信、现场等</w:t>
            </w:r>
          </w:p>
        </w:tc>
      </w:tr>
      <w:tr w14:paraId="4EA7CB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406" w:type="pct"/>
            <w:noWrap w:val="0"/>
            <w:vAlign w:val="center"/>
          </w:tcPr>
          <w:p w14:paraId="31C644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000000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000000"/>
                <w:szCs w:val="22"/>
                <w:highlight w:val="none"/>
                <w:lang w:eastAsia="zh-Hans"/>
              </w:rPr>
              <w:t>报告查询</w:t>
            </w:r>
          </w:p>
        </w:tc>
        <w:tc>
          <w:tcPr>
            <w:tcW w:w="5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E42F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000000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000000"/>
                <w:szCs w:val="22"/>
                <w:highlight w:val="none"/>
                <w:lang w:eastAsia="zh-Hans"/>
              </w:rPr>
              <w:t>报告查询</w:t>
            </w:r>
          </w:p>
        </w:tc>
        <w:tc>
          <w:tcPr>
            <w:tcW w:w="40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CA0A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000000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000000"/>
                <w:szCs w:val="22"/>
                <w:highlight w:val="none"/>
                <w:lang w:eastAsia="zh-Hans"/>
              </w:rPr>
              <w:t>报告总检后，通知客户可查报告，支持受检者在线查询报告。报告提供</w:t>
            </w:r>
            <w:r>
              <w:rPr>
                <w:rFonts w:ascii="宋体" w:hAnsi="宋体"/>
                <w:color w:val="000000"/>
                <w:szCs w:val="22"/>
                <w:highlight w:val="none"/>
                <w:lang w:eastAsia="zh-Hans"/>
              </w:rPr>
              <w:t>PDF</w:t>
            </w:r>
            <w:r>
              <w:rPr>
                <w:rFonts w:hint="eastAsia" w:ascii="宋体" w:hAnsi="宋体"/>
                <w:color w:val="000000"/>
                <w:szCs w:val="22"/>
                <w:highlight w:val="none"/>
                <w:lang w:eastAsia="zh-Hans"/>
              </w:rPr>
              <w:t>下载、发送邮箱功能。无需领取纸质报告，方便客户的同 时节省成本，降低安排报告领取的工作量。</w:t>
            </w:r>
          </w:p>
        </w:tc>
      </w:tr>
      <w:tr w14:paraId="4FB26A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406" w:type="pct"/>
            <w:noWrap w:val="0"/>
            <w:vAlign w:val="center"/>
          </w:tcPr>
          <w:p w14:paraId="60A559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000000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000000"/>
                <w:szCs w:val="22"/>
                <w:highlight w:val="none"/>
                <w:lang w:eastAsia="zh-Hans"/>
              </w:rPr>
              <w:t>报告对比</w:t>
            </w:r>
          </w:p>
        </w:tc>
        <w:tc>
          <w:tcPr>
            <w:tcW w:w="5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CA2C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/>
                <w:color w:val="000000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000000"/>
                <w:szCs w:val="22"/>
                <w:highlight w:val="none"/>
                <w:lang w:eastAsia="zh-Hans"/>
              </w:rPr>
              <w:t>报告对比</w:t>
            </w:r>
          </w:p>
        </w:tc>
        <w:tc>
          <w:tcPr>
            <w:tcW w:w="40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1F77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/>
                <w:color w:val="000000"/>
                <w:szCs w:val="22"/>
                <w:highlight w:val="none"/>
                <w:lang w:eastAsia="zh-Hans"/>
              </w:rPr>
            </w:pPr>
            <w:r>
              <w:rPr>
                <w:rFonts w:hint="eastAsia" w:ascii="宋体" w:hAnsi="宋体"/>
                <w:color w:val="000000"/>
                <w:szCs w:val="22"/>
                <w:highlight w:val="none"/>
                <w:lang w:eastAsia="zh-CN"/>
              </w:rPr>
              <w:t>根据使用部门需要开发</w:t>
            </w:r>
            <w:r>
              <w:rPr>
                <w:rFonts w:hint="eastAsia" w:ascii="宋体" w:hAnsi="宋体"/>
                <w:color w:val="000000"/>
                <w:szCs w:val="22"/>
                <w:highlight w:val="none"/>
                <w:lang w:eastAsia="zh-Hans"/>
              </w:rPr>
              <w:t>历年报告对比，通过报告内异常指标趋势、历年情况比较更好的管理个人健康，做进一步改善。连续的报告对比，能有效提高客户粘性。</w:t>
            </w:r>
          </w:p>
        </w:tc>
      </w:tr>
    </w:tbl>
    <w:p w14:paraId="685CF81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BB7D57"/>
    <w:rsid w:val="3FBB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120" w:beforeLines="0" w:after="120" w:afterLines="0" w:line="360" w:lineRule="auto"/>
      <w:jc w:val="center"/>
      <w:outlineLvl w:val="0"/>
    </w:pPr>
    <w:rPr>
      <w:b/>
      <w:bCs/>
      <w:kern w:val="44"/>
      <w:sz w:val="30"/>
      <w:szCs w:val="44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1"/>
    <w:qFormat/>
    <w:uiPriority w:val="0"/>
    <w:rPr>
      <w:color w:val="993300"/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2026-07-20T09:08:00Z</dcterms:created>
  <dc:creator>123</dc:creator>
  <cp:lastModifiedBy>123</cp:lastModifiedBy>
  <dcterms:modified xsi:type="dcterms:W3CDTF">2026-07-20T09:14:53Z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2EB0DA172D824C74B22932E1B50E708F_11</vt:lpwstr>
  </property>
  <property fmtid="{D5CDD505-2E9C-101B-9397-08002B2CF9AE}" pid="4" name="KSOTemplateDocerSaveRecord">
    <vt:lpwstr>eyJoZGlkIjoiOTEzYTE1NjhmYmI0MDkxYmE1ZjVkMjkwNjA2M2Q0ZDUiLCJ1c2VySWQiOiI0NTE5NDQwNTQifQ==</vt:lpwstr>
  </property>
</Properties>
</file>