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版本号：KY2026-3-198.1B120260714001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秦兵马俑一号坑结构检测项目(二次)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KY2026-3-198.1B1</w:t>
      </w:r>
      <w:r>
        <w:br/>
      </w:r>
      <w:r>
        <w:br/>
      </w:r>
      <w:r>
        <w:br/>
      </w:r>
    </w:p>
    <w:p>
      <w:pPr>
        <w:pStyle w:val="null3"/>
        <w:jc w:val="center"/>
        <w:outlineLvl w:val="2"/>
      </w:pPr>
      <w:r>
        <w:rPr>
          <w:rFonts w:ascii="仿宋_GB2312" w:hAnsi="仿宋_GB2312" w:cs="仿宋_GB2312" w:eastAsia="仿宋_GB2312"/>
          <w:sz w:val="28"/>
          <w:b/>
        </w:rPr>
        <w:t>秦始皇帝陵博物院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秦始皇帝陵博物院</w:t>
      </w:r>
      <w:r>
        <w:rPr>
          <w:rFonts w:ascii="仿宋_GB2312" w:hAnsi="仿宋_GB2312" w:cs="仿宋_GB2312" w:eastAsia="仿宋_GB2312"/>
        </w:rPr>
        <w:t>委托，拟对</w:t>
      </w:r>
      <w:r>
        <w:rPr>
          <w:rFonts w:ascii="仿宋_GB2312" w:hAnsi="仿宋_GB2312" w:cs="仿宋_GB2312" w:eastAsia="仿宋_GB2312"/>
        </w:rPr>
        <w:t>秦兵马俑一号坑结构检测项目(二次)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KY2026-3-198.1B1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秦兵马俑一号坑结构检测项目(二次)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该建筑1979年建成并投入使用，钢拱架-钢筋混凝土混合结构，落地三角拱型，单层，建筑使用功能为展厅，屋架采用三铰钢拱架结构，跨度70m，建筑长230m，宽62m，总建筑面积约17000 ㎡。现依据建筑物实际情况及近三年检测情况对18榀拱架结构变形进行受力、变形、表面温度长期监测；通过数据采集与分析，追踪结构在长期使用过程中的动态变化。对屋面面板、山墙与钢结构连接处、5榀钢拱架进行全面检测；同时重点关注主体钢架与屋面板、墙面板等连接节点处结构状态，深入排查安全隐患，为后续结构安全评估及合理化建议提供技术依据。 本次采购内容包含2026年度建筑物安全检测及监测，2027、2028年度建筑物安全监测。详见磋商文件第三章。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采购包1（秦兵马俑一号坑结构检测项目）：属于专门面向中小企业采购。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磋商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7、法定代表人授权书及被授权人身份证：法定代表人授权书及被授权人身份证复印件。（法定代表人直接磋商只须提交其身份证明书）</w:t>
      </w:r>
    </w:p>
    <w:p>
      <w:pPr>
        <w:pStyle w:val="null3"/>
      </w:pPr>
      <w:r>
        <w:rPr>
          <w:rFonts w:ascii="仿宋_GB2312" w:hAnsi="仿宋_GB2312" w:cs="仿宋_GB2312" w:eastAsia="仿宋_GB2312"/>
        </w:rPr>
        <w:t>8、资质证书：供应商需取得住房和城乡建设主管部门颁发的有效期内建设工程质量检测机构资质证书—综合资质。</w:t>
      </w:r>
    </w:p>
    <w:p>
      <w:pPr>
        <w:pStyle w:val="null3"/>
      </w:pPr>
      <w:r>
        <w:rPr>
          <w:rFonts w:ascii="仿宋_GB2312" w:hAnsi="仿宋_GB2312" w:cs="仿宋_GB2312" w:eastAsia="仿宋_GB2312"/>
        </w:rPr>
        <w:t>9、中小企业声明函：提供中小企业声明函。（本项目为专门面向中、小、微型企业采购项目）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秦始皇帝陵博物院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西安市临潼区秦陵街办</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029-81399188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任萍萍、李瑞洁、戈迪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029-81206622-842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银行账号：86113010750181502001290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 理暂行办法》（计价格[2002]1980号）及发改办价格[2003]857号文件的规定标准收取。2、本项目中标服务费按服务计取。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秦始皇帝陵博物院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秦始皇帝陵博物院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秦始皇帝陵博物院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根据采购文件要求及合同约定执行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联系人：任萍萍、李瑞洁、戈迪</w:t>
      </w:r>
    </w:p>
    <w:p>
      <w:pPr>
        <w:pStyle w:val="null3"/>
      </w:pPr>
      <w:r>
        <w:rPr>
          <w:rFonts w:ascii="仿宋_GB2312" w:hAnsi="仿宋_GB2312" w:cs="仿宋_GB2312" w:eastAsia="仿宋_GB2312"/>
        </w:rPr>
        <w:t>联系电话：029-81206622-842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该建筑1979年建成并投入使用，钢拱架-钢筋混凝土混合结构，落地三角拱型，单层，建筑使用功能为展厅，屋架采用三铰钢拱架结构，跨度70m，建筑长230m，宽62m，总建筑面积约17000 ㎡。现依据建筑物实际情况及近三年检测情况对18榀拱架结构变形进行受力、变形、表面温度长期监测；通过数据采集与分析，追踪结构在长期使用过程中的动态变化。对屋面面板、山墙与钢结构连接处、5榀钢拱架进行全面检测；同时重点关注主体钢架与屋面板、墙面板等连接节点处结构状态，深入排查安全隐患，为后续结构安全评估及合理化建议提供技术依据。 本次采购内容包含2026年度建筑物安全检测及监测，2027、2028年度建筑物安全监测。详见磋商文件第三章。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秦兵马俑一号坑结构检测项目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标的名称：秦兵马俑一号坑结构检测项目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项目概况：</w:t>
            </w:r>
          </w:p>
          <w:p>
            <w:pPr>
              <w:pStyle w:val="null3"/>
              <w:ind w:firstLine="400"/>
            </w:pPr>
            <w:r>
              <w:rPr>
                <w:rFonts w:ascii="仿宋_GB2312" w:hAnsi="仿宋_GB2312" w:cs="仿宋_GB2312" w:eastAsia="仿宋_GB2312"/>
              </w:rPr>
              <w:t>该建筑</w:t>
            </w:r>
            <w:r>
              <w:rPr>
                <w:rFonts w:ascii="仿宋_GB2312" w:hAnsi="仿宋_GB2312" w:cs="仿宋_GB2312" w:eastAsia="仿宋_GB2312"/>
              </w:rPr>
              <w:t>1979年建成并投入使用，钢拱架-钢筋混凝土混合结构，落地三角拱型，单层，建筑使用功能为展厅，屋架采用三铰钢拱架结构，跨度70m，建筑长230m，宽62m，总建筑面积约17000 ㎡。现依据建筑物实际情况及近三年检测情况对18榀拱架结构变形进行受力、变形、表面温度长期监测；通过数据采集与分析，追踪结构在长期使用过程中的动态变化。对屋面面板、山墙与钢结构连接处、5榀钢拱架进行全面检测；同时重点关注主体钢架与屋面板、墙面板等连接节点处结构状态，深入排查安全隐患，为后续结构安全评估及合理化建议提供技术依据。</w:t>
            </w:r>
          </w:p>
          <w:p>
            <w:pPr>
              <w:pStyle w:val="null3"/>
            </w:pPr>
            <w:r>
              <w:rPr>
                <w:rFonts w:ascii="仿宋_GB2312" w:hAnsi="仿宋_GB2312" w:cs="仿宋_GB2312" w:eastAsia="仿宋_GB2312"/>
                <w:sz w:val="21"/>
              </w:rPr>
              <w:t>本次招标内容包含</w:t>
            </w:r>
            <w:r>
              <w:rPr>
                <w:rFonts w:ascii="仿宋_GB2312" w:hAnsi="仿宋_GB2312" w:cs="仿宋_GB2312" w:eastAsia="仿宋_GB2312"/>
                <w:sz w:val="21"/>
              </w:rPr>
              <w:t>2026年度建筑物安全检测及监测，2027、2028年度建筑物安全监测。</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技术要求：</w:t>
            </w:r>
          </w:p>
          <w:p>
            <w:pPr>
              <w:pStyle w:val="null3"/>
              <w:jc w:val="both"/>
            </w:pPr>
            <w:r>
              <w:rPr>
                <w:rFonts w:ascii="仿宋_GB2312" w:hAnsi="仿宋_GB2312" w:cs="仿宋_GB2312" w:eastAsia="仿宋_GB2312"/>
                <w:sz w:val="21"/>
              </w:rPr>
              <w:t>检测内容：</w:t>
            </w:r>
          </w:p>
          <w:tbl>
            <w:tblPr>
              <w:tblInd w:type="dxa" w:w="120"/>
              <w:tblBorders>
                <w:top w:val="none" w:color="000000" w:sz="4"/>
                <w:left w:val="none" w:color="000000" w:sz="4"/>
                <w:bottom w:val="none" w:color="000000" w:sz="4"/>
                <w:right w:val="none" w:color="000000" w:sz="4"/>
                <w:insideH w:val="none"/>
                <w:insideV w:val="none"/>
              </w:tblBorders>
            </w:tblPr>
            <w:tblGrid>
              <w:gridCol w:w="600"/>
              <w:gridCol w:w="1952"/>
            </w:tblGrid>
            <w:tr>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w:t>
                  </w:r>
                </w:p>
              </w:tc>
              <w:tc>
                <w:tcPr>
                  <w:tcW w:type="dxa" w:w="19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1"/>
                    <w:jc w:val="center"/>
                  </w:pPr>
                  <w:r>
                    <w:rPr>
                      <w:rFonts w:ascii="仿宋_GB2312" w:hAnsi="仿宋_GB2312" w:cs="仿宋_GB2312" w:eastAsia="仿宋_GB2312"/>
                      <w:sz w:val="18"/>
                      <w:b/>
                      <w:color w:val="000000"/>
                    </w:rPr>
                    <w:t>内容</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准备工作（</w:t>
                  </w:r>
                  <w:r>
                    <w:rPr>
                      <w:rFonts w:ascii="仿宋_GB2312" w:hAnsi="仿宋_GB2312" w:cs="仿宋_GB2312" w:eastAsia="仿宋_GB2312"/>
                      <w:sz w:val="18"/>
                      <w:b/>
                      <w:color w:val="000000"/>
                    </w:rPr>
                    <w:t>资料调查</w:t>
                  </w:r>
                  <w:r>
                    <w:rPr>
                      <w:rFonts w:ascii="仿宋_GB2312" w:hAnsi="仿宋_GB2312" w:cs="仿宋_GB2312" w:eastAsia="仿宋_GB2312"/>
                      <w:sz w:val="18"/>
                    </w:rPr>
                    <w:t>）</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⑴查阅建筑结构原设计图和竣工图。</w:t>
                  </w:r>
                </w:p>
                <w:p>
                  <w:pPr>
                    <w:pStyle w:val="null3"/>
                    <w:jc w:val="both"/>
                  </w:pPr>
                  <w:r>
                    <w:rPr>
                      <w:rFonts w:ascii="仿宋_GB2312" w:hAnsi="仿宋_GB2312" w:cs="仿宋_GB2312" w:eastAsia="仿宋_GB2312"/>
                      <w:sz w:val="18"/>
                      <w:color w:val="000000"/>
                    </w:rPr>
                    <w:t>⑵查阅临近工程地质报吿。</w:t>
                  </w:r>
                </w:p>
                <w:p>
                  <w:pPr>
                    <w:pStyle w:val="null3"/>
                    <w:jc w:val="both"/>
                  </w:pPr>
                  <w:r>
                    <w:rPr>
                      <w:rFonts w:ascii="仿宋_GB2312" w:hAnsi="仿宋_GB2312" w:cs="仿宋_GB2312" w:eastAsia="仿宋_GB2312"/>
                      <w:sz w:val="18"/>
                      <w:color w:val="000000"/>
                    </w:rPr>
                    <w:t>⑶查阅历次加固修复资料。</w:t>
                  </w:r>
                </w:p>
                <w:p>
                  <w:pPr>
                    <w:pStyle w:val="null3"/>
                    <w:jc w:val="both"/>
                  </w:pPr>
                  <w:r>
                    <w:rPr>
                      <w:rFonts w:ascii="仿宋_GB2312" w:hAnsi="仿宋_GB2312" w:cs="仿宋_GB2312" w:eastAsia="仿宋_GB2312"/>
                      <w:sz w:val="18"/>
                      <w:color w:val="000000"/>
                    </w:rPr>
                    <w:t>⑷查阅相关改造资料。</w:t>
                  </w:r>
                </w:p>
                <w:p>
                  <w:pPr>
                    <w:pStyle w:val="null3"/>
                    <w:jc w:val="both"/>
                  </w:pPr>
                  <w:r>
                    <w:rPr>
                      <w:rFonts w:ascii="仿宋_GB2312" w:hAnsi="仿宋_GB2312" w:cs="仿宋_GB2312" w:eastAsia="仿宋_GB2312"/>
                      <w:sz w:val="18"/>
                      <w:color w:val="000000"/>
                    </w:rPr>
                    <w:t>⑸查阅相关检测资料。</w:t>
                  </w:r>
                </w:p>
                <w:p>
                  <w:pPr>
                    <w:pStyle w:val="null3"/>
                    <w:jc w:val="both"/>
                  </w:pPr>
                  <w:r>
                    <w:rPr>
                      <w:rFonts w:ascii="仿宋_GB2312" w:hAnsi="仿宋_GB2312" w:cs="仿宋_GB2312" w:eastAsia="仿宋_GB2312"/>
                      <w:sz w:val="18"/>
                      <w:color w:val="000000"/>
                    </w:rPr>
                    <w:t>⑹查阅观测记录等技术资料。</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主体结构检测</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核查建筑结构布置和支撑布置、结构构件的主要几何尺寸和节点现状等。</w:t>
                  </w:r>
                </w:p>
                <w:p>
                  <w:pPr>
                    <w:pStyle w:val="null3"/>
                    <w:jc w:val="both"/>
                  </w:pPr>
                  <w:r>
                    <w:rPr>
                      <w:rFonts w:ascii="仿宋_GB2312" w:hAnsi="仿宋_GB2312" w:cs="仿宋_GB2312" w:eastAsia="仿宋_GB2312"/>
                      <w:sz w:val="18"/>
                      <w:color w:val="000000"/>
                    </w:rPr>
                    <w:t>调查各类荷载（新增空调主机荷载），包括屋面积灰（雪）荷载等。</w:t>
                  </w:r>
                </w:p>
                <w:p>
                  <w:pPr>
                    <w:pStyle w:val="null3"/>
                    <w:jc w:val="both"/>
                  </w:pPr>
                  <w:r>
                    <w:rPr>
                      <w:rFonts w:ascii="仿宋_GB2312" w:hAnsi="仿宋_GB2312" w:cs="仿宋_GB2312" w:eastAsia="仿宋_GB2312"/>
                      <w:sz w:val="18"/>
                      <w:color w:val="000000"/>
                    </w:rPr>
                    <w:t>调查环境温度情况（含新增空调导致的室内温度变化影响）。</w:t>
                  </w:r>
                </w:p>
                <w:p>
                  <w:pPr>
                    <w:pStyle w:val="null3"/>
                    <w:jc w:val="both"/>
                  </w:pPr>
                  <w:r>
                    <w:rPr>
                      <w:rFonts w:ascii="仿宋_GB2312" w:hAnsi="仿宋_GB2312" w:cs="仿宋_GB2312" w:eastAsia="仿宋_GB2312"/>
                      <w:sz w:val="18"/>
                      <w:color w:val="000000"/>
                    </w:rPr>
                    <w:t>核查结构损伤，包含变形、破损、断裂、锈蚀等；</w:t>
                  </w:r>
                </w:p>
                <w:p>
                  <w:pPr>
                    <w:pStyle w:val="null3"/>
                    <w:jc w:val="both"/>
                  </w:pPr>
                  <w:r>
                    <w:rPr>
                      <w:rFonts w:ascii="仿宋_GB2312" w:hAnsi="仿宋_GB2312" w:cs="仿宋_GB2312" w:eastAsia="仿宋_GB2312"/>
                      <w:sz w:val="18"/>
                      <w:color w:val="000000"/>
                    </w:rPr>
                    <w:t>检查连接节点焊缝、螺栓工作状况。</w:t>
                  </w:r>
                </w:p>
                <w:p>
                  <w:pPr>
                    <w:pStyle w:val="null3"/>
                    <w:jc w:val="both"/>
                  </w:pPr>
                  <w:r>
                    <w:rPr>
                      <w:rFonts w:ascii="仿宋_GB2312" w:hAnsi="仿宋_GB2312" w:cs="仿宋_GB2312" w:eastAsia="仿宋_GB2312"/>
                      <w:sz w:val="18"/>
                      <w:color w:val="000000"/>
                    </w:rPr>
                    <w:t>抽检钢构件防腐及防火涂层厚度。</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维护结构检测</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维护结构现状检测，包括裂缝分布的位置、裂缝长度、宽度等普查。</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结构杆件的受力、变形及结构整体动力特性监测</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对</w:t>
                  </w:r>
                  <w:r>
                    <w:rPr>
                      <w:rFonts w:ascii="仿宋_GB2312" w:hAnsi="仿宋_GB2312" w:cs="仿宋_GB2312" w:eastAsia="仿宋_GB2312"/>
                      <w:sz w:val="18"/>
                      <w:color w:val="000000"/>
                    </w:rPr>
                    <w:t>18榀拱架结构杆件的受力、变形监测，每榀点位不少于4处，</w:t>
                  </w:r>
                </w:p>
                <w:p>
                  <w:pPr>
                    <w:pStyle w:val="null3"/>
                    <w:jc w:val="both"/>
                  </w:pPr>
                  <w:r>
                    <w:rPr>
                      <w:rFonts w:ascii="仿宋_GB2312" w:hAnsi="仿宋_GB2312" w:cs="仿宋_GB2312" w:eastAsia="仿宋_GB2312"/>
                      <w:sz w:val="18"/>
                      <w:color w:val="000000"/>
                    </w:rPr>
                    <w:t>总数不少于</w:t>
                  </w:r>
                  <w:r>
                    <w:rPr>
                      <w:rFonts w:ascii="仿宋_GB2312" w:hAnsi="仿宋_GB2312" w:cs="仿宋_GB2312" w:eastAsia="仿宋_GB2312"/>
                      <w:sz w:val="18"/>
                      <w:color w:val="000000"/>
                    </w:rPr>
                    <w:t>72处;灵敏度不低于1微米，标距150mm，进行定期监测。</w:t>
                  </w:r>
                </w:p>
                <w:p>
                  <w:pPr>
                    <w:pStyle w:val="null3"/>
                    <w:jc w:val="both"/>
                  </w:pPr>
                  <w:r>
                    <w:rPr>
                      <w:rFonts w:ascii="仿宋_GB2312" w:hAnsi="仿宋_GB2312" w:cs="仿宋_GB2312" w:eastAsia="仿宋_GB2312"/>
                      <w:sz w:val="18"/>
                      <w:color w:val="000000"/>
                    </w:rPr>
                    <w:t>拱架结构挠度测量，</w:t>
                  </w:r>
                  <w:r>
                    <w:rPr>
                      <w:rFonts w:ascii="仿宋_GB2312" w:hAnsi="仿宋_GB2312" w:cs="仿宋_GB2312" w:eastAsia="仿宋_GB2312"/>
                      <w:sz w:val="18"/>
                      <w:color w:val="000000"/>
                    </w:rPr>
                    <w:t>18拱架每点位不少于3处，总数不少于54处，</w:t>
                  </w:r>
                </w:p>
                <w:p>
                  <w:pPr>
                    <w:pStyle w:val="null3"/>
                    <w:jc w:val="both"/>
                  </w:pPr>
                  <w:r>
                    <w:rPr>
                      <w:rFonts w:ascii="仿宋_GB2312" w:hAnsi="仿宋_GB2312" w:cs="仿宋_GB2312" w:eastAsia="仿宋_GB2312"/>
                      <w:sz w:val="18"/>
                      <w:color w:val="000000"/>
                    </w:rPr>
                    <w:t>精度不小于</w:t>
                  </w:r>
                  <w:r>
                    <w:rPr>
                      <w:rFonts w:ascii="仿宋_GB2312" w:hAnsi="仿宋_GB2312" w:cs="仿宋_GB2312" w:eastAsia="仿宋_GB2312"/>
                      <w:sz w:val="18"/>
                      <w:color w:val="000000"/>
                    </w:rPr>
                    <w:t>0.5mm。（也可采用智能扫描设备，对拱架结构进行整体</w:t>
                  </w:r>
                </w:p>
                <w:p>
                  <w:pPr>
                    <w:pStyle w:val="null3"/>
                    <w:jc w:val="both"/>
                  </w:pPr>
                  <w:r>
                    <w:rPr>
                      <w:rFonts w:ascii="仿宋_GB2312" w:hAnsi="仿宋_GB2312" w:cs="仿宋_GB2312" w:eastAsia="仿宋_GB2312"/>
                      <w:sz w:val="18"/>
                      <w:color w:val="000000"/>
                    </w:rPr>
                    <w:t>三维扫描，定期进行变形数据比对分析</w:t>
                  </w:r>
                  <w:r>
                    <w:rPr>
                      <w:rFonts w:ascii="仿宋_GB2312" w:hAnsi="仿宋_GB2312" w:cs="仿宋_GB2312" w:eastAsia="仿宋_GB2312"/>
                      <w:sz w:val="18"/>
                      <w:color w:val="000000"/>
                    </w:rPr>
                    <w:t>，每季度一次。）</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结构验算复核（计算分析）</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建筑结构力学分析应遵守国家现行有关标准和规范的要求，并考虑</w:t>
                  </w:r>
                </w:p>
                <w:p>
                  <w:pPr>
                    <w:pStyle w:val="null3"/>
                    <w:jc w:val="both"/>
                  </w:pPr>
                  <w:r>
                    <w:rPr>
                      <w:rFonts w:ascii="仿宋_GB2312" w:hAnsi="仿宋_GB2312" w:cs="仿宋_GB2312" w:eastAsia="仿宋_GB2312"/>
                      <w:sz w:val="18"/>
                      <w:color w:val="000000"/>
                    </w:rPr>
                    <w:t>钢桁架拱支座的实际不均匀沉降状况，计算简图根据结构的实际受</w:t>
                  </w:r>
                </w:p>
                <w:p>
                  <w:pPr>
                    <w:pStyle w:val="null3"/>
                    <w:jc w:val="both"/>
                  </w:pPr>
                  <w:r>
                    <w:rPr>
                      <w:rFonts w:ascii="仿宋_GB2312" w:hAnsi="仿宋_GB2312" w:cs="仿宋_GB2312" w:eastAsia="仿宋_GB2312"/>
                      <w:sz w:val="18"/>
                      <w:color w:val="000000"/>
                    </w:rPr>
                    <w:t>力和构造状况确定，荷载取值和荷载效应组合根据荷载规范确定或</w:t>
                  </w:r>
                </w:p>
                <w:p>
                  <w:pPr>
                    <w:pStyle w:val="null3"/>
                    <w:jc w:val="both"/>
                  </w:pPr>
                  <w:r>
                    <w:rPr>
                      <w:rFonts w:ascii="仿宋_GB2312" w:hAnsi="仿宋_GB2312" w:cs="仿宋_GB2312" w:eastAsia="仿宋_GB2312"/>
                      <w:sz w:val="18"/>
                      <w:color w:val="000000"/>
                    </w:rPr>
                    <w:t>根据实际情况按规范的取值和组合原则确定，材料强度和构件几何</w:t>
                  </w:r>
                </w:p>
                <w:p>
                  <w:pPr>
                    <w:pStyle w:val="null3"/>
                    <w:jc w:val="both"/>
                  </w:pPr>
                  <w:r>
                    <w:rPr>
                      <w:rFonts w:ascii="仿宋_GB2312" w:hAnsi="仿宋_GB2312" w:cs="仿宋_GB2312" w:eastAsia="仿宋_GB2312"/>
                      <w:sz w:val="18"/>
                      <w:color w:val="000000"/>
                    </w:rPr>
                    <w:t>尺寸取用实测值，对</w:t>
                  </w:r>
                  <w:r>
                    <w:rPr>
                      <w:rFonts w:ascii="仿宋_GB2312" w:hAnsi="仿宋_GB2312" w:cs="仿宋_GB2312" w:eastAsia="仿宋_GB2312"/>
                      <w:sz w:val="18"/>
                      <w:color w:val="000000"/>
                    </w:rPr>
                    <w:t>1</w:t>
                  </w:r>
                  <w:r>
                    <w:rPr>
                      <w:rFonts w:ascii="仿宋_GB2312" w:hAnsi="仿宋_GB2312" w:cs="仿宋_GB2312" w:eastAsia="仿宋_GB2312"/>
                      <w:sz w:val="18"/>
                      <w:color w:val="000000"/>
                    </w:rPr>
                    <w:t>号展厅的结构安全性进行建模验算、复核、分析。</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鉴定资料应达到的目的（深度标准）</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）针对该建筑钢结构腐蚀性，对现状是否处理提出建议；</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）对钢结构变形、表面温度、应力实时监测；</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）对该建筑按现行规范下安全性进行评定；</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4</w:t>
                  </w:r>
                  <w:r>
                    <w:rPr>
                      <w:rFonts w:ascii="仿宋_GB2312" w:hAnsi="仿宋_GB2312" w:cs="仿宋_GB2312" w:eastAsia="仿宋_GB2312"/>
                      <w:sz w:val="18"/>
                      <w:color w:val="000000"/>
                    </w:rPr>
                    <w:t>）针对该建筑现状，如需处理，提出合理建议。</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）包含施工、检测、展厅特殊安全措施及要求等费用。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）进行检测时需充分考虑展厅不闭馆的检测方案。</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检测报告需经专家审核通过</w:t>
            </w:r>
            <w:r>
              <w:rPr>
                <w:rFonts w:ascii="仿宋_GB2312" w:hAnsi="仿宋_GB2312" w:cs="仿宋_GB2312" w:eastAsia="仿宋_GB2312"/>
                <w:sz w:val="21"/>
              </w:rPr>
              <w:t>。专家由发包人确定，审核费用由投标人支付。请投标报价时自行考虑。</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质量要求：符合国家行业相关规范。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服务期限：现场设备安装不超过20天；每半年出具一次监测报告；监测完成后出具检测报告不超过30天。施工期间需保证正常参观秩序。</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秦始皇帝陵博物院指定地点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检测报告需经专家审核通过。专家由发包人确定，审核费用由投标人支付。请投标报价时自行考虑。根据采购文件要求及合同约定执行。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其他，2027、2028年度监测费用：半年报告提交后支付50%，年度报告提交后支付至100%；待所有检测完成、收到检测报告后且经甲方验收合格后，达到付款条件起10个工作日内，支付合同总金额的60.0%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 环境标志产品政府采购执行机制的通知》（财库〔2019〕9号） （4）《关于促进残疾人就业政府采购政策的通知》（财库[2017]141号） （5）《陕西省财政厅关于加快推进我省中小企业政府采购信用融资工作的通知》（陕财办采〔2020〕15 号） （6）《陕西省中小企业政府采购信用融资办法》陕财办采〔2018〕23号 （7）《关于运用政府采购政策支持乡村产业振兴的通知》（财库〔2021〕19 号） （8）《关于进一步加大政府采购支持中小企业力度的通知》（财库〔2022〕19号） （9）《陕西省财政厅关于进一步落实政府采购支持中小企业相关政策的通知》（陕财办采〔2023〕3号） （10）《国务院办公厅关于在政府采购中实施本国产品标准及相关政策的通知》（国办发〔2025〕34号） （11）《关于推动解决政府采购异常低价问题的通知》（财库〔2026〕2号） （12）若享受以上政策优惠的企业，提供相应声明函或品目范围内产品有效认证证书。如有最新颁布的政府采购政策，按最新的文件执行。 2、保证金的退还：自成交通知书发出之日起5个工作日内退还未成交的磋商保证金,自采购合同签订之日起5个工作日内退还成交人的磋商保证金。 3、为顺利推进政府采购电子化交易平台应用工作，供应商需要在线提交所有通过电子化交易平台实施的政府采购项目的响应文件，同时，线下提交纸质响应文件正本壹份、副本壹份。纸质响应文件正、副本分别胶装，标明供应商名称密封递交，递交截止时间同在线递交响应电子文件截止时间一致，递交地址：西安市雁展路1111号莱安中心T6-15层。（纸质响应文件可邮寄，仅接受顺丰速运，邮件签收时间应在递交电子响应文件截止时间之前，邮寄地址：西安市雁展路1111号莱安中心T6-15层，联系人：任萍萍，联系电话029-81206622/81206633-842）。 若电子响应文件与纸质响应文件不一致的，以电子响应文件为准。 4、磋商文件中所有的商务要求均为实质性要求，供应商必须响应并满足。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磋商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供应商需取得住房和城乡建设主管部门颁发的有效期内建设工程质量检测机构资质证书—综合资质。</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分项报价表.docx 中小企业声明函 残疾人福利性单位声明函 商务应答表 标的清单 服务内容及服务要求应答表 报价表 响应函 其他说明.docx 监狱企业的证明文件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根据项目实际情况，提供项目实施方案，包括但不限于：①结构监测方案；②结构验算复核方案；③组织能力；④保密方案等。以上方案每有一项缺项扣4分，每有一项内容中有一处缺陷，扣1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详细评审-实施方案.docx</w:t>
            </w:r>
          </w:p>
        </w:tc>
      </w:tr>
      <w:tr>
        <w:tc>
          <w:tcPr>
            <w:tcW w:type="dxa" w:w="831"/>
            <w:vMerge/>
          </w:tcPr>
          <w:p/>
        </w:tc>
        <w:tc>
          <w:tcPr>
            <w:tcW w:type="dxa" w:w="1661"/>
          </w:tcPr>
          <w:p>
            <w:pPr>
              <w:pStyle w:val="null3"/>
            </w:pPr>
            <w:r>
              <w:rPr>
                <w:rFonts w:ascii="仿宋_GB2312" w:hAnsi="仿宋_GB2312" w:cs="仿宋_GB2312" w:eastAsia="仿宋_GB2312"/>
              </w:rPr>
              <w:t>重难点认识</w:t>
            </w:r>
          </w:p>
        </w:tc>
        <w:tc>
          <w:tcPr>
            <w:tcW w:type="dxa" w:w="2492"/>
          </w:tcPr>
          <w:p>
            <w:pPr>
              <w:pStyle w:val="null3"/>
            </w:pPr>
            <w:r>
              <w:rPr>
                <w:rFonts w:ascii="仿宋_GB2312" w:hAnsi="仿宋_GB2312" w:cs="仿宋_GB2312" w:eastAsia="仿宋_GB2312"/>
              </w:rPr>
              <w:t>供应商对项目重点、难点认识准确、描述清晰、措施得当、具体合理。 评审标准： （1）方案详细、完整，可操作性强，完全满足项目需求，得15分； （2）方案仅能满足项目需求，得10分； （3）方案有缺失，有缺漏项，无法满足项目需求，得5分。 （4）未提供，得0分。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详细评审-重难点认识.docx</w:t>
            </w:r>
          </w:p>
        </w:tc>
      </w:tr>
      <w:tr>
        <w:tc>
          <w:tcPr>
            <w:tcW w:type="dxa" w:w="831"/>
            <w:vMerge/>
          </w:tcPr>
          <w:p/>
        </w:tc>
        <w:tc>
          <w:tcPr>
            <w:tcW w:type="dxa" w:w="1661"/>
          </w:tcPr>
          <w:p>
            <w:pPr>
              <w:pStyle w:val="null3"/>
            </w:pPr>
            <w:r>
              <w:rPr>
                <w:rFonts w:ascii="仿宋_GB2312" w:hAnsi="仿宋_GB2312" w:cs="仿宋_GB2312" w:eastAsia="仿宋_GB2312"/>
              </w:rPr>
              <w:t>安全管理措施</w:t>
            </w:r>
          </w:p>
        </w:tc>
        <w:tc>
          <w:tcPr>
            <w:tcW w:type="dxa" w:w="2492"/>
          </w:tcPr>
          <w:p>
            <w:pPr>
              <w:pStyle w:val="null3"/>
            </w:pPr>
            <w:r>
              <w:rPr>
                <w:rFonts w:ascii="仿宋_GB2312" w:hAnsi="仿宋_GB2312" w:cs="仿宋_GB2312" w:eastAsia="仿宋_GB2312"/>
              </w:rPr>
              <w:t>供应商根据项目实际情况，提供安全管理措施。 评审标准： （1）方案详细、完整，可操作性强，完全满足项目需求，得10分； （2）方案仅能满足项目需求，得8分； （3）方案有缺失，有缺漏项，无法满足项目需求，得4分。 （4）未提供，得0分。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详细评审-安全管理措施.docx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供应商根据项目实际情况，提供进度保证措施。 评审标准： （1）方案详细、完整，可操作性强，完全满足项目需求，得4分； （2）方案仅能满足项目需求，得3分； （3）方案有缺失，有缺漏项，无法满足项目需求，得1分。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详细评审-进度保证措施.docx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①供应商具有有效的质量管理体系认证证书，得1分； ②供应商具有有效的环境管理体系认证证书，得1分； ③供应商具有有效的职业安全健康管理体系认证证书，得1分； ④供应商具有国家相关机构颁发的检验机构认可证书，得1分；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详细评审-企业实力.docx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1、项目负责人（3分） 项目负责人具有相关专业高级及以上职称，得1分；项目负责人具有一级注册结构工程师资格证书得2分；满分3分。 2、技术负责人（2分） 技术负责人具有一级注册结构工程师资格证书得2分，满分2分。 3、团队成员（9分） 提供项目团队技术人员9人，每人同时满足①、②条件的，得9分，每缺一人满足条件的扣1分，扣完为止。 ①团队成员具有相关专业高级及以上职称。 ②团队成员具有二级及以上注册结构工程师。 备注：以上人员不重复计分，需提供职称证书、资格证书及供应商为以上人员缴纳的2026年1月至响应文件递交截止时间前任意一个月的社保证明材料或公积金完税证明，未提供或提供不全不计分。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详细评审-人员配备.docx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供应商针对本项目提供其他有利于本项目开展的合理化建议（包括但不限于技术支持、增值服务等），每提供一项有实质性内容的建议得2分，满分8分。不提供不计分。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详细评审-合理化建议.docx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对于项目实施过程中出现突发状况，有具体可行的响应时限和应对措施，能保证项目质量并按时提交项目成果，每提供一条得1分，满分5分。不提供不计分。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提供供应商的2023年1月1日至今（以签订日期为准）同类项目业绩合同，每份得1分，满分4分。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磋商报价得分=(磋商基准价／磋商报价)×20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详见附件：详细评审-实施方案.docx</w:t>
      </w:r>
    </w:p>
    <w:p>
      <w:pPr>
        <w:pStyle w:val="null3"/>
        <w:ind w:firstLine="960"/>
      </w:pPr>
      <w:r>
        <w:rPr>
          <w:rFonts w:ascii="仿宋_GB2312" w:hAnsi="仿宋_GB2312" w:cs="仿宋_GB2312" w:eastAsia="仿宋_GB2312"/>
        </w:rPr>
        <w:t>详见附件：详细评审-重难点认识.docx</w:t>
      </w:r>
    </w:p>
    <w:p>
      <w:pPr>
        <w:pStyle w:val="null3"/>
        <w:ind w:firstLine="960"/>
      </w:pPr>
      <w:r>
        <w:rPr>
          <w:rFonts w:ascii="仿宋_GB2312" w:hAnsi="仿宋_GB2312" w:cs="仿宋_GB2312" w:eastAsia="仿宋_GB2312"/>
        </w:rPr>
        <w:t>详见附件：详细评审-安全管理措施.docx</w:t>
      </w:r>
    </w:p>
    <w:p>
      <w:pPr>
        <w:pStyle w:val="null3"/>
        <w:ind w:firstLine="960"/>
      </w:pPr>
      <w:r>
        <w:rPr>
          <w:rFonts w:ascii="仿宋_GB2312" w:hAnsi="仿宋_GB2312" w:cs="仿宋_GB2312" w:eastAsia="仿宋_GB2312"/>
        </w:rPr>
        <w:t>详见附件：详细评审-进度保证措施.docx</w:t>
      </w:r>
    </w:p>
    <w:p>
      <w:pPr>
        <w:pStyle w:val="null3"/>
        <w:ind w:firstLine="960"/>
      </w:pPr>
      <w:r>
        <w:rPr>
          <w:rFonts w:ascii="仿宋_GB2312" w:hAnsi="仿宋_GB2312" w:cs="仿宋_GB2312" w:eastAsia="仿宋_GB2312"/>
        </w:rPr>
        <w:t>详见附件：详细评审-企业实力.docx</w:t>
      </w:r>
    </w:p>
    <w:p>
      <w:pPr>
        <w:pStyle w:val="null3"/>
        <w:ind w:firstLine="960"/>
      </w:pPr>
      <w:r>
        <w:rPr>
          <w:rFonts w:ascii="仿宋_GB2312" w:hAnsi="仿宋_GB2312" w:cs="仿宋_GB2312" w:eastAsia="仿宋_GB2312"/>
        </w:rPr>
        <w:t>详见附件：详细评审-人员配备.docx</w:t>
      </w:r>
    </w:p>
    <w:p>
      <w:pPr>
        <w:pStyle w:val="null3"/>
        <w:ind w:firstLine="960"/>
      </w:pPr>
      <w:r>
        <w:rPr>
          <w:rFonts w:ascii="仿宋_GB2312" w:hAnsi="仿宋_GB2312" w:cs="仿宋_GB2312" w:eastAsia="仿宋_GB2312"/>
        </w:rPr>
        <w:t>详见附件：详细评审-合理化建议.docx</w:t>
      </w:r>
    </w:p>
    <w:p>
      <w:pPr>
        <w:pStyle w:val="null3"/>
        <w:ind w:firstLine="960"/>
      </w:pPr>
      <w:r>
        <w:rPr>
          <w:rFonts w:ascii="仿宋_GB2312" w:hAnsi="仿宋_GB2312" w:cs="仿宋_GB2312" w:eastAsia="仿宋_GB2312"/>
        </w:rPr>
        <w:t>详见附件：详细评审-服务承诺.docx</w:t>
      </w:r>
    </w:p>
    <w:p>
      <w:pPr>
        <w:pStyle w:val="null3"/>
        <w:ind w:firstLine="960"/>
      </w:pPr>
      <w:r>
        <w:rPr>
          <w:rFonts w:ascii="仿宋_GB2312" w:hAnsi="仿宋_GB2312" w:cs="仿宋_GB2312" w:eastAsia="仿宋_GB2312"/>
        </w:rPr>
        <w:t>详见附件：详细评审-业绩.docx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