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版本号：陕融招字-2026-0507号.1B120260706001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智能高压双向交直流充电平台(二次)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陕融招字-2026-0507号.1B1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智能高压双向交直流充电平台(二次)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陕融招字-2026-0507号.1B1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智能高压双向交直流充电平台(二次)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智能高压双向交直流充电平台采购项目，主要包括双向充电电源模块，可编程交直流电源、示波器、电流探头、电压探头、主控板、充电负载。围绕双向交直流充电变换器精细化控制与优化开展全链条实验研究，集科研开发、技术验证、人才培养于一体。</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采购包1（智能高压双向交直流充电平台）：属于专门面向中小企业采购。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开户银行：中国建设银行股份有限公司西安交大支行</w:t>
            </w:r>
          </w:p>
          <w:p>
            <w:pPr>
              <w:pStyle w:val="null3"/>
            </w:pPr>
            <w:r>
              <w:rPr>
                <w:rFonts w:ascii="仿宋_GB2312" w:hAnsi="仿宋_GB2312" w:cs="仿宋_GB2312" w:eastAsia="仿宋_GB2312"/>
              </w:rPr>
              <w:t>银行账号：6105 0172 4100 0000 1522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 缴纳账号：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智能高压双向交直流充电平台采购项目，主要包括双向充电电源模块，可编程交直流电源、示波器、电流探头、电压探头、主控板、充电负载。围绕双向交直流充电变换器精细化控制与优化开展全链条实验研究，集科研开发、技术验证、人才培养于一体。</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智能高压双向交直流充电平台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标的名称：智能高压双向交直流充电平台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配置清单</w:t>
            </w:r>
          </w:p>
          <w:tbl>
            <w:tblPr>
              <w:tblBorders>
                <w:top w:val="none" w:color="000000" w:sz="4"/>
                <w:left w:val="none" w:color="000000" w:sz="4"/>
                <w:bottom w:val="none" w:color="000000" w:sz="4"/>
                <w:right w:val="none" w:color="000000" w:sz="4"/>
                <w:insideH w:val="none"/>
                <w:insideV w:val="none"/>
              </w:tblBorders>
            </w:tblPr>
            <w:tblGrid>
              <w:gridCol w:w="307"/>
              <w:gridCol w:w="1305"/>
              <w:gridCol w:w="502"/>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双向充电电源模块</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可编程交直流电源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示波器</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电流探头</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电压探头</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充电负载</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一、双向充电电源模块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能量传输：交直流双向、高频隔离设计，可实现电动汽车与电网之间能量双向流动；可参与电网调峰，有效抑制电网负荷波动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2.运行模式：带可编程电源，可实现并网、离网两种运行模式；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功率与电压：</w:t>
            </w:r>
            <w:r>
              <w:rPr>
                <w:rFonts w:ascii="仿宋_GB2312" w:hAnsi="仿宋_GB2312" w:cs="仿宋_GB2312" w:eastAsia="仿宋_GB2312"/>
                <w:sz w:val="21"/>
              </w:rPr>
              <w:t>宽恒功率电压范围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1000V</w:t>
            </w:r>
            <w:r>
              <w:rPr>
                <w:rFonts w:ascii="仿宋_GB2312" w:hAnsi="仿宋_GB2312" w:cs="仿宋_GB2312" w:eastAsia="仿宋_GB2312"/>
                <w:sz w:val="21"/>
              </w:rPr>
              <w:t>，可适配主流新能源汽车电池充放电需求；峰值效率</w:t>
            </w:r>
            <w:r>
              <w:rPr>
                <w:rFonts w:ascii="仿宋_GB2312" w:hAnsi="仿宋_GB2312" w:cs="仿宋_GB2312" w:eastAsia="仿宋_GB2312"/>
                <w:sz w:val="21"/>
              </w:rPr>
              <w:t>≥96%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、系统功率</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60kW；</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数据记录：可全方位记录充放电日志及动力电池相关数据，保障系统安全稳定运行；</w:t>
            </w:r>
          </w:p>
          <w:p>
            <w:pPr>
              <w:pStyle w:val="null3"/>
              <w:jc w:val="both"/>
            </w:pPr>
            <w:r>
              <w:rPr>
                <w:rFonts w:ascii="仿宋_GB2312" w:hAnsi="仿宋_GB2312" w:cs="仿宋_GB2312" w:eastAsia="仿宋_GB2312"/>
                <w:sz w:val="21"/>
              </w:rPr>
              <w:t>6.远程与拓展功能：支持远程故障诊断、控制器OTA升级等功能；可接入小容量光伏与储能设备；控制系统完全开放，能满足科研及教学场景下学生自主设计需求；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电气安全：模块内部实现电气隔离，电网、电动汽车及其他相关设备之间无电气连接，保障运行安全；</w:t>
            </w:r>
          </w:p>
          <w:p>
            <w:pPr>
              <w:pStyle w:val="null3"/>
              <w:jc w:val="both"/>
            </w:pPr>
            <w:r>
              <w:rPr>
                <w:rFonts w:ascii="仿宋_GB2312" w:hAnsi="仿宋_GB2312" w:cs="仿宋_GB2312" w:eastAsia="仿宋_GB2312"/>
                <w:sz w:val="21"/>
              </w:rPr>
              <w:t>8.协议与标准：</w:t>
            </w:r>
            <w:r>
              <w:rPr>
                <w:rFonts w:ascii="仿宋_GB2312" w:hAnsi="仿宋_GB2312" w:cs="仿宋_GB2312" w:eastAsia="仿宋_GB2312"/>
                <w:sz w:val="21"/>
              </w:rPr>
              <w:t>支持主流离网和并网的</w:t>
            </w:r>
            <w:r>
              <w:rPr>
                <w:rFonts w:ascii="仿宋_GB2312" w:hAnsi="仿宋_GB2312" w:cs="仿宋_GB2312" w:eastAsia="仿宋_GB2312"/>
                <w:sz w:val="21"/>
              </w:rPr>
              <w:t>V2G充放电协议，</w:t>
            </w:r>
            <w:r>
              <w:rPr>
                <w:rFonts w:ascii="仿宋_GB2312" w:hAnsi="仿宋_GB2312" w:cs="仿宋_GB2312" w:eastAsia="仿宋_GB2312"/>
                <w:sz w:val="21"/>
              </w:rPr>
              <w:t>可适应主流充放电需求，主控板控制系统开放，采用双</w:t>
            </w:r>
            <w:r>
              <w:rPr>
                <w:rFonts w:ascii="仿宋_GB2312" w:hAnsi="仿宋_GB2312" w:cs="仿宋_GB2312" w:eastAsia="仿宋_GB2312"/>
                <w:sz w:val="21"/>
              </w:rPr>
              <w:t>DSP架构或DSP+FPGA架构，可满足自主设计，系统</w:t>
            </w:r>
            <w:r>
              <w:rPr>
                <w:rFonts w:ascii="仿宋_GB2312" w:hAnsi="仿宋_GB2312" w:cs="仿宋_GB2312" w:eastAsia="仿宋_GB2312"/>
                <w:sz w:val="21"/>
              </w:rPr>
              <w:t>支持电网及主流平台的协议对接，支持</w:t>
            </w:r>
            <w:r>
              <w:rPr>
                <w:rFonts w:ascii="仿宋_GB2312" w:hAnsi="仿宋_GB2312" w:cs="仿宋_GB2312" w:eastAsia="仿宋_GB2312"/>
                <w:sz w:val="21"/>
              </w:rPr>
              <w:t>GB</w:t>
            </w:r>
            <w:r>
              <w:rPr>
                <w:rFonts w:ascii="仿宋_GB2312" w:hAnsi="仿宋_GB2312" w:cs="仿宋_GB2312" w:eastAsia="仿宋_GB2312"/>
                <w:sz w:val="21"/>
              </w:rPr>
              <w:t>/</w:t>
            </w:r>
            <w:r>
              <w:rPr>
                <w:rFonts w:ascii="仿宋_GB2312" w:hAnsi="仿宋_GB2312" w:cs="仿宋_GB2312" w:eastAsia="仿宋_GB2312"/>
                <w:sz w:val="21"/>
              </w:rPr>
              <w:t>T标准</w:t>
            </w:r>
            <w:r>
              <w:rPr>
                <w:rFonts w:ascii="仿宋_GB2312" w:hAnsi="仿宋_GB2312" w:cs="仿宋_GB2312" w:eastAsia="仿宋_GB2312"/>
                <w:sz w:val="21"/>
              </w:rPr>
              <w:t>；</w:t>
            </w:r>
          </w:p>
          <w:p>
            <w:pPr>
              <w:pStyle w:val="null3"/>
            </w:pPr>
            <w:r>
              <w:rPr>
                <w:rFonts w:ascii="仿宋_GB2312" w:hAnsi="仿宋_GB2312" w:cs="仿宋_GB2312" w:eastAsia="仿宋_GB2312"/>
                <w:sz w:val="21"/>
              </w:rPr>
              <w:t>9.控制策略：</w:t>
            </w:r>
            <w:r>
              <w:rPr>
                <w:rFonts w:ascii="仿宋_GB2312" w:hAnsi="仿宋_GB2312" w:cs="仿宋_GB2312" w:eastAsia="仿宋_GB2312"/>
                <w:sz w:val="21"/>
              </w:rPr>
              <w:t>具有统一的</w:t>
            </w:r>
            <w:r>
              <w:rPr>
                <w:rFonts w:ascii="仿宋_GB2312" w:hAnsi="仿宋_GB2312" w:cs="仿宋_GB2312" w:eastAsia="仿宋_GB2312"/>
                <w:sz w:val="21"/>
              </w:rPr>
              <w:t>EMS控制策略。</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二、可编程电源</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输出交流电压</w:t>
            </w:r>
            <w:r>
              <w:rPr>
                <w:rFonts w:ascii="仿宋_GB2312" w:hAnsi="仿宋_GB2312" w:cs="仿宋_GB2312" w:eastAsia="仿宋_GB2312"/>
                <w:sz w:val="21"/>
              </w:rPr>
              <w:t>：</w:t>
            </w:r>
            <w:r>
              <w:rPr>
                <w:rFonts w:ascii="仿宋_GB2312" w:hAnsi="仿宋_GB2312" w:cs="仿宋_GB2312" w:eastAsia="仿宋_GB2312"/>
                <w:sz w:val="21"/>
              </w:rPr>
              <w:t>≥350Vrms；</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输出电流</w:t>
            </w:r>
            <w:r>
              <w:rPr>
                <w:rFonts w:ascii="仿宋_GB2312" w:hAnsi="仿宋_GB2312" w:cs="仿宋_GB2312" w:eastAsia="仿宋_GB2312"/>
                <w:sz w:val="21"/>
              </w:rPr>
              <w:t>：</w:t>
            </w:r>
            <w:r>
              <w:rPr>
                <w:rFonts w:ascii="仿宋_GB2312" w:hAnsi="仿宋_GB2312" w:cs="仿宋_GB2312" w:eastAsia="仿宋_GB2312"/>
                <w:sz w:val="21"/>
              </w:rPr>
              <w:t>≥30Arms；</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系统功率</w:t>
            </w:r>
            <w:r>
              <w:rPr>
                <w:rFonts w:ascii="仿宋_GB2312" w:hAnsi="仿宋_GB2312" w:cs="仿宋_GB2312" w:eastAsia="仿宋_GB2312"/>
                <w:sz w:val="21"/>
              </w:rPr>
              <w:t>：</w:t>
            </w:r>
            <w:r>
              <w:rPr>
                <w:rFonts w:ascii="仿宋_GB2312" w:hAnsi="仿宋_GB2312" w:cs="仿宋_GB2312" w:eastAsia="仿宋_GB2312"/>
                <w:sz w:val="21"/>
              </w:rPr>
              <w:t>≥10kVA；</w:t>
            </w:r>
          </w:p>
          <w:p>
            <w:pPr>
              <w:pStyle w:val="null3"/>
            </w:pPr>
            <w:r>
              <w:rPr>
                <w:rFonts w:ascii="仿宋_GB2312" w:hAnsi="仿宋_GB2312" w:cs="仿宋_GB2312" w:eastAsia="仿宋_GB2312"/>
                <w:sz w:val="21"/>
              </w:rPr>
              <w:t>▲4.回馈效率</w:t>
            </w:r>
            <w:r>
              <w:rPr>
                <w:rFonts w:ascii="仿宋_GB2312" w:hAnsi="仿宋_GB2312" w:cs="仿宋_GB2312" w:eastAsia="仿宋_GB2312"/>
                <w:sz w:val="21"/>
              </w:rPr>
              <w:t>：</w:t>
            </w:r>
            <w:r>
              <w:rPr>
                <w:rFonts w:ascii="仿宋_GB2312" w:hAnsi="仿宋_GB2312" w:cs="仿宋_GB2312" w:eastAsia="仿宋_GB2312"/>
                <w:sz w:val="21"/>
              </w:rPr>
              <w:t>≥90%；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示波器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小信号分析档位带宽</w:t>
            </w:r>
            <w:r>
              <w:rPr>
                <w:rFonts w:ascii="仿宋_GB2312" w:hAnsi="仿宋_GB2312" w:cs="仿宋_GB2312" w:eastAsia="仿宋_GB2312"/>
                <w:sz w:val="21"/>
              </w:rPr>
              <w:t>：</w:t>
            </w:r>
            <w:r>
              <w:rPr>
                <w:rFonts w:ascii="仿宋_GB2312" w:hAnsi="仿宋_GB2312" w:cs="仿宋_GB2312" w:eastAsia="仿宋_GB2312"/>
                <w:sz w:val="21"/>
              </w:rPr>
              <w:t>≥1GHz；</w:t>
            </w:r>
          </w:p>
          <w:p>
            <w:pPr>
              <w:pStyle w:val="null3"/>
              <w:jc w:val="both"/>
            </w:pPr>
            <w:r>
              <w:rPr>
                <w:rFonts w:ascii="仿宋_GB2312" w:hAnsi="仿宋_GB2312" w:cs="仿宋_GB2312" w:eastAsia="仿宋_GB2312"/>
                <w:sz w:val="21"/>
              </w:rPr>
              <w:t>2.通道隔离：各输入通道具备电气隔离功能。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低灵敏度档偏移范围</w:t>
            </w:r>
            <w:r>
              <w:rPr>
                <w:rFonts w:ascii="仿宋_GB2312" w:hAnsi="仿宋_GB2312" w:cs="仿宋_GB2312" w:eastAsia="仿宋_GB2312"/>
                <w:sz w:val="21"/>
              </w:rPr>
              <w:t>：</w:t>
            </w:r>
            <w:r>
              <w:rPr>
                <w:rFonts w:ascii="仿宋_GB2312" w:hAnsi="仿宋_GB2312" w:cs="仿宋_GB2312" w:eastAsia="仿宋_GB2312"/>
                <w:sz w:val="21"/>
              </w:rPr>
              <w:t>≥±5V；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每通道记录长度</w:t>
            </w:r>
            <w:r>
              <w:rPr>
                <w:rFonts w:ascii="仿宋_GB2312" w:hAnsi="仿宋_GB2312" w:cs="仿宋_GB2312" w:eastAsia="仿宋_GB2312"/>
                <w:sz w:val="21"/>
              </w:rPr>
              <w:t>：</w:t>
            </w:r>
            <w:r>
              <w:rPr>
                <w:rFonts w:ascii="仿宋_GB2312" w:hAnsi="仿宋_GB2312" w:cs="仿宋_GB2312" w:eastAsia="仿宋_GB2312"/>
                <w:sz w:val="21"/>
              </w:rPr>
              <w:t>≥10000点</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适配叠加直流偏置信号观察</w:t>
            </w:r>
            <w:r>
              <w:rPr>
                <w:rFonts w:ascii="仿宋_GB2312" w:hAnsi="仿宋_GB2312" w:cs="仿宋_GB2312" w:eastAsia="仿宋_GB2312"/>
                <w:sz w:val="21"/>
              </w:rPr>
              <w:t>功能，并集成总谐波失真（</w:t>
            </w:r>
            <w:r>
              <w:rPr>
                <w:rFonts w:ascii="仿宋_GB2312" w:hAnsi="仿宋_GB2312" w:cs="仿宋_GB2312" w:eastAsia="仿宋_GB2312"/>
                <w:sz w:val="21"/>
              </w:rPr>
              <w:t>THD</w:t>
            </w:r>
            <w:r>
              <w:rPr>
                <w:rFonts w:ascii="仿宋_GB2312" w:hAnsi="仿宋_GB2312" w:cs="仿宋_GB2312" w:eastAsia="仿宋_GB2312"/>
                <w:sz w:val="21"/>
              </w:rPr>
              <w:t>）</w:t>
            </w:r>
            <w:r>
              <w:rPr>
                <w:rFonts w:ascii="仿宋_GB2312" w:hAnsi="仿宋_GB2312" w:cs="仿宋_GB2312" w:eastAsia="仿宋_GB2312"/>
                <w:sz w:val="21"/>
              </w:rPr>
              <w:t>分析模块</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电流探头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带宽</w:t>
            </w:r>
            <w:r>
              <w:rPr>
                <w:rFonts w:ascii="仿宋_GB2312" w:hAnsi="仿宋_GB2312" w:cs="仿宋_GB2312" w:eastAsia="仿宋_GB2312"/>
                <w:sz w:val="21"/>
              </w:rPr>
              <w:t>：</w:t>
            </w:r>
            <w:r>
              <w:rPr>
                <w:rFonts w:ascii="仿宋_GB2312" w:hAnsi="仿宋_GB2312" w:cs="仿宋_GB2312" w:eastAsia="仿宋_GB2312"/>
                <w:sz w:val="21"/>
              </w:rPr>
              <w:t>≥100MHz；</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量程</w:t>
            </w:r>
            <w:r>
              <w:rPr>
                <w:rFonts w:ascii="仿宋_GB2312" w:hAnsi="仿宋_GB2312" w:cs="仿宋_GB2312" w:eastAsia="仿宋_GB2312"/>
                <w:sz w:val="21"/>
              </w:rPr>
              <w:t>：</w:t>
            </w:r>
            <w:r>
              <w:rPr>
                <w:rFonts w:ascii="仿宋_GB2312" w:hAnsi="仿宋_GB2312" w:cs="仿宋_GB2312" w:eastAsia="仿宋_GB2312"/>
                <w:sz w:val="21"/>
              </w:rPr>
              <w:t>量程调节</w:t>
            </w:r>
            <w:r>
              <w:rPr>
                <w:rFonts w:ascii="仿宋_GB2312" w:hAnsi="仿宋_GB2312" w:cs="仿宋_GB2312" w:eastAsia="仿宋_GB2312"/>
                <w:sz w:val="21"/>
              </w:rPr>
              <w:t>，最大测量</w:t>
            </w:r>
            <w:r>
              <w:rPr>
                <w:rFonts w:ascii="仿宋_GB2312" w:hAnsi="仿宋_GB2312" w:cs="仿宋_GB2312" w:eastAsia="仿宋_GB2312"/>
                <w:sz w:val="21"/>
              </w:rPr>
              <w:t>电流量程</w:t>
            </w:r>
            <w:r>
              <w:rPr>
                <w:rFonts w:ascii="仿宋_GB2312" w:hAnsi="仿宋_GB2312" w:cs="仿宋_GB2312" w:eastAsia="仿宋_GB2312"/>
                <w:sz w:val="21"/>
              </w:rPr>
              <w:t>≥</w:t>
            </w:r>
            <w:r>
              <w:rPr>
                <w:rFonts w:ascii="仿宋_GB2312" w:hAnsi="仿宋_GB2312" w:cs="仿宋_GB2312" w:eastAsia="仿宋_GB2312"/>
                <w:sz w:val="21"/>
              </w:rPr>
              <w:t>30A；</w:t>
            </w:r>
          </w:p>
          <w:p>
            <w:pPr>
              <w:pStyle w:val="null3"/>
            </w:pPr>
            <w:r>
              <w:rPr>
                <w:rFonts w:ascii="仿宋_GB2312" w:hAnsi="仿宋_GB2312" w:cs="仿宋_GB2312" w:eastAsia="仿宋_GB2312"/>
                <w:sz w:val="21"/>
              </w:rPr>
              <w:t>3.传输比：具备0.1V/A（对应30A量程），1V/A(对应5A量程)等多档位电流传输比。</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电压探头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带宽</w:t>
            </w:r>
            <w:r>
              <w:rPr>
                <w:rFonts w:ascii="仿宋_GB2312" w:hAnsi="仿宋_GB2312" w:cs="仿宋_GB2312" w:eastAsia="仿宋_GB2312"/>
                <w:sz w:val="21"/>
              </w:rPr>
              <w:t>：</w:t>
            </w:r>
            <w:r>
              <w:rPr>
                <w:rFonts w:ascii="仿宋_GB2312" w:hAnsi="仿宋_GB2312" w:cs="仿宋_GB2312" w:eastAsia="仿宋_GB2312"/>
                <w:sz w:val="21"/>
              </w:rPr>
              <w:t>≥200MHz；</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.测量</w:t>
            </w:r>
            <w:r>
              <w:rPr>
                <w:rFonts w:ascii="仿宋_GB2312" w:hAnsi="仿宋_GB2312" w:cs="仿宋_GB2312" w:eastAsia="仿宋_GB2312"/>
                <w:sz w:val="21"/>
              </w:rPr>
              <w:t>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p>
          <w:p>
            <w:pPr>
              <w:pStyle w:val="null3"/>
            </w:pPr>
            <w:r>
              <w:rPr>
                <w:rFonts w:ascii="仿宋_GB2312" w:hAnsi="仿宋_GB2312" w:cs="仿宋_GB2312" w:eastAsia="仿宋_GB2312"/>
                <w:sz w:val="21"/>
              </w:rPr>
              <w:t>3.上升时间：≤0.2ns</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六、</w:t>
            </w:r>
            <w:r>
              <w:rPr>
                <w:rFonts w:ascii="仿宋_GB2312" w:hAnsi="仿宋_GB2312" w:cs="仿宋_GB2312" w:eastAsia="仿宋_GB2312"/>
                <w:sz w:val="21"/>
              </w:rPr>
              <w:t>充电负载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阻值</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200Ω</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可模拟充电场景，模拟充电电压、电流范围适配主流充电需求</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接采购人通知后7个日历日完成供货、安装、调试并交付使用。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西安理工大学曲江校区西校区（以采购人指定位置为准）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进度款，供应商按照合同规定期限内供货、调试完成，经采购人最终验收合格并签署《验收合格确认书》后，供应商开具全额合法有效的增值税专用发票，达到付款条件起7个工作日内，支付合同总金额的100.0%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①招标文件、投标文件及技术澄清文件（函）；②国家、行业现行有效的技术标准、规范、规程及强制性条文；③设备出厂技术文件、产品合格证、检验报告等质量证明文件。（2）验收条件：①供应商已按照合同规定提供了全部产品及完整的技术资料。②所供货物符合招标文件和投标文件技术规格要求，性能满足要求。③所供货物具备产品合格证。（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4）验收流程：①到货初检（采购人、供应商共同参与）：检查外包装完整性、防伪标识、运输损伤情况；核对货物型号、数量、规格是否与合同一致；检查随机文件（合格证、说明书、保修卡等）。②安装调试验收：设备安装符合实验室要求规范。③性能测试验收（关键指标实测）：连续运行12小时无故障；关键参数与投标文件承诺值对比，符合文件相关规定。④最终验收：签署《验收合格确认书》，产品保修期自最终验收合格之日起算，由供应商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2年（自验收合格出具验收报告之日起算）。质保期内出现任何非人为故意损坏的质量问题，由供应商包换或包退，并承担调换或退货的全部费用。①质量标准：供应商的产品质量应当符合国家行业规定的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提供质保，采购人报修后采购人报修后1小时内快速响应，零小问题24小时内上门解决，其他问题48小时内解决，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为采购人修复瑕疵或更新换代，其间产生的费用均由供应商承担。（2）安装调试及售后服务要求：①安装调试要求：安装标准：设备安装符合实验室要求规范；调试周期：连续12小时无故障运行测试；人员培训：提供相关操作人员培训资料。②配套工程：a. 供应商负责设备卸车、转运、就位，提前2日备齐安装工具及器材，采购方仅提供场地。b. 负责供电、接地、通讯布线及软件安装，保障设备稳定运行，施工安全由供方全责。c. 完工后清理现场，恢复场地原貌，不损坏现有设施。③质量保证：a.按采购人及招标文件要求，为采购人提供全新正品原厂货物，附带合格证明及质检报告，对提供的货物在质保期内，因产品质量而导致的缺陷，供应商须及时提供包修、包换、包退服务；超出质保期后，提供上门维修服务，仅收取成本费。b.平台整机保修2年，涵盖全部零部件，质保期内应及时提供维修、更换原厂配件、校准调试；b. 配套测控软件、通讯系统质保2年，免费升级、修复漏洞；④售后服务：响应时限：采购人报修后1小时内快速响应，零小问题24小时内上门解决，其他问题48小时内解决。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于结果公告发布后3日内提交纸质投标文件肆份（正本壹份、副本叁份），纸质版投标文件需包含目录、无少页、缺页、连续页码（要求首封面为第1页，从第2页开始连续编辑页码），封面加盖投标人公章及骑缝章。纸质版文件内容应与电子版文件内容保持一致。递交地点：西安市雁塔区南二环东段凯森盛世1号B座2606室；（2）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投标函 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完全符合、响应招标文件要求，没有负偏离的得33分；“▲”参数（共8项）负偏离一项扣3分，非“▲”参数（共18项）负偏离一项扣0.5分，扣完为止。 【备注：所有标注“▲”的参数均须提供佐证材料，佐证材料包括：国家认可的第三方检测机构出具的检测报告、技术白皮书、产品彩页、官网功能截图任意一种，经评审专家审定得分。未提供不得分。】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根据项目实际需求，提供完整详细的项目实施方案。内容包含①供货组织及进度安排②对接及运输方案③安装调试方案及人员、物力调配安排。 二、评审标准 1、完整性：方案须全面，对评审内容中的各项要求有详细描述； 2、可实施性及针对性：切合本项目实际情况，实施步骤清晰、内容科学合理。 三、赋分依据（满分6分） ①供货组织及进度安排：每完全满足一个评审标准得1分，满分2分； ②对接及运输方案:每完全满足一个评审标准得1分，满分2分。 ③安装调试方案及人员、物力调配安排：每完全满足一个评审标准得1分，满分2分;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根据项目实际需求，提供完整详细的项目质量保证方案。内容包含①产品性能②质量保证措施。 二、评审标准 1、完整性：方案须全面，对评审内容中的各项要求有详细描述； 2、可实施性及针对性：切合本项目实际情况，实施步骤清晰、内容科学合理。 三、赋分依据（满分6分） ①产品性能：每完全满足一个评审标准得1.5分，满分3分； ②质量保证措施：每完全满足一个评审标准得1.5分，满分3分;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根据项目实际需求提供售后服务方案。内容包含①售后服务内容及响应时间、方式②售后保障（处理、补救）措施及售后回访维护。 二、评审标准 1、完整性：方案须全面，对评审内容中的各项要求描述详细； 2、可实施性及针对性：切合本项目实际情况，实施步骤清晰、内容科学合理。 三、赋分依据（满分4分） ①售后服务内容及响应时间、方式：每完全满足一个评审标准得1分，满分2分； ②售后保障（处理、补救）措施及售后回访维护:每完全满足一个评审标准得1分，满分2分。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根据项目实际需求提供增值服务承诺。内容包含①硬件、软件更新服务②配件更换服务及其他服务。 二、评审标准 1、完整性：方案须全面，对评审内容中的各项要求描述详细； 2、可实施性及针对性：切合本项目实际情况，实施步骤清晰、内容科学合理。 三、赋分依据（满分4分） ①硬件、软件更新服务：每完全满足一个评审标准得1分，满分2分； ②配件更换服务及其他服务:每完全满足一个评审标准得1分，满分2分。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质保期高于采购文件要求（2年）的，每增加一年得1分，最高得2分。无承诺不得分。 【提供承诺书并加盖公章】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2、有效最低报价为基准价得40分。 3、按（评标基准价/评审价格）×40的公式计算报价得分。 4、投标报价不完整的，不进入评标基准价的计算，本项得0分。 备注：本项目专门面向中小企业采购，不再进行政策性扣减。</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详见附件：供应商认为有必要补充说明的事项</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