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版本号：SZT2026-SN-XC-ZC-FW-038020260512001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辅助平台整体迁移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SZT2026-SN-XC-ZC-FW-0380</w:t>
      </w:r>
      <w:r>
        <w:br/>
      </w:r>
      <w:r>
        <w:br/>
      </w:r>
      <w:r>
        <w:br/>
      </w:r>
    </w:p>
    <w:p>
      <w:pPr>
        <w:pStyle w:val="null3"/>
        <w:jc w:val="center"/>
        <w:outlineLvl w:val="2"/>
      </w:pPr>
      <w:r>
        <w:rPr>
          <w:rFonts w:ascii="仿宋_GB2312" w:hAnsi="仿宋_GB2312" w:cs="仿宋_GB2312" w:eastAsia="仿宋_GB2312"/>
          <w:sz w:val="28"/>
          <w:b/>
        </w:rPr>
        <w:t>西安市公共资源交易中心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西安市公共资源交易中心</w:t>
      </w:r>
      <w:r>
        <w:rPr>
          <w:rFonts w:ascii="仿宋_GB2312" w:hAnsi="仿宋_GB2312" w:cs="仿宋_GB2312" w:eastAsia="仿宋_GB2312"/>
        </w:rPr>
        <w:t>委托，拟对</w:t>
      </w:r>
      <w:r>
        <w:rPr>
          <w:rFonts w:ascii="仿宋_GB2312" w:hAnsi="仿宋_GB2312" w:cs="仿宋_GB2312" w:eastAsia="仿宋_GB2312"/>
        </w:rPr>
        <w:t>辅助平台整体迁移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SZT2026-SN-XC-ZC-FW-0380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辅助平台整体迁移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为辅助软件平台系统迁移，覆盖不见面开标系统、电子档案管理系统、分散席位制评标系统、电子见证平台四大系统，实现所有系统在新云平台及指定环境合规部署、稳定运行，全面满足公共资源交易全流程线上化、智能化管理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西安市公共资源交易中心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西安经济技术开发区文景路（中段）16号白桦林国际B座1-11层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029-86510029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采购包1：380,478.00元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成交通知书时向采购代理机构支付招标代理服务费。招标代理服务费的收取参照国家计委颁布的《招标代理服务收费管理暂行办法》（计价格〔2002〕1980号）和（发改办价格〔2003〕857号）中服务类收费标准收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西安市公共资源交易中心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西安市公共资源交易中心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西安市公共资源交易中心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1、服务结束后，按照西安市信息化项目验收相关要求进行验收。 2、验收依据： （1）磋商文件、响应文件及合同文本。 （2）国家和行业制定的相应标准和规范。 （3）供应商出具的服务自检报告。 4、验收合格后，项目验收单作为对服务的最终认可。 5、供应商向采购人提交服务实施过程中的所有资料，以便采购人日后管理和维护。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邮编：710015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为辅助软件平台系统迁移，覆盖不见面开标系统、电子档案管理系统、分散席位制评标系统、电子见证平台四大系统，实现所有系统在新云平台及指定环境合规部署、稳定运行，全面满足公共资源交易全流程线上化、智能化管理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380,478.00</w:t>
      </w:r>
    </w:p>
    <w:p>
      <w:pPr>
        <w:pStyle w:val="null3"/>
      </w:pPr>
      <w:r>
        <w:rPr>
          <w:rFonts w:ascii="仿宋_GB2312" w:hAnsi="仿宋_GB2312" w:cs="仿宋_GB2312" w:eastAsia="仿宋_GB2312"/>
        </w:rPr>
        <w:t>采购包最高限价（元）: 380,478.00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辅助平台整体迁移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380,478.00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标的名称：辅助平台整体迁移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一、概述</w:t>
            </w:r>
          </w:p>
          <w:p>
            <w:pPr>
              <w:pStyle w:val="null3"/>
              <w:ind w:firstLine="400"/>
              <w:jc w:val="both"/>
            </w:pPr>
            <w:r>
              <w:rPr>
                <w:rFonts w:ascii="仿宋_GB2312" w:hAnsi="仿宋_GB2312" w:cs="仿宋_GB2312" w:eastAsia="仿宋_GB2312"/>
                <w:sz w:val="20"/>
              </w:rPr>
              <w:t>本次针对中心辅助软件平台系统开展专项迁移工作，覆盖不见面开标系统、电子档案管理系统、分散席位制评标系统、电子见证平台四大系统，实现所有系统在新云平台及指定环境合规部署、稳定运行，全面满足公共资源交易全流程线上化、智能化管理需求。</w:t>
            </w:r>
          </w:p>
          <w:p>
            <w:pPr>
              <w:pStyle w:val="null3"/>
              <w:ind w:firstLine="400"/>
              <w:jc w:val="both"/>
            </w:pPr>
            <w:r>
              <w:rPr>
                <w:rFonts w:ascii="仿宋_GB2312" w:hAnsi="仿宋_GB2312" w:cs="仿宋_GB2312" w:eastAsia="仿宋_GB2312"/>
                <w:sz w:val="20"/>
              </w:rPr>
              <w:t>二、迁移范围</w:t>
            </w:r>
          </w:p>
          <w:p>
            <w:pPr>
              <w:pStyle w:val="null3"/>
              <w:ind w:firstLine="400"/>
              <w:jc w:val="both"/>
            </w:pPr>
            <w:r>
              <w:rPr>
                <w:rFonts w:ascii="仿宋_GB2312" w:hAnsi="仿宋_GB2312" w:cs="仿宋_GB2312" w:eastAsia="仿宋_GB2312"/>
                <w:sz w:val="20"/>
              </w:rPr>
              <w:t>不见面开标系统：打破传统线下开标模式，将全流程开标环节迁移至互联网平台，打造安全可靠、操作便捷的线上交易载体，践行</w:t>
            </w:r>
            <w:r>
              <w:rPr>
                <w:rFonts w:ascii="仿宋_GB2312" w:hAnsi="仿宋_GB2312" w:cs="仿宋_GB2312" w:eastAsia="仿宋_GB2312"/>
                <w:sz w:val="20"/>
              </w:rPr>
              <w:t>“放管服”改革要求，实现交易主体“不见面、零跑动、降成本”，达成与线下开标一致的业务效果，真正实现“线下不见面、线上面对面”。</w:t>
            </w:r>
          </w:p>
          <w:p>
            <w:pPr>
              <w:pStyle w:val="null3"/>
              <w:ind w:firstLine="400"/>
              <w:jc w:val="both"/>
            </w:pPr>
            <w:r>
              <w:rPr>
                <w:rFonts w:ascii="仿宋_GB2312" w:hAnsi="仿宋_GB2312" w:cs="仿宋_GB2312" w:eastAsia="仿宋_GB2312"/>
                <w:sz w:val="20"/>
              </w:rPr>
              <w:t>电子档案管理系统：构建全流程电子档案闭环管理体系，直接对接公共资源电子交易系统导入存量电子档案，针对纸质档案开发专属扫描录入节点，全程追踪材料抓取状态；待档案材料齐全后提交审核，由专人完成归档、存储、调阅全流程管理，实现交易档案数字化、可追溯。</w:t>
            </w:r>
          </w:p>
          <w:p>
            <w:pPr>
              <w:pStyle w:val="null3"/>
              <w:ind w:firstLine="400"/>
              <w:jc w:val="both"/>
            </w:pPr>
            <w:r>
              <w:rPr>
                <w:rFonts w:ascii="仿宋_GB2312" w:hAnsi="仿宋_GB2312" w:cs="仿宋_GB2312" w:eastAsia="仿宋_GB2312"/>
                <w:sz w:val="20"/>
              </w:rPr>
              <w:t>分散席位制评标系统：革新传统集中评标模式，采用分散席位制实现评标席位智能分配，破解人力成本高、场地资源紧张、评标过程监管难等痛点，推动评标场所与席位公开共享；通过原有场地软硬件升级，实现专家自助入场、评标过程智能监管、设备远程管控，全面提升场地综合服务效能。</w:t>
            </w:r>
          </w:p>
          <w:p>
            <w:pPr>
              <w:pStyle w:val="null3"/>
              <w:ind w:firstLine="400"/>
              <w:jc w:val="both"/>
            </w:pPr>
            <w:r>
              <w:rPr>
                <w:rFonts w:ascii="仿宋_GB2312" w:hAnsi="仿宋_GB2312" w:cs="仿宋_GB2312" w:eastAsia="仿宋_GB2312"/>
                <w:sz w:val="20"/>
              </w:rPr>
              <w:t>电子见证平台：聚焦交易全过程自动留痕、可视化展示，将零散交易数据整合序列化、逻辑化，方便见证人员实时掌握交易动态；具备数据变更智能比对、历史版本追溯功能，辅助见证人员快速排查业务异常，强化交易全过程监督管控。</w:t>
            </w:r>
          </w:p>
          <w:p>
            <w:pPr>
              <w:pStyle w:val="null3"/>
              <w:ind w:firstLine="400"/>
              <w:jc w:val="both"/>
            </w:pPr>
            <w:r>
              <w:rPr>
                <w:rFonts w:ascii="仿宋_GB2312" w:hAnsi="仿宋_GB2312" w:cs="仿宋_GB2312" w:eastAsia="仿宋_GB2312"/>
                <w:sz w:val="20"/>
              </w:rPr>
              <w:t>三、迁移目标</w:t>
            </w:r>
          </w:p>
          <w:p>
            <w:pPr>
              <w:pStyle w:val="null3"/>
              <w:ind w:firstLine="400"/>
              <w:jc w:val="both"/>
            </w:pPr>
            <w:r>
              <w:rPr>
                <w:rFonts w:ascii="仿宋_GB2312" w:hAnsi="仿宋_GB2312" w:cs="仿宋_GB2312" w:eastAsia="仿宋_GB2312"/>
                <w:sz w:val="20"/>
              </w:rPr>
              <w:t>电子见证平台核心承担交易实时视频见证职责，对网络带宽、传输延迟要求极高，规划采用本地部署模式；其余不见面开标、电子档案管理、分散席位制评标四大系统，统一部署至云平台运行，兼顾资源共享、运维便捷性与业务稳定性。</w:t>
            </w:r>
          </w:p>
          <w:p>
            <w:pPr>
              <w:pStyle w:val="null3"/>
              <w:ind w:firstLine="400"/>
              <w:jc w:val="both"/>
            </w:pPr>
            <w:r>
              <w:rPr>
                <w:rFonts w:ascii="仿宋_GB2312" w:hAnsi="仿宋_GB2312" w:cs="仿宋_GB2312" w:eastAsia="仿宋_GB2312"/>
                <w:sz w:val="20"/>
              </w:rPr>
              <w:t>本次迁移工作以</w:t>
            </w:r>
            <w:r>
              <w:rPr>
                <w:rFonts w:ascii="仿宋_GB2312" w:hAnsi="仿宋_GB2312" w:cs="仿宋_GB2312" w:eastAsia="仿宋_GB2312"/>
                <w:sz w:val="20"/>
              </w:rPr>
              <w:t>“数据不丢失、业务不中断、切换无卡顿”为核心原则，全程覆盖范围确认、方案设计、工具适配、落地实施四大环节，确保核心业务数据全量、准确迁移，完整继承原有数据库服务能力，保障系统升级前后业务连贯性、数据完整性。同步构建标准化数据资源体系，为后续跨部门、跨层级、跨区域数据互认共享奠定基础，实现数据资产统一归档、高效管理、合规应用。</w:t>
            </w:r>
          </w:p>
          <w:p>
            <w:pPr>
              <w:pStyle w:val="null3"/>
              <w:ind w:firstLine="400"/>
              <w:jc w:val="both"/>
            </w:pPr>
            <w:r>
              <w:rPr>
                <w:rFonts w:ascii="仿宋_GB2312" w:hAnsi="仿宋_GB2312" w:cs="仿宋_GB2312" w:eastAsia="仿宋_GB2312"/>
                <w:sz w:val="20"/>
              </w:rPr>
              <w:t>迁移实施采用新老系统并行运行模式，全程不中断原有业务服务，不影响各部门日常办公。新系统上线后，新增标段、项目信息直接纳入新数据库归档；老系统存量项目继续在原环境办结，办结后统一迁移至新平台。待新平台试运行稳定、老系统存量项目全部办结后，正式停用老系统，后续所有业务数据统一在新平台归集管理。</w:t>
            </w:r>
          </w:p>
          <w:p>
            <w:pPr>
              <w:pStyle w:val="null3"/>
              <w:ind w:firstLine="400"/>
              <w:jc w:val="both"/>
            </w:pPr>
            <w:r>
              <w:rPr>
                <w:rFonts w:ascii="仿宋_GB2312" w:hAnsi="仿宋_GB2312" w:cs="仿宋_GB2312" w:eastAsia="仿宋_GB2312"/>
                <w:sz w:val="20"/>
              </w:rPr>
              <w:t>四、数据迁移方案</w:t>
            </w:r>
          </w:p>
          <w:p>
            <w:pPr>
              <w:pStyle w:val="null3"/>
              <w:ind w:firstLine="400"/>
              <w:jc w:val="both"/>
            </w:pPr>
            <w:r>
              <w:rPr>
                <w:rFonts w:ascii="仿宋_GB2312" w:hAnsi="仿宋_GB2312" w:cs="仿宋_GB2312" w:eastAsia="仿宋_GB2312"/>
                <w:sz w:val="20"/>
              </w:rPr>
              <w:t>本次迁移分为结构化数据迁移和非结构化数据迁移两大模块：结构化数据依托招投标专用迁移工具实施，保障数据转换精准；非结构化数据采用拷贝迁移模式，确保文件完整无损。迁移全流程配套校验、测试环节，严格核查数据完整性、准确性，杜绝数据丢失、错乱问题。</w:t>
            </w:r>
          </w:p>
          <w:p>
            <w:pPr>
              <w:pStyle w:val="null3"/>
              <w:ind w:firstLine="400"/>
              <w:jc w:val="both"/>
            </w:pPr>
            <w:r>
              <w:rPr>
                <w:rFonts w:ascii="仿宋_GB2312" w:hAnsi="仿宋_GB2312" w:cs="仿宋_GB2312" w:eastAsia="仿宋_GB2312"/>
                <w:sz w:val="20"/>
              </w:rPr>
              <w:t>(一) 迁移规划</w:t>
            </w:r>
          </w:p>
          <w:p>
            <w:pPr>
              <w:pStyle w:val="null3"/>
              <w:ind w:firstLine="400"/>
              <w:jc w:val="both"/>
            </w:pPr>
            <w:r>
              <w:rPr>
                <w:rFonts w:ascii="仿宋_GB2312" w:hAnsi="仿宋_GB2312" w:cs="仿宋_GB2312" w:eastAsia="仿宋_GB2312"/>
                <w:sz w:val="20"/>
              </w:rPr>
              <w:t>1、迁移范围确认</w:t>
            </w:r>
          </w:p>
          <w:p>
            <w:pPr>
              <w:pStyle w:val="null3"/>
              <w:ind w:firstLine="400"/>
              <w:jc w:val="both"/>
            </w:pPr>
            <w:r>
              <w:rPr>
                <w:rFonts w:ascii="仿宋_GB2312" w:hAnsi="仿宋_GB2312" w:cs="仿宋_GB2312" w:eastAsia="仿宋_GB2312"/>
                <w:sz w:val="20"/>
              </w:rPr>
              <w:t>中心交易系统由多子系统、多业务模块组成，迁移前全面摸排现有系统运行现状，明确本次迁移边界与核心要求，具体范围如下：</w:t>
            </w:r>
          </w:p>
          <w:p>
            <w:pPr>
              <w:pStyle w:val="null3"/>
              <w:ind w:firstLine="400"/>
              <w:jc w:val="both"/>
            </w:pPr>
            <w:r>
              <w:rPr>
                <w:rFonts w:ascii="仿宋_GB2312" w:hAnsi="仿宋_GB2312" w:cs="仿宋_GB2312" w:eastAsia="仿宋_GB2312"/>
                <w:sz w:val="20"/>
              </w:rPr>
              <w:t>涉及子系统：不见面开标系统、电子档案管理系统、分散席位制评标系统、电子见证平台；</w:t>
            </w:r>
          </w:p>
          <w:p>
            <w:pPr>
              <w:pStyle w:val="null3"/>
              <w:ind w:firstLine="400"/>
              <w:jc w:val="both"/>
            </w:pPr>
            <w:r>
              <w:rPr>
                <w:rFonts w:ascii="仿宋_GB2312" w:hAnsi="仿宋_GB2312" w:cs="仿宋_GB2312" w:eastAsia="仿宋_GB2312"/>
                <w:sz w:val="20"/>
              </w:rPr>
              <w:t>涉及业务数据：工程建设、政府采购、国有产权、土地交易、开标数据、评标数据等全品类交易数据；</w:t>
            </w:r>
          </w:p>
          <w:p>
            <w:pPr>
              <w:pStyle w:val="null3"/>
              <w:ind w:firstLine="400"/>
              <w:jc w:val="both"/>
            </w:pPr>
            <w:r>
              <w:rPr>
                <w:rFonts w:ascii="仿宋_GB2312" w:hAnsi="仿宋_GB2312" w:cs="仿宋_GB2312" w:eastAsia="仿宋_GB2312"/>
                <w:sz w:val="20"/>
              </w:rPr>
              <w:t>涉及附件资料：各类主体库信息、业务附件、评标报告扫描件、档案归档文件等非结构化文件；</w:t>
            </w:r>
          </w:p>
          <w:p>
            <w:pPr>
              <w:pStyle w:val="null3"/>
              <w:ind w:firstLine="400"/>
              <w:jc w:val="both"/>
            </w:pPr>
            <w:r>
              <w:rPr>
                <w:rFonts w:ascii="仿宋_GB2312" w:hAnsi="仿宋_GB2312" w:cs="仿宋_GB2312" w:eastAsia="仿宋_GB2312"/>
                <w:sz w:val="20"/>
              </w:rPr>
              <w:t>迁移原则：仅迁移交易系统相关结构化数据及对应附件文件，无关冗余数据不纳入迁移范围。</w:t>
            </w:r>
          </w:p>
          <w:p>
            <w:pPr>
              <w:pStyle w:val="null3"/>
              <w:ind w:firstLine="400"/>
              <w:jc w:val="both"/>
            </w:pPr>
            <w:r>
              <w:rPr>
                <w:rFonts w:ascii="仿宋_GB2312" w:hAnsi="仿宋_GB2312" w:cs="仿宋_GB2312" w:eastAsia="仿宋_GB2312"/>
                <w:sz w:val="20"/>
              </w:rPr>
              <w:t>2、迁移测算和设计</w:t>
            </w:r>
          </w:p>
          <w:p>
            <w:pPr>
              <w:pStyle w:val="null3"/>
              <w:ind w:firstLine="400"/>
              <w:jc w:val="both"/>
            </w:pPr>
            <w:r>
              <w:rPr>
                <w:rFonts w:ascii="仿宋_GB2312" w:hAnsi="仿宋_GB2312" w:cs="仿宋_GB2312" w:eastAsia="仿宋_GB2312"/>
                <w:sz w:val="20"/>
              </w:rPr>
              <w:t>围绕数据迁移可行性、资源需求、业务适配性开展全面测算与方案设计，核心工作内容如下：</w:t>
            </w:r>
          </w:p>
          <w:p>
            <w:pPr>
              <w:pStyle w:val="null3"/>
              <w:ind w:firstLine="400"/>
              <w:jc w:val="both"/>
            </w:pPr>
            <w:r>
              <w:rPr>
                <w:rFonts w:ascii="仿宋_GB2312" w:hAnsi="仿宋_GB2312" w:cs="仿宋_GB2312" w:eastAsia="仿宋_GB2312"/>
                <w:sz w:val="20"/>
              </w:rPr>
              <w:t>核对新老系统数据表结构，确认可直接表对表迁移的数据范围；</w:t>
            </w:r>
          </w:p>
          <w:p>
            <w:pPr>
              <w:pStyle w:val="null3"/>
              <w:ind w:firstLine="400"/>
              <w:jc w:val="both"/>
            </w:pPr>
            <w:r>
              <w:rPr>
                <w:rFonts w:ascii="仿宋_GB2312" w:hAnsi="仿宋_GB2312" w:cs="仿宋_GB2312" w:eastAsia="仿宋_GB2312"/>
                <w:sz w:val="20"/>
              </w:rPr>
              <w:t>梳理字段值转换、跨表存储逻辑调整等复杂数据场景，厘清业务关联关系，设计数据清洗、转换规则；</w:t>
            </w:r>
          </w:p>
          <w:p>
            <w:pPr>
              <w:pStyle w:val="null3"/>
              <w:ind w:firstLine="400"/>
              <w:jc w:val="both"/>
            </w:pPr>
            <w:r>
              <w:rPr>
                <w:rFonts w:ascii="仿宋_GB2312" w:hAnsi="仿宋_GB2312" w:cs="仿宋_GB2312" w:eastAsia="仿宋_GB2312"/>
                <w:sz w:val="20"/>
              </w:rPr>
              <w:t>比对新老系统功能差异，确认老系统冗余字段是否需冗余存储至新系统，避免功能缺失；</w:t>
            </w:r>
          </w:p>
          <w:p>
            <w:pPr>
              <w:pStyle w:val="null3"/>
              <w:ind w:firstLine="400"/>
              <w:jc w:val="both"/>
            </w:pPr>
            <w:r>
              <w:rPr>
                <w:rFonts w:ascii="仿宋_GB2312" w:hAnsi="仿宋_GB2312" w:cs="仿宋_GB2312" w:eastAsia="仿宋_GB2312"/>
                <w:sz w:val="20"/>
              </w:rPr>
              <w:t>评标数据仅迁移标段信息、投标人信息、评标报告等基础数据，详细历史数据保留跳转老系统查询权限；</w:t>
            </w:r>
          </w:p>
          <w:p>
            <w:pPr>
              <w:pStyle w:val="null3"/>
              <w:ind w:firstLine="400"/>
              <w:jc w:val="both"/>
            </w:pPr>
            <w:r>
              <w:rPr>
                <w:rFonts w:ascii="仿宋_GB2312" w:hAnsi="仿宋_GB2312" w:cs="仿宋_GB2312" w:eastAsia="仿宋_GB2312"/>
                <w:sz w:val="20"/>
              </w:rPr>
              <w:t>明确非结构化数据（附件文件）的迁移路径、存储方式与校验标准；</w:t>
            </w:r>
          </w:p>
          <w:p>
            <w:pPr>
              <w:pStyle w:val="null3"/>
              <w:ind w:firstLine="400"/>
              <w:jc w:val="both"/>
            </w:pPr>
            <w:r>
              <w:rPr>
                <w:rFonts w:ascii="仿宋_GB2312" w:hAnsi="仿宋_GB2312" w:cs="仿宋_GB2312" w:eastAsia="仿宋_GB2312"/>
                <w:sz w:val="20"/>
              </w:rPr>
              <w:t>测算结构化、非结构化数据体量与存储空间，规划服务器扩容资源，数据量超标采用分表存储，文件超标采用分布式文件存储；</w:t>
            </w:r>
          </w:p>
          <w:p>
            <w:pPr>
              <w:pStyle w:val="null3"/>
              <w:ind w:firstLine="400"/>
              <w:jc w:val="both"/>
            </w:pPr>
            <w:r>
              <w:rPr>
                <w:rFonts w:ascii="仿宋_GB2312" w:hAnsi="仿宋_GB2312" w:cs="仿宋_GB2312" w:eastAsia="仿宋_GB2312"/>
                <w:sz w:val="20"/>
              </w:rPr>
              <w:t>搭建专属迁移测试环境，明确服务器、网络配置要求，提前开展全流程迁移验证；</w:t>
            </w:r>
          </w:p>
          <w:p>
            <w:pPr>
              <w:pStyle w:val="null3"/>
              <w:ind w:firstLine="400"/>
              <w:jc w:val="both"/>
            </w:pPr>
            <w:r>
              <w:rPr>
                <w:rFonts w:ascii="仿宋_GB2312" w:hAnsi="仿宋_GB2312" w:cs="仿宋_GB2312" w:eastAsia="仿宋_GB2312"/>
                <w:sz w:val="20"/>
              </w:rPr>
              <w:t>核算正式迁移所需服务器、网络、存储等资源，提前完成资源筹备。</w:t>
            </w:r>
          </w:p>
          <w:p>
            <w:pPr>
              <w:pStyle w:val="null3"/>
              <w:ind w:firstLine="400"/>
              <w:jc w:val="both"/>
            </w:pPr>
            <w:r>
              <w:rPr>
                <w:rFonts w:ascii="仿宋_GB2312" w:hAnsi="仿宋_GB2312" w:cs="仿宋_GB2312" w:eastAsia="仿宋_GB2312"/>
                <w:sz w:val="20"/>
              </w:rPr>
              <w:t>3、制定迁移计划</w:t>
            </w:r>
          </w:p>
          <w:p>
            <w:pPr>
              <w:pStyle w:val="null3"/>
              <w:ind w:firstLine="400"/>
              <w:jc w:val="both"/>
            </w:pPr>
            <w:r>
              <w:rPr>
                <w:rFonts w:ascii="仿宋_GB2312" w:hAnsi="仿宋_GB2312" w:cs="仿宋_GB2312" w:eastAsia="仿宋_GB2312"/>
                <w:sz w:val="20"/>
              </w:rPr>
              <w:t>制定精细化迁移实施计划，明确步骤、时限、责任，形成闭环管控，核心流程如下：</w:t>
            </w:r>
          </w:p>
          <w:p>
            <w:pPr>
              <w:pStyle w:val="null3"/>
              <w:ind w:firstLine="400"/>
              <w:jc w:val="both"/>
            </w:pPr>
            <w:r>
              <w:rPr>
                <w:rFonts w:ascii="仿宋_GB2312" w:hAnsi="仿宋_GB2312" w:cs="仿宋_GB2312" w:eastAsia="仿宋_GB2312"/>
                <w:sz w:val="20"/>
              </w:rPr>
              <w:t>采用新老系统并行模式，新系统上线后老系统停止新增项目，待老系统存量项目全部办结后启动数据迁移，与相关部门敲定迁移启动节点；</w:t>
            </w:r>
          </w:p>
          <w:p>
            <w:pPr>
              <w:pStyle w:val="null3"/>
              <w:ind w:firstLine="400"/>
              <w:jc w:val="both"/>
            </w:pPr>
            <w:r>
              <w:rPr>
                <w:rFonts w:ascii="仿宋_GB2312" w:hAnsi="仿宋_GB2312" w:cs="仿宋_GB2312" w:eastAsia="仿宋_GB2312"/>
                <w:sz w:val="20"/>
              </w:rPr>
              <w:t>拆解迁移工作任务，细化至最小执行单元，明确责任人与交付成果（迁移范围清单、数据映射规则、网络拓扑图、对接清单、迁移核查表等）；</w:t>
            </w:r>
          </w:p>
          <w:p>
            <w:pPr>
              <w:pStyle w:val="null3"/>
              <w:ind w:firstLine="400"/>
              <w:jc w:val="both"/>
            </w:pPr>
            <w:r>
              <w:rPr>
                <w:rFonts w:ascii="仿宋_GB2312" w:hAnsi="仿宋_GB2312" w:cs="仿宋_GB2312" w:eastAsia="仿宋_GB2312"/>
                <w:sz w:val="20"/>
              </w:rPr>
              <w:t>搭建测试环境开展模拟迁移，验证方案可行性，查漏补缺完善流程，确保测试环境迁移零失误；</w:t>
            </w:r>
          </w:p>
          <w:p>
            <w:pPr>
              <w:pStyle w:val="null3"/>
              <w:ind w:firstLine="400"/>
              <w:jc w:val="both"/>
            </w:pPr>
            <w:r>
              <w:rPr>
                <w:rFonts w:ascii="仿宋_GB2312" w:hAnsi="仿宋_GB2312" w:cs="仿宋_GB2312" w:eastAsia="仿宋_GB2312"/>
                <w:sz w:val="20"/>
              </w:rPr>
              <w:t>核查正式迁移前置条件，全部达标后提交迁移工作申请，完成授权确认，提前发布系统升级通知，告知相关部门及用户；</w:t>
            </w:r>
          </w:p>
          <w:p>
            <w:pPr>
              <w:pStyle w:val="null3"/>
              <w:ind w:firstLine="400"/>
              <w:jc w:val="both"/>
            </w:pPr>
            <w:r>
              <w:rPr>
                <w:rFonts w:ascii="仿宋_GB2312" w:hAnsi="仿宋_GB2312" w:cs="仿宋_GB2312" w:eastAsia="仿宋_GB2312"/>
                <w:sz w:val="20"/>
              </w:rPr>
              <w:t>严格按照既定方案开展正式环境数据迁移，全程管控操作流程；</w:t>
            </w:r>
          </w:p>
          <w:p>
            <w:pPr>
              <w:pStyle w:val="null3"/>
              <w:ind w:firstLine="400"/>
              <w:jc w:val="both"/>
            </w:pPr>
            <w:r>
              <w:rPr>
                <w:rFonts w:ascii="仿宋_GB2312" w:hAnsi="仿宋_GB2312" w:cs="仿宋_GB2312" w:eastAsia="仿宋_GB2312"/>
                <w:sz w:val="20"/>
              </w:rPr>
              <w:t>迁移完成后对照核查表逐项开展功能、数据验证，确保系统可用、数据完整；</w:t>
            </w:r>
          </w:p>
          <w:p>
            <w:pPr>
              <w:pStyle w:val="null3"/>
              <w:ind w:firstLine="400"/>
              <w:jc w:val="both"/>
            </w:pPr>
            <w:r>
              <w:rPr>
                <w:rFonts w:ascii="仿宋_GB2312" w:hAnsi="仿宋_GB2312" w:cs="仿宋_GB2312" w:eastAsia="仿宋_GB2312"/>
                <w:sz w:val="20"/>
              </w:rPr>
              <w:t>确认迁移结果无误后，完成验收闭环，正式启用新系统数据。</w:t>
            </w:r>
          </w:p>
          <w:p>
            <w:pPr>
              <w:pStyle w:val="null3"/>
              <w:ind w:firstLine="400"/>
              <w:jc w:val="both"/>
            </w:pPr>
            <w:r>
              <w:rPr>
                <w:rFonts w:ascii="仿宋_GB2312" w:hAnsi="仿宋_GB2312" w:cs="仿宋_GB2312" w:eastAsia="仿宋_GB2312"/>
                <w:sz w:val="20"/>
              </w:rPr>
              <w:t>(二) 执行迁移</w:t>
            </w:r>
          </w:p>
          <w:p>
            <w:pPr>
              <w:pStyle w:val="null3"/>
              <w:ind w:firstLine="400"/>
              <w:jc w:val="both"/>
            </w:pPr>
            <w:r>
              <w:rPr>
                <w:rFonts w:ascii="仿宋_GB2312" w:hAnsi="仿宋_GB2312" w:cs="仿宋_GB2312" w:eastAsia="仿宋_GB2312"/>
                <w:sz w:val="20"/>
              </w:rPr>
              <w:t>1、结构化数据迁移</w:t>
            </w:r>
          </w:p>
          <w:p>
            <w:pPr>
              <w:pStyle w:val="null3"/>
              <w:ind w:firstLine="400"/>
              <w:jc w:val="both"/>
            </w:pPr>
            <w:r>
              <w:rPr>
                <w:rFonts w:ascii="仿宋_GB2312" w:hAnsi="仿宋_GB2312" w:cs="仿宋_GB2312" w:eastAsia="仿宋_GB2312"/>
                <w:sz w:val="20"/>
              </w:rPr>
              <w:t>结构化数据存储于数据库中，本次采用</w:t>
            </w:r>
            <w:r>
              <w:rPr>
                <w:rFonts w:ascii="仿宋_GB2312" w:hAnsi="仿宋_GB2312" w:cs="仿宋_GB2312" w:eastAsia="仿宋_GB2312"/>
                <w:sz w:val="20"/>
              </w:rPr>
              <w:t>DXP专用迁移工具开展迁移工作。先行部署迁移服务，针对表结构差异、字段值需转换的场景，完成数据清洗、格式转换，将合规数据存储至新系统数据库，确保数据逻辑一致、字段匹配准确。</w:t>
            </w:r>
          </w:p>
          <w:p>
            <w:pPr>
              <w:pStyle w:val="null3"/>
              <w:ind w:firstLine="400"/>
              <w:jc w:val="both"/>
            </w:pPr>
            <w:r>
              <w:rPr>
                <w:rFonts w:ascii="仿宋_GB2312" w:hAnsi="仿宋_GB2312" w:cs="仿宋_GB2312" w:eastAsia="仿宋_GB2312"/>
                <w:sz w:val="20"/>
              </w:rPr>
              <w:t>2、非结构化数据迁移</w:t>
            </w:r>
          </w:p>
          <w:p>
            <w:pPr>
              <w:pStyle w:val="null3"/>
              <w:ind w:firstLine="400"/>
              <w:jc w:val="both"/>
            </w:pPr>
            <w:r>
              <w:rPr>
                <w:rFonts w:ascii="仿宋_GB2312" w:hAnsi="仿宋_GB2312" w:cs="仿宋_GB2312" w:eastAsia="仿宋_GB2312"/>
                <w:sz w:val="20"/>
              </w:rPr>
              <w:t>非结构化数据主要为招投标业务附件、档案文件、客服交互日志等，因存储模式不同，差异化制定迁移方案，具体分为三类场景：</w:t>
            </w:r>
          </w:p>
          <w:p>
            <w:pPr>
              <w:pStyle w:val="null3"/>
              <w:ind w:firstLine="400"/>
              <w:jc w:val="both"/>
            </w:pPr>
            <w:r>
              <w:rPr>
                <w:rFonts w:ascii="仿宋_GB2312" w:hAnsi="仿宋_GB2312" w:cs="仿宋_GB2312" w:eastAsia="仿宋_GB2312"/>
                <w:sz w:val="20"/>
              </w:rPr>
              <w:t>DB模式存储：原系统将文件转换为文件流存储于数据库，迁移时先将文件流转换为实体文件，再执行文件迁移操作；</w:t>
            </w:r>
          </w:p>
          <w:p>
            <w:pPr>
              <w:pStyle w:val="null3"/>
              <w:ind w:firstLine="400"/>
              <w:jc w:val="both"/>
            </w:pPr>
            <w:r>
              <w:rPr>
                <w:rFonts w:ascii="仿宋_GB2312" w:hAnsi="仿宋_GB2312" w:cs="仿宋_GB2312" w:eastAsia="仿宋_GB2312"/>
                <w:sz w:val="20"/>
              </w:rPr>
              <w:t>实体盘符文件服务器：新服务器为物理机时，可直接拆卸原磁盘挂载至新服务器；条件不允许时采用复制粘贴模式迁移；若新环境为对象存储，通过专属服务程序调用接口完成文件迁移；</w:t>
            </w:r>
          </w:p>
          <w:p>
            <w:pPr>
              <w:pStyle w:val="null3"/>
              <w:ind w:firstLine="400"/>
              <w:jc w:val="both"/>
            </w:pPr>
            <w:r>
              <w:rPr>
                <w:rFonts w:ascii="仿宋_GB2312" w:hAnsi="仿宋_GB2312" w:cs="仿宋_GB2312" w:eastAsia="仿宋_GB2312"/>
                <w:sz w:val="20"/>
              </w:rPr>
              <w:t>云服务器存储：新老存储同属一个云平台时，打通网络连接后采用复制粘贴方式完成迁移。</w:t>
            </w:r>
          </w:p>
          <w:p>
            <w:pPr>
              <w:pStyle w:val="null3"/>
              <w:ind w:firstLine="400"/>
              <w:jc w:val="both"/>
            </w:pPr>
            <w:r>
              <w:rPr>
                <w:rFonts w:ascii="仿宋_GB2312" w:hAnsi="仿宋_GB2312" w:cs="仿宋_GB2312" w:eastAsia="仿宋_GB2312"/>
                <w:sz w:val="20"/>
              </w:rPr>
              <w:t>3、迁移检查</w:t>
            </w:r>
          </w:p>
          <w:p>
            <w:pPr>
              <w:pStyle w:val="null3"/>
              <w:ind w:firstLine="400"/>
              <w:jc w:val="both"/>
            </w:pPr>
            <w:r>
              <w:rPr>
                <w:rFonts w:ascii="仿宋_GB2312" w:hAnsi="仿宋_GB2312" w:cs="仿宋_GB2312" w:eastAsia="仿宋_GB2312"/>
                <w:sz w:val="20"/>
              </w:rPr>
              <w:t>迁移过程中依托专用检测工具开展实时核查，抽取各业务类型</w:t>
            </w:r>
            <w:r>
              <w:rPr>
                <w:rFonts w:ascii="仿宋_GB2312" w:hAnsi="仿宋_GB2312" w:cs="仿宋_GB2312" w:eastAsia="仿宋_GB2312"/>
                <w:sz w:val="20"/>
              </w:rPr>
              <w:t>1-3条全流程数据，逐环节调试验证，确认数据完整迁移至新数据库，各业务节点数据调用、展示正常，无缺失、错乱情况。</w:t>
            </w:r>
          </w:p>
          <w:p>
            <w:pPr>
              <w:pStyle w:val="null3"/>
              <w:ind w:firstLine="400"/>
              <w:jc w:val="both"/>
            </w:pPr>
            <w:r>
              <w:rPr>
                <w:rFonts w:ascii="仿宋_GB2312" w:hAnsi="仿宋_GB2312" w:cs="仿宋_GB2312" w:eastAsia="仿宋_GB2312"/>
                <w:sz w:val="20"/>
              </w:rPr>
              <w:t>(三) 迁移测试</w:t>
            </w:r>
          </w:p>
          <w:p>
            <w:pPr>
              <w:pStyle w:val="null3"/>
              <w:ind w:firstLine="400"/>
              <w:jc w:val="both"/>
            </w:pPr>
            <w:r>
              <w:rPr>
                <w:rFonts w:ascii="仿宋_GB2312" w:hAnsi="仿宋_GB2312" w:cs="仿宋_GB2312" w:eastAsia="仿宋_GB2312"/>
                <w:sz w:val="20"/>
              </w:rPr>
              <w:t>1、结构化数据测试</w:t>
            </w:r>
          </w:p>
          <w:p>
            <w:pPr>
              <w:pStyle w:val="null3"/>
              <w:ind w:firstLine="400"/>
              <w:jc w:val="both"/>
            </w:pPr>
            <w:r>
              <w:rPr>
                <w:rFonts w:ascii="仿宋_GB2312" w:hAnsi="仿宋_GB2312" w:cs="仿宋_GB2312" w:eastAsia="仿宋_GB2312"/>
                <w:sz w:val="20"/>
              </w:rPr>
              <w:t>聚焦数据完整性、准确性开展专项测试，分为两大环节：</w:t>
            </w:r>
          </w:p>
          <w:p>
            <w:pPr>
              <w:pStyle w:val="null3"/>
              <w:ind w:firstLine="400"/>
              <w:jc w:val="both"/>
            </w:pPr>
            <w:r>
              <w:rPr>
                <w:rFonts w:ascii="仿宋_GB2312" w:hAnsi="仿宋_GB2312" w:cs="仿宋_GB2312" w:eastAsia="仿宋_GB2312"/>
                <w:sz w:val="20"/>
              </w:rPr>
              <w:t>完整性测试：人工核对各模块数据数量，比对新老系统数据总量，核查全流程业务环节数据无缺失，数据范围符合前期规划要求；</w:t>
            </w:r>
          </w:p>
          <w:p>
            <w:pPr>
              <w:pStyle w:val="null3"/>
              <w:ind w:firstLine="400"/>
              <w:jc w:val="both"/>
            </w:pPr>
            <w:r>
              <w:rPr>
                <w:rFonts w:ascii="仿宋_GB2312" w:hAnsi="仿宋_GB2312" w:cs="仿宋_GB2312" w:eastAsia="仿宋_GB2312"/>
                <w:sz w:val="20"/>
              </w:rPr>
              <w:t>准确性测试：因新老系统表结构差异较大，采用人工核验方式，逐一对新系统展示数据与老系统原始数据进行比对，核查字段内容完整、数值准确，无乱码、缺失、错误情况。</w:t>
            </w:r>
          </w:p>
          <w:p>
            <w:pPr>
              <w:pStyle w:val="null3"/>
              <w:ind w:firstLine="400"/>
              <w:jc w:val="both"/>
            </w:pPr>
            <w:r>
              <w:rPr>
                <w:rFonts w:ascii="仿宋_GB2312" w:hAnsi="仿宋_GB2312" w:cs="仿宋_GB2312" w:eastAsia="仿宋_GB2312"/>
                <w:sz w:val="20"/>
              </w:rPr>
              <w:t>2、非结构化数据测试</w:t>
            </w:r>
          </w:p>
          <w:p>
            <w:pPr>
              <w:pStyle w:val="null3"/>
              <w:ind w:firstLine="400"/>
              <w:jc w:val="both"/>
            </w:pPr>
            <w:r>
              <w:rPr>
                <w:rFonts w:ascii="仿宋_GB2312" w:hAnsi="仿宋_GB2312" w:cs="仿宋_GB2312" w:eastAsia="仿宋_GB2312"/>
                <w:sz w:val="20"/>
              </w:rPr>
              <w:t>采用专用文件扫描工具，核查附件文件是否全量迁移、无遗漏，核验文件格式正常、可正常打开、内容无损坏，确保非结构化数据与结构化数据关联匹配。</w:t>
            </w:r>
          </w:p>
          <w:p>
            <w:pPr>
              <w:pStyle w:val="null3"/>
              <w:ind w:firstLine="400"/>
              <w:jc w:val="both"/>
            </w:pPr>
            <w:r>
              <w:rPr>
                <w:rFonts w:ascii="仿宋_GB2312" w:hAnsi="仿宋_GB2312" w:cs="仿宋_GB2312" w:eastAsia="仿宋_GB2312"/>
                <w:sz w:val="20"/>
              </w:rPr>
              <w:t>3、全流程功能测试</w:t>
            </w:r>
          </w:p>
          <w:p>
            <w:pPr>
              <w:pStyle w:val="null3"/>
              <w:ind w:firstLine="400"/>
              <w:jc w:val="both"/>
            </w:pPr>
            <w:r>
              <w:rPr>
                <w:rFonts w:ascii="仿宋_GB2312" w:hAnsi="仿宋_GB2312" w:cs="仿宋_GB2312" w:eastAsia="仿宋_GB2312"/>
                <w:sz w:val="20"/>
              </w:rPr>
              <w:t>开展业务全流程闭环测试，验证迁移后的配置数据、主体信息、专家信息、客服知识库等基础数据可正常编辑、补充；核查招投标、开标、评标、定标、档案归档、智能问答全流程功能正常，各类业务模式均运行顺畅，后续业务流程可正常推进，杜绝遗留问题。</w:t>
            </w:r>
          </w:p>
          <w:p>
            <w:pPr>
              <w:pStyle w:val="null3"/>
              <w:ind w:firstLine="400"/>
              <w:jc w:val="both"/>
            </w:pPr>
            <w:r>
              <w:rPr>
                <w:rFonts w:ascii="仿宋_GB2312" w:hAnsi="仿宋_GB2312" w:cs="仿宋_GB2312" w:eastAsia="仿宋_GB2312"/>
                <w:sz w:val="20"/>
              </w:rPr>
              <w:t>(四) 上线运维</w:t>
            </w:r>
          </w:p>
          <w:p>
            <w:pPr>
              <w:pStyle w:val="null3"/>
              <w:ind w:firstLine="400"/>
              <w:jc w:val="both"/>
            </w:pPr>
            <w:r>
              <w:rPr>
                <w:rFonts w:ascii="仿宋_GB2312" w:hAnsi="仿宋_GB2312" w:cs="仿宋_GB2312" w:eastAsia="仿宋_GB2312"/>
                <w:sz w:val="20"/>
              </w:rPr>
              <w:t>系统测试验证通过后，完成正式迁移与最终复核，确认无误后关闭迁移服务，同步告知相关部门验收结果。迁移部署的相关服务暂不清除，留存备用以便后期优化完善；安排专人全程值守运维，记录处置各类问题，定期开展复盘总结，持续优化系统运行稳定性。</w:t>
            </w:r>
          </w:p>
          <w:p>
            <w:pPr>
              <w:pStyle w:val="null3"/>
              <w:ind w:firstLine="400"/>
              <w:jc w:val="both"/>
            </w:pPr>
            <w:r>
              <w:rPr>
                <w:rFonts w:ascii="仿宋_GB2312" w:hAnsi="仿宋_GB2312" w:cs="仿宋_GB2312" w:eastAsia="仿宋_GB2312"/>
                <w:sz w:val="20"/>
              </w:rPr>
              <w:t>五、系统迁移</w:t>
            </w:r>
            <w:r>
              <w:rPr>
                <w:rFonts w:ascii="仿宋_GB2312" w:hAnsi="仿宋_GB2312" w:cs="仿宋_GB2312" w:eastAsia="仿宋_GB2312"/>
                <w:sz w:val="20"/>
              </w:rPr>
              <w:t>方案</w:t>
            </w:r>
          </w:p>
          <w:p>
            <w:pPr>
              <w:pStyle w:val="null3"/>
              <w:ind w:firstLine="400"/>
              <w:jc w:val="both"/>
            </w:pPr>
            <w:r>
              <w:rPr>
                <w:rFonts w:ascii="仿宋_GB2312" w:hAnsi="仿宋_GB2312" w:cs="仿宋_GB2312" w:eastAsia="仿宋_GB2312"/>
                <w:sz w:val="20"/>
              </w:rPr>
              <w:t>(一) 分系统迁移规划</w:t>
            </w:r>
          </w:p>
          <w:p>
            <w:pPr>
              <w:pStyle w:val="null3"/>
              <w:ind w:firstLine="400"/>
              <w:jc w:val="both"/>
            </w:pPr>
            <w:r>
              <w:rPr>
                <w:rFonts w:ascii="仿宋_GB2312" w:hAnsi="仿宋_GB2312" w:cs="仿宋_GB2312" w:eastAsia="仿宋_GB2312"/>
                <w:sz w:val="20"/>
              </w:rPr>
              <w:t>结合中心业务办理紧急程度，按照高、中、低三级优先级制定分系统迁移计划，明确迁移条件、带宽需求、部署方式，具体如下：</w:t>
            </w:r>
          </w:p>
          <w:tbl>
            <w:tblPr>
              <w:tblBorders>
                <w:top w:val="none" w:color="000000" w:sz="4"/>
                <w:left w:val="none" w:color="000000" w:sz="4"/>
                <w:bottom w:val="none" w:color="000000" w:sz="4"/>
                <w:right w:val="none" w:color="000000" w:sz="4"/>
                <w:insideH w:val="none"/>
                <w:insideV w:val="none"/>
              </w:tblBorders>
            </w:tblPr>
            <w:tblGrid>
              <w:gridCol w:w="219"/>
              <w:gridCol w:w="391"/>
              <w:gridCol w:w="1117"/>
              <w:gridCol w:w="292"/>
              <w:gridCol w:w="229"/>
              <w:gridCol w:w="292"/>
            </w:tblGrid>
            <w:tr>
              <w:tc>
                <w:tcPr>
                  <w:tcW w:type="dxa" w:w="21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序号</w:t>
                  </w:r>
                </w:p>
              </w:tc>
              <w:tc>
                <w:tcPr>
                  <w:tcW w:type="dxa" w:w="391"/>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系统名称</w:t>
                  </w:r>
                </w:p>
              </w:tc>
              <w:tc>
                <w:tcPr>
                  <w:tcW w:type="dxa" w:w="111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迁移条件</w:t>
                  </w:r>
                </w:p>
              </w:tc>
              <w:tc>
                <w:tcPr>
                  <w:tcW w:type="dxa" w:w="29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带宽（</w:t>
                  </w:r>
                  <w:r>
                    <w:rPr>
                      <w:rFonts w:ascii="仿宋_GB2312" w:hAnsi="仿宋_GB2312" w:cs="仿宋_GB2312" w:eastAsia="仿宋_GB2312"/>
                      <w:sz w:val="20"/>
                    </w:rPr>
                    <w:t>M）</w:t>
                  </w:r>
                </w:p>
              </w:tc>
              <w:tc>
                <w:tcPr>
                  <w:tcW w:type="dxa" w:w="22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紧急程度</w:t>
                  </w:r>
                </w:p>
              </w:tc>
              <w:tc>
                <w:tcPr>
                  <w:tcW w:type="dxa" w:w="29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部署方式</w:t>
                  </w:r>
                </w:p>
              </w:tc>
            </w:tr>
            <w:tr>
              <w:tc>
                <w:tcPr>
                  <w:tcW w:type="dxa" w:w="2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不见面开标系统</w:t>
                  </w:r>
                </w:p>
              </w:tc>
              <w:tc>
                <w:tcPr>
                  <w:tcW w:type="dxa" w:w="11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服务器网络到位后，</w:t>
                  </w:r>
                  <w:r>
                    <w:rPr>
                      <w:rFonts w:ascii="仿宋_GB2312" w:hAnsi="仿宋_GB2312" w:cs="仿宋_GB2312" w:eastAsia="仿宋_GB2312"/>
                      <w:sz w:val="20"/>
                    </w:rPr>
                    <w:t>1个月内完成调试</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c>
                <w:tcPr>
                  <w:tcW w:type="dxa" w:w="2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高</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云平台部署</w:t>
                  </w:r>
                </w:p>
              </w:tc>
            </w:tr>
            <w:tr>
              <w:tc>
                <w:tcPr>
                  <w:tcW w:type="dxa" w:w="2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w:t>
                  </w:r>
                </w:p>
              </w:tc>
              <w:tc>
                <w:tcPr>
                  <w:tcW w:type="dxa" w:w="3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分散席位制评标系统</w:t>
                  </w:r>
                </w:p>
              </w:tc>
              <w:tc>
                <w:tcPr>
                  <w:tcW w:type="dxa" w:w="11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服务器网络、现场硬件电脑到位，业务处室确认后，</w:t>
                  </w:r>
                  <w:r>
                    <w:rPr>
                      <w:rFonts w:ascii="仿宋_GB2312" w:hAnsi="仿宋_GB2312" w:cs="仿宋_GB2312" w:eastAsia="仿宋_GB2312"/>
                      <w:sz w:val="20"/>
                    </w:rPr>
                    <w:t>2个月内完成开发调试</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c>
                <w:tcPr>
                  <w:tcW w:type="dxa" w:w="2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高</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云平台部署</w:t>
                  </w:r>
                </w:p>
              </w:tc>
            </w:tr>
            <w:tr>
              <w:tc>
                <w:tcPr>
                  <w:tcW w:type="dxa" w:w="2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w:t>
                  </w:r>
                </w:p>
              </w:tc>
              <w:tc>
                <w:tcPr>
                  <w:tcW w:type="dxa" w:w="3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电子档案管理系统</w:t>
                  </w:r>
                </w:p>
              </w:tc>
              <w:tc>
                <w:tcPr>
                  <w:tcW w:type="dxa" w:w="11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整体搬迁后开展迁移</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c>
                <w:tcPr>
                  <w:tcW w:type="dxa" w:w="2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中</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云平台部署</w:t>
                  </w:r>
                </w:p>
              </w:tc>
            </w:tr>
            <w:tr>
              <w:tc>
                <w:tcPr>
                  <w:tcW w:type="dxa" w:w="2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w:t>
                  </w:r>
                </w:p>
              </w:tc>
              <w:tc>
                <w:tcPr>
                  <w:tcW w:type="dxa" w:w="3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电子见证平台</w:t>
                  </w:r>
                </w:p>
              </w:tc>
              <w:tc>
                <w:tcPr>
                  <w:tcW w:type="dxa" w:w="11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服务器网络到位后，</w:t>
                  </w:r>
                  <w:r>
                    <w:rPr>
                      <w:rFonts w:ascii="仿宋_GB2312" w:hAnsi="仿宋_GB2312" w:cs="仿宋_GB2312" w:eastAsia="仿宋_GB2312"/>
                      <w:sz w:val="20"/>
                    </w:rPr>
                    <w:t>1个月内完成调试</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c>
                <w:tcPr>
                  <w:tcW w:type="dxa" w:w="2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高</w:t>
                  </w:r>
                </w:p>
              </w:tc>
              <w:tc>
                <w:tcPr>
                  <w:tcW w:type="dxa" w:w="29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本地部署</w:t>
                  </w:r>
                </w:p>
              </w:tc>
            </w:tr>
          </w:tbl>
          <w:p>
            <w:pPr>
              <w:pStyle w:val="null3"/>
              <w:ind w:firstLine="400"/>
              <w:jc w:val="both"/>
            </w:pPr>
            <w:r>
              <w:rPr>
                <w:rFonts w:ascii="仿宋_GB2312" w:hAnsi="仿宋_GB2312" w:cs="仿宋_GB2312" w:eastAsia="仿宋_GB2312"/>
                <w:sz w:val="20"/>
              </w:rPr>
              <w:t>(二)  云平台共用基础服务器配置</w:t>
            </w:r>
          </w:p>
          <w:tbl>
            <w:tblPr>
              <w:tblBorders>
                <w:top w:val="none" w:color="000000" w:sz="4"/>
                <w:left w:val="none" w:color="000000" w:sz="4"/>
                <w:bottom w:val="none" w:color="000000" w:sz="4"/>
                <w:right w:val="none" w:color="000000" w:sz="4"/>
                <w:insideH w:val="none"/>
                <w:insideV w:val="none"/>
              </w:tblBorders>
            </w:tblPr>
            <w:tblGrid>
              <w:gridCol w:w="208"/>
              <w:gridCol w:w="513"/>
              <w:gridCol w:w="422"/>
              <w:gridCol w:w="289"/>
              <w:gridCol w:w="139"/>
              <w:gridCol w:w="433"/>
              <w:gridCol w:w="160"/>
              <w:gridCol w:w="139"/>
              <w:gridCol w:w="224"/>
            </w:tblGrid>
            <w:tr>
              <w:tc>
                <w:tcPr>
                  <w:tcW w:type="dxa" w:w="208"/>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分类</w:t>
                  </w:r>
                </w:p>
              </w:tc>
              <w:tc>
                <w:tcPr>
                  <w:tcW w:type="dxa" w:w="51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服务器名称</w:t>
                  </w:r>
                </w:p>
              </w:tc>
              <w:tc>
                <w:tcPr>
                  <w:tcW w:type="dxa" w:w="42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IP地址</w:t>
                  </w:r>
                </w:p>
              </w:tc>
              <w:tc>
                <w:tcPr>
                  <w:tcW w:type="dxa" w:w="28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备注</w:t>
                  </w:r>
                </w:p>
              </w:tc>
              <w:tc>
                <w:tcPr>
                  <w:tcW w:type="dxa" w:w="13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数量</w:t>
                  </w:r>
                </w:p>
              </w:tc>
              <w:tc>
                <w:tcPr>
                  <w:tcW w:type="dxa" w:w="43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操作系统</w:t>
                  </w:r>
                </w:p>
              </w:tc>
              <w:tc>
                <w:tcPr>
                  <w:tcW w:type="dxa" w:w="16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CPU</w:t>
                  </w:r>
                </w:p>
              </w:tc>
              <w:tc>
                <w:tcPr>
                  <w:tcW w:type="dxa" w:w="13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内存</w:t>
                  </w:r>
                </w:p>
              </w:tc>
              <w:tc>
                <w:tcPr>
                  <w:tcW w:type="dxa" w:w="22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磁盘空间</w:t>
                  </w:r>
                  <w:r>
                    <w:rPr>
                      <w:rFonts w:ascii="仿宋_GB2312" w:hAnsi="仿宋_GB2312" w:cs="仿宋_GB2312" w:eastAsia="仿宋_GB2312"/>
                      <w:sz w:val="20"/>
                    </w:rPr>
                    <w:t>(G)</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PAAS平台</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Ecloud平台、Docker仓库</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192.168.8.150</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服务器机房局域网即可</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1024</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组件</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Redis、RabbitMQ</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192.168.8.144</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服务器机房局域网即可</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r>
              <w:tc>
                <w:tcPr>
                  <w:tcW w:type="dxa" w:w="20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共用服务</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自动巡检</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192.168.8.140</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Windows2016</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4</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r>
              <w:tc>
                <w:tcPr>
                  <w:tcW w:type="dxa" w:w="208"/>
                  <w:vMerge/>
                  <w:tcBorders>
                    <w:top w:val="none" w:color="000000" w:sz="4"/>
                    <w:left w:val="single" w:color="000000" w:sz="4"/>
                    <w:bottom w:val="single" w:color="000000" w:sz="4"/>
                    <w:right w:val="single" w:color="000000" w:sz="4"/>
                  </w:tcBorders>
                </w:tcP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统一对外访问服务（</w:t>
                  </w:r>
                  <w:r>
                    <w:rPr>
                      <w:rFonts w:ascii="仿宋_GB2312" w:hAnsi="仿宋_GB2312" w:cs="仿宋_GB2312" w:eastAsia="仿宋_GB2312"/>
                      <w:sz w:val="20"/>
                    </w:rPr>
                    <w:t>Nginx）</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192.168.8.139</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外网地址映射专用</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4</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数据库</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MySQL</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192.168.8.138</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内网数据库</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2048</w:t>
                  </w:r>
                </w:p>
              </w:tc>
            </w:tr>
            <w:tr>
              <w:tc>
                <w:tcPr>
                  <w:tcW w:type="dxa" w:w="20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测试资源</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测试服务器</w:t>
                  </w:r>
                  <w:r>
                    <w:rPr>
                      <w:rFonts w:ascii="仿宋_GB2312" w:hAnsi="仿宋_GB2312" w:cs="仿宋_GB2312" w:eastAsia="仿宋_GB2312"/>
                      <w:sz w:val="20"/>
                    </w:rPr>
                    <w:t>(跳板机)</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192.168.8.137</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测试远程跳板机</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Windows2016</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4</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r>
              <w:tc>
                <w:tcPr>
                  <w:tcW w:type="dxa" w:w="208"/>
                  <w:vMerge/>
                  <w:tcBorders>
                    <w:top w:val="none" w:color="000000" w:sz="4"/>
                    <w:left w:val="single" w:color="000000" w:sz="4"/>
                    <w:bottom w:val="single" w:color="000000" w:sz="4"/>
                    <w:right w:val="single" w:color="000000" w:sz="4"/>
                  </w:tcBorders>
                </w:tcP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测试系统、测试</w:t>
                  </w:r>
                  <w:r>
                    <w:rPr>
                      <w:rFonts w:ascii="仿宋_GB2312" w:hAnsi="仿宋_GB2312" w:cs="仿宋_GB2312" w:eastAsia="仿宋_GB2312"/>
                      <w:sz w:val="20"/>
                    </w:rPr>
                    <w:t>Nginx、测试Redis、测试RabbitMQ</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192.168.8.136</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测试服务器</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r>
              <w:tc>
                <w:tcPr>
                  <w:tcW w:type="dxa" w:w="208"/>
                  <w:vMerge/>
                  <w:tcBorders>
                    <w:top w:val="none" w:color="000000" w:sz="4"/>
                    <w:left w:val="single" w:color="000000" w:sz="4"/>
                    <w:bottom w:val="single" w:color="000000" w:sz="4"/>
                    <w:right w:val="single" w:color="000000" w:sz="4"/>
                  </w:tcBorders>
                </w:tcP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测试数据库</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192.168.8.135</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测试服务器</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CentOS_7.9最小化安装</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仿真环境</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用户区块链数据上链</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192.168.8.134</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黄河流域数据上链，需外网</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r>
              <w:tc>
                <w:tcPr>
                  <w:tcW w:type="dxa" w:w="20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附件存储</w:t>
                  </w: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文件服务器</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192.168.8.133</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6144</w:t>
                  </w:r>
                </w:p>
              </w:tc>
            </w:tr>
            <w:tr>
              <w:tc>
                <w:tcPr>
                  <w:tcW w:type="dxa" w:w="208"/>
                  <w:vMerge/>
                  <w:tcBorders>
                    <w:top w:val="none" w:color="000000" w:sz="4"/>
                    <w:left w:val="single" w:color="000000" w:sz="4"/>
                    <w:bottom w:val="single" w:color="000000" w:sz="4"/>
                    <w:right w:val="single" w:color="000000" w:sz="4"/>
                  </w:tcBorders>
                </w:tcPr>
                <w:p/>
              </w:tc>
              <w:tc>
                <w:tcPr>
                  <w:tcW w:type="dxa" w:w="51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文件备份服务器</w:t>
                  </w:r>
                </w:p>
              </w:tc>
              <w:tc>
                <w:tcPr>
                  <w:tcW w:type="dxa" w:w="42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192.168.8.132</w:t>
                  </w:r>
                </w:p>
              </w:tc>
              <w:tc>
                <w:tcPr>
                  <w:tcW w:type="dxa" w:w="2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4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Windows2016</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2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7168</w:t>
                  </w:r>
                </w:p>
              </w:tc>
            </w:tr>
          </w:tbl>
          <w:p>
            <w:pPr>
              <w:pStyle w:val="null3"/>
              <w:ind w:firstLine="400"/>
              <w:jc w:val="both"/>
            </w:pPr>
            <w:r>
              <w:rPr>
                <w:rFonts w:ascii="仿宋_GB2312" w:hAnsi="仿宋_GB2312" w:cs="仿宋_GB2312" w:eastAsia="仿宋_GB2312"/>
                <w:sz w:val="20"/>
              </w:rPr>
              <w:t>(三)  分系统专属服务器配置</w:t>
            </w:r>
          </w:p>
          <w:p>
            <w:pPr>
              <w:pStyle w:val="null3"/>
              <w:ind w:firstLine="400"/>
              <w:jc w:val="both"/>
            </w:pPr>
            <w:r>
              <w:rPr>
                <w:rFonts w:ascii="仿宋_GB2312" w:hAnsi="仿宋_GB2312" w:cs="仿宋_GB2312" w:eastAsia="仿宋_GB2312"/>
                <w:sz w:val="20"/>
              </w:rPr>
              <w:t>1、不见面开标系统</w:t>
            </w:r>
          </w:p>
          <w:p>
            <w:pPr>
              <w:pStyle w:val="null3"/>
              <w:ind w:firstLine="400"/>
              <w:jc w:val="both"/>
            </w:pPr>
            <w:r>
              <w:rPr>
                <w:rFonts w:ascii="仿宋_GB2312" w:hAnsi="仿宋_GB2312" w:cs="仿宋_GB2312" w:eastAsia="仿宋_GB2312"/>
                <w:sz w:val="20"/>
              </w:rPr>
              <w:t>配置不见面开标应用服务器</w:t>
            </w:r>
            <w:r>
              <w:rPr>
                <w:rFonts w:ascii="仿宋_GB2312" w:hAnsi="仿宋_GB2312" w:cs="仿宋_GB2312" w:eastAsia="仿宋_GB2312"/>
                <w:sz w:val="20"/>
              </w:rPr>
              <w:t>1台，需与陕西省公共资源交易平台（http://www.sxggzyjy.cn:9003/）互通，获取接口数据；其余服务共用云平台基础服务器。</w:t>
            </w:r>
          </w:p>
          <w:tbl>
            <w:tblPr>
              <w:tblBorders>
                <w:top w:val="none" w:color="000000" w:sz="4"/>
                <w:left w:val="none" w:color="000000" w:sz="4"/>
                <w:bottom w:val="none" w:color="000000" w:sz="4"/>
                <w:right w:val="none" w:color="000000" w:sz="4"/>
                <w:insideH w:val="none"/>
                <w:insideV w:val="none"/>
              </w:tblBorders>
            </w:tblPr>
            <w:tblGrid>
              <w:gridCol w:w="364"/>
              <w:gridCol w:w="418"/>
              <w:gridCol w:w="595"/>
              <w:gridCol w:w="166"/>
              <w:gridCol w:w="359"/>
              <w:gridCol w:w="160"/>
              <w:gridCol w:w="166"/>
              <w:gridCol w:w="300"/>
            </w:tblGrid>
            <w:tr>
              <w:tc>
                <w:tcPr>
                  <w:tcW w:type="dxa" w:w="36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系统模块</w:t>
                  </w:r>
                </w:p>
              </w:tc>
              <w:tc>
                <w:tcPr>
                  <w:tcW w:type="dxa" w:w="418"/>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IP地址</w:t>
                  </w:r>
                </w:p>
              </w:tc>
              <w:tc>
                <w:tcPr>
                  <w:tcW w:type="dxa" w:w="59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备注</w:t>
                  </w:r>
                </w:p>
              </w:tc>
              <w:tc>
                <w:tcPr>
                  <w:tcW w:type="dxa" w:w="166"/>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数量</w:t>
                  </w:r>
                </w:p>
              </w:tc>
              <w:tc>
                <w:tcPr>
                  <w:tcW w:type="dxa" w:w="35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操作系统</w:t>
                  </w:r>
                </w:p>
              </w:tc>
              <w:tc>
                <w:tcPr>
                  <w:tcW w:type="dxa" w:w="16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CPU</w:t>
                  </w:r>
                </w:p>
              </w:tc>
              <w:tc>
                <w:tcPr>
                  <w:tcW w:type="dxa" w:w="166"/>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内存</w:t>
                  </w:r>
                </w:p>
              </w:tc>
              <w:tc>
                <w:tcPr>
                  <w:tcW w:type="dxa" w:w="30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磁盘空间</w:t>
                  </w:r>
                  <w:r>
                    <w:rPr>
                      <w:rFonts w:ascii="仿宋_GB2312" w:hAnsi="仿宋_GB2312" w:cs="仿宋_GB2312" w:eastAsia="仿宋_GB2312"/>
                      <w:sz w:val="20"/>
                    </w:rPr>
                    <w:t>(G)</w:t>
                  </w:r>
                </w:p>
              </w:tc>
            </w:tr>
            <w:tr>
              <w:tc>
                <w:tcPr>
                  <w:tcW w:type="dxa" w:w="36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不见面开标大厅</w:t>
                  </w:r>
                </w:p>
              </w:tc>
              <w:tc>
                <w:tcPr>
                  <w:tcW w:type="dxa" w:w="4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192.168.8.148</w:t>
                  </w:r>
                </w:p>
              </w:tc>
              <w:tc>
                <w:tcPr>
                  <w:tcW w:type="dxa" w:w="5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对接陕西省公共资源交易平台</w:t>
                  </w:r>
                </w:p>
              </w:tc>
              <w:tc>
                <w:tcPr>
                  <w:tcW w:type="dxa" w:w="1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3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200</w:t>
                  </w:r>
                </w:p>
              </w:tc>
            </w:tr>
          </w:tbl>
          <w:p>
            <w:pPr>
              <w:pStyle w:val="null3"/>
              <w:ind w:firstLine="400"/>
              <w:jc w:val="both"/>
            </w:pPr>
            <w:r>
              <w:rPr>
                <w:rFonts w:ascii="仿宋_GB2312" w:hAnsi="仿宋_GB2312" w:cs="仿宋_GB2312" w:eastAsia="仿宋_GB2312"/>
                <w:sz w:val="20"/>
              </w:rPr>
              <w:t>2、分散席位制评标系统</w:t>
            </w:r>
          </w:p>
          <w:p>
            <w:pPr>
              <w:pStyle w:val="null3"/>
              <w:ind w:firstLine="400"/>
              <w:jc w:val="both"/>
            </w:pPr>
            <w:r>
              <w:rPr>
                <w:rFonts w:ascii="仿宋_GB2312" w:hAnsi="仿宋_GB2312" w:cs="仿宋_GB2312" w:eastAsia="仿宋_GB2312"/>
                <w:sz w:val="20"/>
              </w:rPr>
              <w:t>除共用服务器外，配套专属服务器及</w:t>
            </w:r>
            <w:r>
              <w:rPr>
                <w:rFonts w:ascii="仿宋_GB2312" w:hAnsi="仿宋_GB2312" w:cs="仿宋_GB2312" w:eastAsia="仿宋_GB2312"/>
                <w:sz w:val="20"/>
              </w:rPr>
              <w:t>7台一体机（部署于中心机房，需同步完成硬件搬迁）；需现场硬件、处室需求开发完成后开展调试，预计周期2个月。</w:t>
            </w:r>
          </w:p>
          <w:tbl>
            <w:tblPr>
              <w:tblBorders>
                <w:top w:val="none" w:color="000000" w:sz="4"/>
                <w:left w:val="none" w:color="000000" w:sz="4"/>
                <w:bottom w:val="none" w:color="000000" w:sz="4"/>
                <w:right w:val="none" w:color="000000" w:sz="4"/>
                <w:insideH w:val="none"/>
                <w:insideV w:val="none"/>
              </w:tblBorders>
            </w:tblPr>
            <w:tblGrid>
              <w:gridCol w:w="385"/>
              <w:gridCol w:w="390"/>
              <w:gridCol w:w="444"/>
              <w:gridCol w:w="155"/>
              <w:gridCol w:w="588"/>
              <w:gridCol w:w="160"/>
              <w:gridCol w:w="155"/>
              <w:gridCol w:w="251"/>
            </w:tblGrid>
            <w:tr>
              <w:tc>
                <w:tcPr>
                  <w:tcW w:type="dxa" w:w="38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系统模块</w:t>
                  </w:r>
                </w:p>
              </w:tc>
              <w:tc>
                <w:tcPr>
                  <w:tcW w:type="dxa" w:w="39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IP地址</w:t>
                  </w:r>
                </w:p>
              </w:tc>
              <w:tc>
                <w:tcPr>
                  <w:tcW w:type="dxa" w:w="44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备注</w:t>
                  </w:r>
                </w:p>
              </w:tc>
              <w:tc>
                <w:tcPr>
                  <w:tcW w:type="dxa" w:w="15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数量</w:t>
                  </w:r>
                </w:p>
              </w:tc>
              <w:tc>
                <w:tcPr>
                  <w:tcW w:type="dxa" w:w="588"/>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操作系统</w:t>
                  </w:r>
                </w:p>
              </w:tc>
              <w:tc>
                <w:tcPr>
                  <w:tcW w:type="dxa" w:w="16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CPU</w:t>
                  </w:r>
                </w:p>
              </w:tc>
              <w:tc>
                <w:tcPr>
                  <w:tcW w:type="dxa" w:w="15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内存</w:t>
                  </w:r>
                </w:p>
              </w:tc>
              <w:tc>
                <w:tcPr>
                  <w:tcW w:type="dxa" w:w="251"/>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磁盘空间</w:t>
                  </w:r>
                  <w:r>
                    <w:rPr>
                      <w:rFonts w:ascii="仿宋_GB2312" w:hAnsi="仿宋_GB2312" w:cs="仿宋_GB2312" w:eastAsia="仿宋_GB2312"/>
                      <w:sz w:val="20"/>
                    </w:rPr>
                    <w:t>(G)</w:t>
                  </w:r>
                </w:p>
              </w:tc>
            </w:tr>
            <w:tr>
              <w:tc>
                <w:tcPr>
                  <w:tcW w:type="dxa" w:w="3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分散席位制评标</w:t>
                  </w:r>
                </w:p>
              </w:tc>
              <w:tc>
                <w:tcPr>
                  <w:tcW w:type="dxa" w:w="3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192.168.8.47</w:t>
                  </w:r>
                </w:p>
              </w:tc>
              <w:tc>
                <w:tcPr>
                  <w:tcW w:type="dxa" w:w="4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对接陕西省公共资源交易平台</w:t>
                  </w:r>
                </w:p>
              </w:tc>
              <w:tc>
                <w:tcPr>
                  <w:tcW w:type="dxa" w:w="1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1</w:t>
                  </w:r>
                </w:p>
              </w:tc>
              <w:tc>
                <w:tcPr>
                  <w:tcW w:type="dxa" w:w="5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CentOS_7.9、7.9最小化安装</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4</w:t>
                  </w:r>
                </w:p>
              </w:tc>
              <w:tc>
                <w:tcPr>
                  <w:tcW w:type="dxa" w:w="1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8</w:t>
                  </w:r>
                </w:p>
              </w:tc>
              <w:tc>
                <w:tcPr>
                  <w:tcW w:type="dxa" w:w="2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200</w:t>
                  </w:r>
                </w:p>
              </w:tc>
            </w:tr>
            <w:tr>
              <w:tc>
                <w:tcPr>
                  <w:tcW w:type="dxa" w:w="3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四合一</w:t>
                  </w:r>
                </w:p>
              </w:tc>
              <w:tc>
                <w:tcPr>
                  <w:tcW w:type="dxa" w:w="3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192.168.8.48</w:t>
                  </w:r>
                </w:p>
              </w:tc>
              <w:tc>
                <w:tcPr>
                  <w:tcW w:type="dxa" w:w="4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机房局域网</w:t>
                  </w:r>
                </w:p>
              </w:tc>
              <w:tc>
                <w:tcPr>
                  <w:tcW w:type="dxa" w:w="1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1</w:t>
                  </w:r>
                </w:p>
              </w:tc>
              <w:tc>
                <w:tcPr>
                  <w:tcW w:type="dxa" w:w="5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CentOS_7.9、7.9最小化安装</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4</w:t>
                  </w:r>
                </w:p>
              </w:tc>
              <w:tc>
                <w:tcPr>
                  <w:tcW w:type="dxa" w:w="1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8</w:t>
                  </w:r>
                </w:p>
              </w:tc>
              <w:tc>
                <w:tcPr>
                  <w:tcW w:type="dxa" w:w="2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200</w:t>
                  </w:r>
                </w:p>
              </w:tc>
            </w:tr>
            <w:tr>
              <w:tc>
                <w:tcPr>
                  <w:tcW w:type="dxa" w:w="3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RabbitMQ</w:t>
                  </w:r>
                </w:p>
              </w:tc>
              <w:tc>
                <w:tcPr>
                  <w:tcW w:type="dxa" w:w="3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192.168.8.49</w:t>
                  </w:r>
                </w:p>
              </w:tc>
              <w:tc>
                <w:tcPr>
                  <w:tcW w:type="dxa" w:w="4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机房局域网</w:t>
                  </w:r>
                </w:p>
              </w:tc>
              <w:tc>
                <w:tcPr>
                  <w:tcW w:type="dxa" w:w="1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1</w:t>
                  </w:r>
                </w:p>
              </w:tc>
              <w:tc>
                <w:tcPr>
                  <w:tcW w:type="dxa" w:w="5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CentOS_7.9、7.9最小化安装</w:t>
                  </w:r>
                </w:p>
              </w:tc>
              <w:tc>
                <w:tcPr>
                  <w:tcW w:type="dxa" w:w="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4</w:t>
                  </w:r>
                </w:p>
              </w:tc>
              <w:tc>
                <w:tcPr>
                  <w:tcW w:type="dxa" w:w="15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8</w:t>
                  </w:r>
                </w:p>
              </w:tc>
              <w:tc>
                <w:tcPr>
                  <w:tcW w:type="dxa" w:w="2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after="165"/>
                    <w:jc w:val="both"/>
                  </w:pPr>
                  <w:r>
                    <w:rPr>
                      <w:rFonts w:ascii="仿宋_GB2312" w:hAnsi="仿宋_GB2312" w:cs="仿宋_GB2312" w:eastAsia="仿宋_GB2312"/>
                      <w:sz w:val="20"/>
                    </w:rPr>
                    <w:t>300</w:t>
                  </w:r>
                </w:p>
              </w:tc>
            </w:tr>
          </w:tbl>
          <w:p>
            <w:pPr>
              <w:pStyle w:val="null3"/>
              <w:ind w:firstLine="400"/>
              <w:jc w:val="both"/>
            </w:pPr>
            <w:r>
              <w:rPr>
                <w:rFonts w:ascii="仿宋_GB2312" w:hAnsi="仿宋_GB2312" w:cs="仿宋_GB2312" w:eastAsia="仿宋_GB2312"/>
                <w:sz w:val="20"/>
              </w:rPr>
              <w:t>3、电子档案管理系统</w:t>
            </w:r>
          </w:p>
          <w:p>
            <w:pPr>
              <w:pStyle w:val="null3"/>
              <w:ind w:firstLine="400"/>
              <w:jc w:val="both"/>
            </w:pPr>
            <w:r>
              <w:rPr>
                <w:rFonts w:ascii="仿宋_GB2312" w:hAnsi="仿宋_GB2312" w:cs="仿宋_GB2312" w:eastAsia="仿宋_GB2312"/>
                <w:sz w:val="20"/>
              </w:rPr>
              <w:t>除共用服务器外，配置</w:t>
            </w:r>
            <w:r>
              <w:rPr>
                <w:rFonts w:ascii="仿宋_GB2312" w:hAnsi="仿宋_GB2312" w:cs="仿宋_GB2312" w:eastAsia="仿宋_GB2312"/>
                <w:sz w:val="20"/>
              </w:rPr>
              <w:t>3台专属服务器，安排整体搬迁后开展迁移，专项支撑档案扫描、存储、检索、归档全流程功能，保障档案数据存储安全、调取高效。</w:t>
            </w:r>
          </w:p>
          <w:tbl>
            <w:tblPr>
              <w:tblBorders>
                <w:top w:val="none" w:color="000000" w:sz="4"/>
                <w:left w:val="none" w:color="000000" w:sz="4"/>
                <w:bottom w:val="none" w:color="000000" w:sz="4"/>
                <w:right w:val="none" w:color="000000" w:sz="4"/>
                <w:insideH w:val="none"/>
                <w:insideV w:val="none"/>
              </w:tblBorders>
            </w:tblPr>
            <w:tblGrid>
              <w:gridCol w:w="363"/>
              <w:gridCol w:w="421"/>
              <w:gridCol w:w="589"/>
              <w:gridCol w:w="163"/>
              <w:gridCol w:w="384"/>
              <w:gridCol w:w="157"/>
              <w:gridCol w:w="163"/>
              <w:gridCol w:w="294"/>
            </w:tblGrid>
            <w:tr>
              <w:tc>
                <w:tcPr>
                  <w:tcW w:type="dxa" w:w="36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系统模块</w:t>
                  </w:r>
                </w:p>
              </w:tc>
              <w:tc>
                <w:tcPr>
                  <w:tcW w:type="dxa" w:w="421"/>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IP地址</w:t>
                  </w:r>
                </w:p>
              </w:tc>
              <w:tc>
                <w:tcPr>
                  <w:tcW w:type="dxa" w:w="58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备注</w:t>
                  </w:r>
                </w:p>
              </w:tc>
              <w:tc>
                <w:tcPr>
                  <w:tcW w:type="dxa" w:w="16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数量</w:t>
                  </w:r>
                </w:p>
              </w:tc>
              <w:tc>
                <w:tcPr>
                  <w:tcW w:type="dxa" w:w="38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操作系统</w:t>
                  </w:r>
                </w:p>
              </w:tc>
              <w:tc>
                <w:tcPr>
                  <w:tcW w:type="dxa" w:w="15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CPU</w:t>
                  </w:r>
                </w:p>
              </w:tc>
              <w:tc>
                <w:tcPr>
                  <w:tcW w:type="dxa" w:w="16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内存</w:t>
                  </w:r>
                </w:p>
              </w:tc>
              <w:tc>
                <w:tcPr>
                  <w:tcW w:type="dxa" w:w="29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磁盘空间</w:t>
                  </w:r>
                  <w:r>
                    <w:rPr>
                      <w:rFonts w:ascii="仿宋_GB2312" w:hAnsi="仿宋_GB2312" w:cs="仿宋_GB2312" w:eastAsia="仿宋_GB2312"/>
                      <w:sz w:val="20"/>
                    </w:rPr>
                    <w:t>(G)</w:t>
                  </w:r>
                </w:p>
              </w:tc>
            </w:tr>
            <w:tr>
              <w:tc>
                <w:tcPr>
                  <w:tcW w:type="dxa" w:w="3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档案管理应用服务</w:t>
                  </w:r>
                </w:p>
              </w:tc>
              <w:tc>
                <w:tcPr>
                  <w:tcW w:type="dxa" w:w="4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192.168.8.141</w:t>
                  </w:r>
                </w:p>
              </w:tc>
              <w:tc>
                <w:tcPr>
                  <w:tcW w:type="dxa" w:w="5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档案录入、审核、归档核心服务</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r>
            <w:tr>
              <w:tc>
                <w:tcPr>
                  <w:tcW w:type="dxa" w:w="3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档案扫描转换服务</w:t>
                  </w:r>
                </w:p>
              </w:tc>
              <w:tc>
                <w:tcPr>
                  <w:tcW w:type="dxa" w:w="4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192.168.8.142</w:t>
                  </w:r>
                </w:p>
              </w:tc>
              <w:tc>
                <w:tcPr>
                  <w:tcW w:type="dxa" w:w="5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纸质档案数字化转换专用</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Windows2016</w:t>
                  </w:r>
                </w:p>
              </w:tc>
              <w:tc>
                <w:tcPr>
                  <w:tcW w:type="dxa" w:w="1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4</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2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1000</w:t>
                  </w:r>
                </w:p>
              </w:tc>
            </w:tr>
            <w:tr>
              <w:tc>
                <w:tcPr>
                  <w:tcW w:type="dxa" w:w="3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档案检索查询服务</w:t>
                  </w:r>
                </w:p>
              </w:tc>
              <w:tc>
                <w:tcPr>
                  <w:tcW w:type="dxa" w:w="4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192.168.8.143</w:t>
                  </w:r>
                </w:p>
              </w:tc>
              <w:tc>
                <w:tcPr>
                  <w:tcW w:type="dxa" w:w="5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对外档案调取、权限管控专用</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4</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2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bl>
          <w:p>
            <w:pPr>
              <w:pStyle w:val="null3"/>
              <w:ind w:firstLine="400"/>
              <w:jc w:val="both"/>
            </w:pPr>
            <w:r>
              <w:rPr>
                <w:rFonts w:ascii="仿宋_GB2312" w:hAnsi="仿宋_GB2312" w:cs="仿宋_GB2312" w:eastAsia="仿宋_GB2312"/>
                <w:sz w:val="20"/>
              </w:rPr>
              <w:t>4、电子见证平台</w:t>
            </w:r>
          </w:p>
          <w:p>
            <w:pPr>
              <w:pStyle w:val="null3"/>
              <w:ind w:firstLine="400"/>
              <w:jc w:val="both"/>
            </w:pPr>
            <w:r>
              <w:rPr>
                <w:rFonts w:ascii="仿宋_GB2312" w:hAnsi="仿宋_GB2312" w:cs="仿宋_GB2312" w:eastAsia="仿宋_GB2312"/>
                <w:sz w:val="20"/>
              </w:rPr>
              <w:t>采用本地部署模式，不共用云平台资源，配置专属应用服务器、视频流处理服务器、数据存储服务器，满足实时视频见证、数据留痕、异常比对的高带宽、低延迟要求，服务器网络到位后</w:t>
            </w:r>
            <w:r>
              <w:rPr>
                <w:rFonts w:ascii="仿宋_GB2312" w:hAnsi="仿宋_GB2312" w:cs="仿宋_GB2312" w:eastAsia="仿宋_GB2312"/>
                <w:sz w:val="20"/>
              </w:rPr>
              <w:t>1个月内完成调试。</w:t>
            </w:r>
          </w:p>
          <w:tbl>
            <w:tblPr>
              <w:tblBorders>
                <w:top w:val="none" w:color="000000" w:sz="4"/>
                <w:left w:val="none" w:color="000000" w:sz="4"/>
                <w:bottom w:val="none" w:color="000000" w:sz="4"/>
                <w:right w:val="none" w:color="000000" w:sz="4"/>
                <w:insideH w:val="none"/>
                <w:insideV w:val="none"/>
              </w:tblBorders>
            </w:tblPr>
            <w:tblGrid>
              <w:gridCol w:w="373"/>
              <w:gridCol w:w="389"/>
              <w:gridCol w:w="605"/>
              <w:gridCol w:w="163"/>
              <w:gridCol w:w="384"/>
              <w:gridCol w:w="157"/>
              <w:gridCol w:w="163"/>
              <w:gridCol w:w="300"/>
            </w:tblGrid>
            <w:tr>
              <w:tc>
                <w:tcPr>
                  <w:tcW w:type="dxa" w:w="37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系统模块</w:t>
                  </w:r>
                </w:p>
              </w:tc>
              <w:tc>
                <w:tcPr>
                  <w:tcW w:type="dxa" w:w="38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IP地址</w:t>
                  </w:r>
                </w:p>
              </w:tc>
              <w:tc>
                <w:tcPr>
                  <w:tcW w:type="dxa" w:w="60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备注</w:t>
                  </w:r>
                </w:p>
              </w:tc>
              <w:tc>
                <w:tcPr>
                  <w:tcW w:type="dxa" w:w="16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数量</w:t>
                  </w:r>
                </w:p>
              </w:tc>
              <w:tc>
                <w:tcPr>
                  <w:tcW w:type="dxa" w:w="38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操作系统</w:t>
                  </w:r>
                </w:p>
              </w:tc>
              <w:tc>
                <w:tcPr>
                  <w:tcW w:type="dxa" w:w="15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CPU</w:t>
                  </w:r>
                </w:p>
              </w:tc>
              <w:tc>
                <w:tcPr>
                  <w:tcW w:type="dxa" w:w="16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内存</w:t>
                  </w:r>
                </w:p>
              </w:tc>
              <w:tc>
                <w:tcPr>
                  <w:tcW w:type="dxa" w:w="30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磁盘空间</w:t>
                  </w:r>
                  <w:r>
                    <w:rPr>
                      <w:rFonts w:ascii="仿宋_GB2312" w:hAnsi="仿宋_GB2312" w:cs="仿宋_GB2312" w:eastAsia="仿宋_GB2312"/>
                      <w:sz w:val="20"/>
                    </w:rPr>
                    <w:t>(G)</w:t>
                  </w:r>
                </w:p>
              </w:tc>
            </w:tr>
            <w:tr>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见证平台应用服务</w:t>
                  </w:r>
                </w:p>
              </w:tc>
              <w:tc>
                <w:tcPr>
                  <w:tcW w:type="dxa" w:w="3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192.168.8.50</w:t>
                  </w:r>
                </w:p>
              </w:tc>
              <w:tc>
                <w:tcPr>
                  <w:tcW w:type="dxa" w:w="6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交易见证、数据展示、权限管理</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3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300</w:t>
                  </w:r>
                </w:p>
              </w:tc>
            </w:tr>
            <w:tr>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视频流处理服务</w:t>
                  </w:r>
                </w:p>
              </w:tc>
              <w:tc>
                <w:tcPr>
                  <w:tcW w:type="dxa" w:w="3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192.168.8.51</w:t>
                  </w:r>
                </w:p>
              </w:tc>
              <w:tc>
                <w:tcPr>
                  <w:tcW w:type="dxa" w:w="6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实时视频采集、编码、传输专用</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CentOS_7.9</w:t>
                  </w:r>
                </w:p>
              </w:tc>
              <w:tc>
                <w:tcPr>
                  <w:tcW w:type="dxa" w:w="1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32</w:t>
                  </w:r>
                </w:p>
              </w:tc>
              <w:tc>
                <w:tcPr>
                  <w:tcW w:type="dxa" w:w="3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w:t>
                  </w:r>
                </w:p>
              </w:tc>
            </w:tr>
            <w:tr>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见证数据存储服务</w:t>
                  </w:r>
                </w:p>
              </w:tc>
              <w:tc>
                <w:tcPr>
                  <w:tcW w:type="dxa" w:w="3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192.168.8.52</w:t>
                  </w:r>
                </w:p>
              </w:tc>
              <w:tc>
                <w:tcPr>
                  <w:tcW w:type="dxa" w:w="6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全程留痕数据、历史视频存储</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38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Winows2016</w:t>
                  </w:r>
                </w:p>
              </w:tc>
              <w:tc>
                <w:tcPr>
                  <w:tcW w:type="dxa" w:w="1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8</w:t>
                  </w:r>
                </w:p>
              </w:tc>
              <w:tc>
                <w:tcPr>
                  <w:tcW w:type="dxa" w:w="16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16</w:t>
                  </w:r>
                </w:p>
              </w:tc>
              <w:tc>
                <w:tcPr>
                  <w:tcW w:type="dxa" w:w="30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2048</w:t>
                  </w:r>
                </w:p>
              </w:tc>
            </w:tr>
          </w:tbl>
          <w:p>
            <w:pPr>
              <w:pStyle w:val="null3"/>
              <w:ind w:firstLine="400"/>
              <w:jc w:val="both"/>
            </w:pPr>
            <w:r>
              <w:rPr>
                <w:rFonts w:ascii="仿宋_GB2312" w:hAnsi="仿宋_GB2312" w:cs="仿宋_GB2312" w:eastAsia="仿宋_GB2312"/>
                <w:sz w:val="20"/>
              </w:rPr>
              <w:t>(四)  割接上线</w:t>
            </w:r>
          </w:p>
          <w:p>
            <w:pPr>
              <w:pStyle w:val="null3"/>
              <w:ind w:firstLine="400"/>
              <w:jc w:val="both"/>
            </w:pPr>
            <w:r>
              <w:rPr>
                <w:rFonts w:ascii="仿宋_GB2312" w:hAnsi="仿宋_GB2312" w:cs="仿宋_GB2312" w:eastAsia="仿宋_GB2312"/>
                <w:sz w:val="20"/>
              </w:rPr>
              <w:t>系统割接上线是本次迁移工作的收官核心环节，严格遵循</w:t>
            </w:r>
            <w:r>
              <w:rPr>
                <w:rFonts w:ascii="仿宋_GB2312" w:hAnsi="仿宋_GB2312" w:cs="仿宋_GB2312" w:eastAsia="仿宋_GB2312"/>
                <w:sz w:val="20"/>
              </w:rPr>
              <w:t>“先演练、后实施、全程值守、快速应急”的原则，严控业务中断风险，保障交易业务平稳切换、无缝衔接。割接操作优先选取非工作时段、周末或节假日开展，提前发布停服通知，明确割接时长、影响范围及恢复时间，做好用户告知工作。</w:t>
            </w:r>
          </w:p>
          <w:p>
            <w:pPr>
              <w:pStyle w:val="null3"/>
              <w:ind w:firstLine="400"/>
              <w:jc w:val="both"/>
            </w:pPr>
            <w:r>
              <w:rPr>
                <w:rFonts w:ascii="仿宋_GB2312" w:hAnsi="仿宋_GB2312" w:cs="仿宋_GB2312" w:eastAsia="仿宋_GB2312"/>
                <w:sz w:val="20"/>
              </w:rPr>
              <w:t>1、 割接前演练</w:t>
            </w:r>
          </w:p>
          <w:p>
            <w:pPr>
              <w:pStyle w:val="null3"/>
              <w:ind w:firstLine="400"/>
              <w:jc w:val="both"/>
            </w:pPr>
            <w:r>
              <w:rPr>
                <w:rFonts w:ascii="仿宋_GB2312" w:hAnsi="仿宋_GB2312" w:cs="仿宋_GB2312" w:eastAsia="仿宋_GB2312"/>
                <w:sz w:val="20"/>
              </w:rPr>
              <w:t>正式割接前，依托仿真测试环境</w:t>
            </w:r>
            <w:r>
              <w:rPr>
                <w:rFonts w:ascii="仿宋_GB2312" w:hAnsi="仿宋_GB2312" w:cs="仿宋_GB2312" w:eastAsia="仿宋_GB2312"/>
                <w:sz w:val="20"/>
              </w:rPr>
              <w:t>1:1还原生产环境配置、数据体量及业务场景，开展全流程模拟割接演练，排查潜在隐患、优化操作流程，核心演练内容如下：</w:t>
            </w:r>
          </w:p>
          <w:p>
            <w:pPr>
              <w:pStyle w:val="null3"/>
              <w:ind w:firstLine="400"/>
              <w:jc w:val="both"/>
            </w:pPr>
            <w:r>
              <w:rPr>
                <w:rFonts w:ascii="仿宋_GB2312" w:hAnsi="仿宋_GB2312" w:cs="仿宋_GB2312" w:eastAsia="仿宋_GB2312"/>
                <w:sz w:val="20"/>
              </w:rPr>
              <w:t>全流程模拟：复刻正式割接的启停服务、数据同步、配置切换、功能验证全步骤，检验操作规范性、流程连贯性，测算单环节耗时与总割接时长，优化时间排布。</w:t>
            </w:r>
          </w:p>
          <w:p>
            <w:pPr>
              <w:pStyle w:val="null3"/>
              <w:ind w:firstLine="400"/>
              <w:jc w:val="both"/>
            </w:pPr>
            <w:r>
              <w:rPr>
                <w:rFonts w:ascii="仿宋_GB2312" w:hAnsi="仿宋_GB2312" w:cs="仿宋_GB2312" w:eastAsia="仿宋_GB2312"/>
                <w:sz w:val="20"/>
              </w:rPr>
              <w:t>数据校验演练：模拟结构化数据、非结构化数据迁移校验流程，验证数据比对工具有效性，确保数据完整性、准确性核查无死角。</w:t>
            </w:r>
          </w:p>
          <w:p>
            <w:pPr>
              <w:pStyle w:val="null3"/>
              <w:ind w:firstLine="400"/>
              <w:jc w:val="both"/>
            </w:pPr>
            <w:r>
              <w:rPr>
                <w:rFonts w:ascii="仿宋_GB2312" w:hAnsi="仿宋_GB2312" w:cs="仿宋_GB2312" w:eastAsia="仿宋_GB2312"/>
                <w:sz w:val="20"/>
              </w:rPr>
              <w:t>应急回滚演练：模拟割接失败、系统异常、数据错乱等突发场景，实操回滚操作流程，检验回滚方案可行性，确保应急团队熟练掌握处置步骤，缩短故障恢复时间。</w:t>
            </w:r>
          </w:p>
          <w:p>
            <w:pPr>
              <w:pStyle w:val="null3"/>
              <w:ind w:firstLine="400"/>
              <w:jc w:val="both"/>
            </w:pPr>
            <w:r>
              <w:rPr>
                <w:rFonts w:ascii="仿宋_GB2312" w:hAnsi="仿宋_GB2312" w:cs="仿宋_GB2312" w:eastAsia="仿宋_GB2312"/>
                <w:sz w:val="20"/>
              </w:rPr>
              <w:t>协同配合演练：明确技术实施、运维保障、业务对接人员分工，梳理各环节沟通机制、问题上报流程，提升团队应急协同效率。</w:t>
            </w:r>
          </w:p>
          <w:p>
            <w:pPr>
              <w:pStyle w:val="null3"/>
              <w:ind w:firstLine="400"/>
              <w:jc w:val="both"/>
            </w:pPr>
            <w:r>
              <w:rPr>
                <w:rFonts w:ascii="仿宋_GB2312" w:hAnsi="仿宋_GB2312" w:cs="仿宋_GB2312" w:eastAsia="仿宋_GB2312"/>
                <w:sz w:val="20"/>
              </w:rPr>
              <w:t>2、割接实施步骤</w:t>
            </w:r>
          </w:p>
          <w:p>
            <w:pPr>
              <w:pStyle w:val="null3"/>
              <w:ind w:firstLine="400"/>
              <w:jc w:val="both"/>
            </w:pPr>
            <w:r>
              <w:rPr>
                <w:rFonts w:ascii="仿宋_GB2312" w:hAnsi="仿宋_GB2312" w:cs="仿宋_GB2312" w:eastAsia="仿宋_GB2312"/>
                <w:sz w:val="20"/>
              </w:rPr>
              <w:t>割接实施分为前期准备、停服冻结、迁移切换、验证启用、正式上线五大阶段，全程闭环管控、逐环节确认，具体步骤如下：</w:t>
            </w:r>
          </w:p>
          <w:p>
            <w:pPr>
              <w:pStyle w:val="null3"/>
              <w:ind w:firstLine="400"/>
              <w:jc w:val="both"/>
            </w:pPr>
            <w:r>
              <w:rPr>
                <w:rFonts w:ascii="仿宋_GB2312" w:hAnsi="仿宋_GB2312" w:cs="仿宋_GB2312" w:eastAsia="仿宋_GB2312"/>
                <w:sz w:val="20"/>
              </w:rPr>
              <w:t>割接前置准备：提前完成新环境最终调试、全量数据备份（原系统</w:t>
            </w:r>
            <w:r>
              <w:rPr>
                <w:rFonts w:ascii="仿宋_GB2312" w:hAnsi="仿宋_GB2312" w:cs="仿宋_GB2312" w:eastAsia="仿宋_GB2312"/>
                <w:sz w:val="20"/>
              </w:rPr>
              <w:t>+新系统双备份）、割接工具核查、人员到岗就位，再次核对网络连通性、服务器配置、接口适配性。</w:t>
            </w:r>
          </w:p>
          <w:p>
            <w:pPr>
              <w:pStyle w:val="null3"/>
              <w:ind w:firstLine="400"/>
              <w:jc w:val="both"/>
            </w:pPr>
            <w:r>
              <w:rPr>
                <w:rFonts w:ascii="仿宋_GB2312" w:hAnsi="仿宋_GB2312" w:cs="仿宋_GB2312" w:eastAsia="仿宋_GB2312"/>
                <w:sz w:val="20"/>
              </w:rPr>
              <w:t>业务停服冻结：按既定时间关闭原系统所有业务入口，停止所有交易操作、数据录入及流程审批，冻结数据库写入权限，确保割接期间无新增数据产生，避免数据不一致。</w:t>
            </w:r>
          </w:p>
          <w:p>
            <w:pPr>
              <w:pStyle w:val="null3"/>
              <w:ind w:firstLine="400"/>
              <w:jc w:val="both"/>
            </w:pPr>
            <w:r>
              <w:rPr>
                <w:rFonts w:ascii="仿宋_GB2312" w:hAnsi="仿宋_GB2312" w:cs="仿宋_GB2312" w:eastAsia="仿宋_GB2312"/>
                <w:sz w:val="20"/>
              </w:rPr>
              <w:t>最终数据迁移：执行存量数据最后一次同步迁移，完成结构化数据增量同步、非结构化数据兜底拷贝，确保新老系统数据完全对齐。</w:t>
            </w:r>
          </w:p>
          <w:p>
            <w:pPr>
              <w:pStyle w:val="null3"/>
              <w:ind w:firstLine="400"/>
              <w:jc w:val="both"/>
            </w:pPr>
            <w:r>
              <w:rPr>
                <w:rFonts w:ascii="仿宋_GB2312" w:hAnsi="仿宋_GB2312" w:cs="仿宋_GB2312" w:eastAsia="仿宋_GB2312"/>
                <w:sz w:val="20"/>
              </w:rPr>
              <w:t>系统配置切换：修改域名解析、负载均衡、接口对接等配置参数，将业务流量导向新环境服务器；启动新系统所有应用服务、中间件、数据库服务，核查服务启动状态。</w:t>
            </w:r>
          </w:p>
          <w:p>
            <w:pPr>
              <w:pStyle w:val="null3"/>
              <w:ind w:firstLine="400"/>
              <w:jc w:val="both"/>
            </w:pPr>
            <w:r>
              <w:rPr>
                <w:rFonts w:ascii="仿宋_GB2312" w:hAnsi="仿宋_GB2312" w:cs="仿宋_GB2312" w:eastAsia="仿宋_GB2312"/>
                <w:sz w:val="20"/>
              </w:rPr>
              <w:t>分步验证启用：先开展技术层面核查（服务状态、网络连通、数据库连接），再进行业务功能验证（核心流程、附件调取、权限匹配、接口交互），抽取真实业务场景全流程测试，确认无误后逐步开放业务权限。</w:t>
            </w:r>
          </w:p>
          <w:p>
            <w:pPr>
              <w:pStyle w:val="null3"/>
              <w:ind w:firstLine="400"/>
              <w:jc w:val="both"/>
            </w:pPr>
            <w:r>
              <w:rPr>
                <w:rFonts w:ascii="仿宋_GB2312" w:hAnsi="仿宋_GB2312" w:cs="仿宋_GB2312" w:eastAsia="仿宋_GB2312"/>
                <w:sz w:val="20"/>
              </w:rPr>
              <w:t>正式上线运行：全面解除业务限制，开放所有系统入口，恢复正常交易业务办理；同步监控</w:t>
            </w:r>
            <w:r>
              <w:rPr>
                <w:rFonts w:ascii="仿宋_GB2312" w:hAnsi="仿宋_GB2312" w:cs="仿宋_GB2312" w:eastAsia="仿宋_GB2312"/>
                <w:sz w:val="24"/>
              </w:rPr>
              <w:t xml:space="preserve"> </w:t>
            </w:r>
            <w:r>
              <w:rPr>
                <w:rFonts w:ascii="仿宋_GB2312" w:hAnsi="仿宋_GB2312" w:cs="仿宋_GB2312" w:eastAsia="仿宋_GB2312"/>
                <w:sz w:val="20"/>
              </w:rPr>
              <w:t>系统运行状态、性能指标，做好实时运维保障。</w:t>
            </w:r>
          </w:p>
          <w:p>
            <w:pPr>
              <w:pStyle w:val="null3"/>
              <w:ind w:firstLine="400"/>
              <w:jc w:val="both"/>
            </w:pPr>
            <w:r>
              <w:rPr>
                <w:rFonts w:ascii="仿宋_GB2312" w:hAnsi="仿宋_GB2312" w:cs="仿宋_GB2312" w:eastAsia="仿宋_GB2312"/>
                <w:sz w:val="20"/>
              </w:rPr>
              <w:t>3、割接影响范围、风险</w:t>
            </w:r>
          </w:p>
          <w:p>
            <w:pPr>
              <w:pStyle w:val="null3"/>
              <w:ind w:firstLine="400"/>
              <w:jc w:val="both"/>
            </w:pPr>
            <w:r>
              <w:rPr>
                <w:rFonts w:ascii="仿宋_GB2312" w:hAnsi="仿宋_GB2312" w:cs="仿宋_GB2312" w:eastAsia="仿宋_GB2312"/>
                <w:sz w:val="20"/>
              </w:rPr>
              <w:t>本次割接严格控制影响范围，最大限度降低对政务服务、交易主体的干扰，同时预判核心风险，提前做好防控部署。</w:t>
            </w:r>
          </w:p>
          <w:p>
            <w:pPr>
              <w:pStyle w:val="null3"/>
              <w:ind w:firstLine="400"/>
              <w:jc w:val="both"/>
            </w:pPr>
            <w:r>
              <w:rPr>
                <w:rFonts w:ascii="仿宋_GB2312" w:hAnsi="仿宋_GB2312" w:cs="仿宋_GB2312" w:eastAsia="仿宋_GB2312"/>
                <w:sz w:val="20"/>
              </w:rPr>
              <w:t>割接影响范围</w:t>
            </w:r>
          </w:p>
          <w:p>
            <w:pPr>
              <w:pStyle w:val="null3"/>
              <w:ind w:firstLine="400"/>
              <w:jc w:val="both"/>
            </w:pPr>
            <w:r>
              <w:rPr>
                <w:rFonts w:ascii="仿宋_GB2312" w:hAnsi="仿宋_GB2312" w:cs="仿宋_GB2312" w:eastAsia="仿宋_GB2312"/>
                <w:sz w:val="20"/>
              </w:rPr>
              <w:t>停服期间，不见面开标、分散席位评标、电子档案查询、电子见证全业务暂停办理，不支持新增项目申报、流程提交、数据调取操作。</w:t>
            </w:r>
          </w:p>
          <w:p>
            <w:pPr>
              <w:pStyle w:val="null3"/>
              <w:ind w:firstLine="400"/>
              <w:jc w:val="both"/>
            </w:pPr>
            <w:r>
              <w:rPr>
                <w:rFonts w:ascii="仿宋_GB2312" w:hAnsi="仿宋_GB2312" w:cs="仿宋_GB2312" w:eastAsia="仿宋_GB2312"/>
                <w:sz w:val="20"/>
              </w:rPr>
              <w:t>仅暂停线上业务办理，线下应急咨询、业务对接工作正常开展，预留应急联络方式保障紧急事项处置。</w:t>
            </w:r>
          </w:p>
          <w:p>
            <w:pPr>
              <w:pStyle w:val="null3"/>
              <w:ind w:firstLine="400"/>
              <w:jc w:val="both"/>
            </w:pPr>
            <w:r>
              <w:rPr>
                <w:rFonts w:ascii="仿宋_GB2312" w:hAnsi="仿宋_GB2312" w:cs="仿宋_GB2312" w:eastAsia="仿宋_GB2312"/>
                <w:sz w:val="20"/>
              </w:rPr>
              <w:t>割接完成后，所有业务恢复正常办理，历史数据、存量流程可正常调取、接续推进。</w:t>
            </w:r>
          </w:p>
          <w:p>
            <w:pPr>
              <w:pStyle w:val="null3"/>
              <w:ind w:firstLine="400"/>
              <w:jc w:val="both"/>
            </w:pPr>
            <w:r>
              <w:rPr>
                <w:rFonts w:ascii="仿宋_GB2312" w:hAnsi="仿宋_GB2312" w:cs="仿宋_GB2312" w:eastAsia="仿宋_GB2312"/>
                <w:sz w:val="20"/>
              </w:rPr>
              <w:t>核心风险预判</w:t>
            </w:r>
          </w:p>
          <w:p>
            <w:pPr>
              <w:pStyle w:val="null3"/>
              <w:ind w:firstLine="400"/>
              <w:jc w:val="both"/>
            </w:pPr>
            <w:r>
              <w:rPr>
                <w:rFonts w:ascii="仿宋_GB2312" w:hAnsi="仿宋_GB2312" w:cs="仿宋_GB2312" w:eastAsia="仿宋_GB2312"/>
                <w:sz w:val="20"/>
              </w:rPr>
              <w:t>数据迁移风险：增量数据同步失败、数据丢失错乱，导致业务无法正常开展。</w:t>
            </w:r>
          </w:p>
          <w:p>
            <w:pPr>
              <w:pStyle w:val="null3"/>
              <w:ind w:firstLine="400"/>
              <w:jc w:val="both"/>
            </w:pPr>
            <w:r>
              <w:rPr>
                <w:rFonts w:ascii="仿宋_GB2312" w:hAnsi="仿宋_GB2312" w:cs="仿宋_GB2312" w:eastAsia="仿宋_GB2312"/>
                <w:sz w:val="20"/>
              </w:rPr>
              <w:t>系统兼容风险：新环境配置适配异常、接口调用失败，导致系统无法启动或功能异常。</w:t>
            </w:r>
          </w:p>
          <w:p>
            <w:pPr>
              <w:pStyle w:val="null3"/>
              <w:ind w:firstLine="400"/>
              <w:jc w:val="both"/>
            </w:pPr>
            <w:r>
              <w:rPr>
                <w:rFonts w:ascii="仿宋_GB2312" w:hAnsi="仿宋_GB2312" w:cs="仿宋_GB2312" w:eastAsia="仿宋_GB2312"/>
                <w:sz w:val="20"/>
              </w:rPr>
              <w:t>网络切换风险：域名解析延迟、网络不通，导致用户无法访问新系统。</w:t>
            </w:r>
          </w:p>
          <w:p>
            <w:pPr>
              <w:pStyle w:val="null3"/>
              <w:ind w:firstLine="400"/>
              <w:jc w:val="both"/>
            </w:pPr>
            <w:r>
              <w:rPr>
                <w:rFonts w:ascii="仿宋_GB2312" w:hAnsi="仿宋_GB2312" w:cs="仿宋_GB2312" w:eastAsia="仿宋_GB2312"/>
                <w:sz w:val="20"/>
              </w:rPr>
              <w:t>性能过载风险：上线后并发访问量过高，导致系统响应缓慢、卡顿闪退。</w:t>
            </w:r>
          </w:p>
          <w:p>
            <w:pPr>
              <w:pStyle w:val="null3"/>
              <w:ind w:firstLine="400"/>
              <w:jc w:val="both"/>
            </w:pPr>
            <w:r>
              <w:rPr>
                <w:rFonts w:ascii="仿宋_GB2312" w:hAnsi="仿宋_GB2312" w:cs="仿宋_GB2312" w:eastAsia="仿宋_GB2312"/>
                <w:sz w:val="20"/>
              </w:rPr>
              <w:t>4、割接应急预案</w:t>
            </w:r>
          </w:p>
          <w:p>
            <w:pPr>
              <w:pStyle w:val="null3"/>
              <w:ind w:firstLine="400"/>
              <w:jc w:val="both"/>
            </w:pPr>
            <w:r>
              <w:rPr>
                <w:rFonts w:ascii="仿宋_GB2312" w:hAnsi="仿宋_GB2312" w:cs="仿宋_GB2312" w:eastAsia="仿宋_GB2312"/>
                <w:sz w:val="20"/>
              </w:rPr>
              <w:t>针对割接全流程突发问题，制定分级应急处置预案，明确处置流程、责任人员及恢复时限，确保快速响应、高效解决，具体如下：</w:t>
            </w:r>
          </w:p>
          <w:p>
            <w:pPr>
              <w:pStyle w:val="null3"/>
              <w:ind w:firstLine="400"/>
              <w:jc w:val="both"/>
            </w:pPr>
            <w:r>
              <w:rPr>
                <w:rFonts w:ascii="仿宋_GB2312" w:hAnsi="仿宋_GB2312" w:cs="仿宋_GB2312" w:eastAsia="仿宋_GB2312"/>
                <w:sz w:val="20"/>
              </w:rPr>
              <w:t>数据异常应急：立即暂停割接操作，启用原系统全量备份包恢复数据，切换回原环境运行；排查数据迁移故障根源，修复完成后重新启动割接流程。</w:t>
            </w:r>
          </w:p>
          <w:p>
            <w:pPr>
              <w:pStyle w:val="null3"/>
              <w:ind w:firstLine="400"/>
              <w:jc w:val="both"/>
            </w:pPr>
            <w:r>
              <w:rPr>
                <w:rFonts w:ascii="仿宋_GB2312" w:hAnsi="仿宋_GB2312" w:cs="仿宋_GB2312" w:eastAsia="仿宋_GB2312"/>
                <w:sz w:val="20"/>
              </w:rPr>
              <w:t>系统兼容应急：技术团队</w:t>
            </w:r>
            <w:r>
              <w:rPr>
                <w:rFonts w:ascii="仿宋_GB2312" w:hAnsi="仿宋_GB2312" w:cs="仿宋_GB2312" w:eastAsia="仿宋_GB2312"/>
                <w:sz w:val="20"/>
              </w:rPr>
              <w:t>30分钟内完成故障排查，定位配置错误、接口异常问题并修复；若短时间无法修复，立即执行回滚操作，恢复原系统服务。</w:t>
            </w:r>
          </w:p>
          <w:p>
            <w:pPr>
              <w:pStyle w:val="null3"/>
              <w:ind w:firstLine="400"/>
              <w:jc w:val="both"/>
            </w:pPr>
            <w:r>
              <w:rPr>
                <w:rFonts w:ascii="仿宋_GB2312" w:hAnsi="仿宋_GB2312" w:cs="仿宋_GB2312" w:eastAsia="仿宋_GB2312"/>
                <w:sz w:val="20"/>
              </w:rPr>
              <w:t>网络故障应急：联动网络运维人员核查链路、解析配置，快速修复网络问题；临时启用备用访问地址，保障用户正常接入系统。</w:t>
            </w:r>
          </w:p>
          <w:p>
            <w:pPr>
              <w:pStyle w:val="null3"/>
              <w:ind w:firstLine="400"/>
              <w:jc w:val="both"/>
            </w:pPr>
            <w:r>
              <w:rPr>
                <w:rFonts w:ascii="仿宋_GB2312" w:hAnsi="仿宋_GB2312" w:cs="仿宋_GB2312" w:eastAsia="仿宋_GB2312"/>
                <w:sz w:val="20"/>
              </w:rPr>
              <w:t>性能过载应急：启用限流机制，控制并发访问量；扩容服务器资源，优化系统参数配置，缓解运行压力；同步告知用户错峰访问，分散系统负载。</w:t>
            </w:r>
          </w:p>
          <w:p>
            <w:pPr>
              <w:pStyle w:val="null3"/>
              <w:ind w:firstLine="400"/>
              <w:jc w:val="both"/>
            </w:pPr>
            <w:r>
              <w:rPr>
                <w:rFonts w:ascii="仿宋_GB2312" w:hAnsi="仿宋_GB2312" w:cs="仿宋_GB2312" w:eastAsia="仿宋_GB2312"/>
                <w:sz w:val="20"/>
              </w:rPr>
              <w:t>5、割接后保障人员</w:t>
            </w:r>
          </w:p>
          <w:p>
            <w:pPr>
              <w:pStyle w:val="null3"/>
              <w:ind w:firstLine="400"/>
              <w:jc w:val="both"/>
            </w:pPr>
            <w:r>
              <w:rPr>
                <w:rFonts w:ascii="仿宋_GB2312" w:hAnsi="仿宋_GB2312" w:cs="仿宋_GB2312" w:eastAsia="仿宋_GB2312"/>
                <w:sz w:val="20"/>
              </w:rPr>
              <w:t>割接完成后</w:t>
            </w:r>
            <w:r>
              <w:rPr>
                <w:rFonts w:ascii="仿宋_GB2312" w:hAnsi="仿宋_GB2312" w:cs="仿宋_GB2312" w:eastAsia="仿宋_GB2312"/>
                <w:sz w:val="20"/>
              </w:rPr>
              <w:t>72</w:t>
            </w:r>
            <w:r>
              <w:rPr>
                <w:rFonts w:ascii="仿宋_GB2312" w:hAnsi="仿宋_GB2312" w:cs="仿宋_GB2312" w:eastAsia="仿宋_GB2312"/>
                <w:sz w:val="20"/>
              </w:rPr>
              <w:t>小时为关键保障期，实行</w:t>
            </w:r>
            <w:r>
              <w:rPr>
                <w:rFonts w:ascii="仿宋_GB2312" w:hAnsi="仿宋_GB2312" w:cs="仿宋_GB2312" w:eastAsia="仿宋_GB2312"/>
                <w:sz w:val="20"/>
              </w:rPr>
              <w:t>7×24小时驻场值守制度，组建专项保障团队，明确分工、定岗定责，全程监控</w:t>
            </w:r>
            <w:r>
              <w:rPr>
                <w:rFonts w:ascii="仿宋_GB2312" w:hAnsi="仿宋_GB2312" w:cs="仿宋_GB2312" w:eastAsia="仿宋_GB2312"/>
                <w:sz w:val="24"/>
              </w:rPr>
              <w:t xml:space="preserve"> </w:t>
            </w:r>
            <w:r>
              <w:rPr>
                <w:rFonts w:ascii="仿宋_GB2312" w:hAnsi="仿宋_GB2312" w:cs="仿宋_GB2312" w:eastAsia="仿宋_GB2312"/>
                <w:sz w:val="20"/>
              </w:rPr>
              <w:t>系统运行状态，快速处置各类问题，具体人员配置及职责如下：</w:t>
            </w:r>
          </w:p>
          <w:p>
            <w:pPr>
              <w:pStyle w:val="null3"/>
              <w:ind w:firstLine="400"/>
              <w:jc w:val="both"/>
            </w:pPr>
            <w:r>
              <w:rPr>
                <w:rFonts w:ascii="仿宋_GB2312" w:hAnsi="仿宋_GB2312" w:cs="仿宋_GB2312" w:eastAsia="仿宋_GB2312"/>
                <w:sz w:val="20"/>
              </w:rPr>
              <w:t>技术负责人（</w:t>
            </w:r>
            <w:r>
              <w:rPr>
                <w:rFonts w:ascii="仿宋_GB2312" w:hAnsi="仿宋_GB2312" w:cs="仿宋_GB2312" w:eastAsia="仿宋_GB2312"/>
                <w:sz w:val="20"/>
              </w:rPr>
              <w:t>1名）：统筹保障工作，决策重大故障处置方案，协调各方资源，对接甲方汇报运行情况。</w:t>
            </w:r>
          </w:p>
          <w:p>
            <w:pPr>
              <w:pStyle w:val="null3"/>
              <w:ind w:firstLine="400"/>
              <w:jc w:val="both"/>
            </w:pPr>
            <w:r>
              <w:rPr>
                <w:rFonts w:ascii="仿宋_GB2312" w:hAnsi="仿宋_GB2312" w:cs="仿宋_GB2312" w:eastAsia="仿宋_GB2312"/>
                <w:sz w:val="20"/>
              </w:rPr>
              <w:t>运维工程师（</w:t>
            </w:r>
            <w:r>
              <w:rPr>
                <w:rFonts w:ascii="仿宋_GB2312" w:hAnsi="仿宋_GB2312" w:cs="仿宋_GB2312" w:eastAsia="仿宋_GB2312"/>
                <w:sz w:val="20"/>
              </w:rPr>
              <w:t>2名）：监控服务器、数据库、中间件运行状态，排查硬件、网络、系统故障，做好日志记录。</w:t>
            </w:r>
          </w:p>
          <w:p>
            <w:pPr>
              <w:pStyle w:val="null3"/>
              <w:ind w:firstLine="400"/>
              <w:jc w:val="both"/>
            </w:pPr>
            <w:r>
              <w:rPr>
                <w:rFonts w:ascii="仿宋_GB2312" w:hAnsi="仿宋_GB2312" w:cs="仿宋_GB2312" w:eastAsia="仿宋_GB2312"/>
                <w:sz w:val="20"/>
              </w:rPr>
              <w:t>开发工程师（</w:t>
            </w:r>
            <w:r>
              <w:rPr>
                <w:rFonts w:ascii="仿宋_GB2312" w:hAnsi="仿宋_GB2312" w:cs="仿宋_GB2312" w:eastAsia="仿宋_GB2312"/>
                <w:sz w:val="20"/>
              </w:rPr>
              <w:t>2名）：处置系统功能缺陷、接口适配问题，优化系统性能，保障业务流程顺畅。</w:t>
            </w:r>
          </w:p>
          <w:p>
            <w:pPr>
              <w:pStyle w:val="null3"/>
              <w:ind w:firstLine="400"/>
              <w:jc w:val="both"/>
            </w:pPr>
            <w:r>
              <w:rPr>
                <w:rFonts w:ascii="仿宋_GB2312" w:hAnsi="仿宋_GB2312" w:cs="仿宋_GB2312" w:eastAsia="仿宋_GB2312"/>
                <w:sz w:val="20"/>
              </w:rPr>
              <w:t>业务支撑人员（</w:t>
            </w:r>
            <w:r>
              <w:rPr>
                <w:rFonts w:ascii="仿宋_GB2312" w:hAnsi="仿宋_GB2312" w:cs="仿宋_GB2312" w:eastAsia="仿宋_GB2312"/>
                <w:sz w:val="20"/>
              </w:rPr>
              <w:t>2名）：对接各业务处室及交易主体，解答操作疑问，协助处理业务异常，收集反馈意见。</w:t>
            </w:r>
          </w:p>
          <w:p>
            <w:pPr>
              <w:pStyle w:val="null3"/>
              <w:ind w:firstLine="400"/>
              <w:jc w:val="both"/>
            </w:pPr>
            <w:r>
              <w:rPr>
                <w:rFonts w:ascii="仿宋_GB2312" w:hAnsi="仿宋_GB2312" w:cs="仿宋_GB2312" w:eastAsia="仿宋_GB2312"/>
                <w:sz w:val="20"/>
                <w:b/>
              </w:rPr>
              <w:t>六、其他要求：</w:t>
            </w:r>
            <w:r>
              <w:rPr>
                <w:rFonts w:ascii="仿宋_GB2312" w:hAnsi="仿宋_GB2312" w:cs="仿宋_GB2312" w:eastAsia="仿宋_GB2312"/>
                <w:sz w:val="20"/>
                <w:b/>
              </w:rPr>
              <w:t>提供一个</w:t>
            </w:r>
            <w:r>
              <w:rPr>
                <w:rFonts w:ascii="仿宋_GB2312" w:hAnsi="仿宋_GB2312" w:cs="仿宋_GB2312" w:eastAsia="仿宋_GB2312"/>
                <w:sz w:val="20"/>
                <w:b/>
              </w:rPr>
              <w:t>SSL通配符证书1年</w:t>
            </w:r>
            <w:r>
              <w:rPr>
                <w:rFonts w:ascii="仿宋_GB2312" w:hAnsi="仿宋_GB2312" w:cs="仿宋_GB2312" w:eastAsia="仿宋_GB2312"/>
                <w:sz w:val="20"/>
                <w:b/>
              </w:rPr>
              <w:t>；</w:t>
            </w:r>
            <w:r>
              <w:rPr>
                <w:rFonts w:ascii="仿宋_GB2312" w:hAnsi="仿宋_GB2312" w:cs="仿宋_GB2312" w:eastAsia="仿宋_GB2312"/>
                <w:sz w:val="20"/>
                <w:b/>
              </w:rPr>
              <w:t>本项目为交钥匙工程，费用包含安装调试等项目所有费用</w:t>
            </w:r>
            <w:r>
              <w:rPr>
                <w:rFonts w:ascii="仿宋_GB2312" w:hAnsi="仿宋_GB2312" w:cs="仿宋_GB2312" w:eastAsia="仿宋_GB2312"/>
                <w:sz w:val="20"/>
                <w:b/>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供应商须至少为本项目提供7名人员的服务团队，其中包括:技术负责人1名，运维工程师2名，开发工程师2名，业务支撑人员2名。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日历天内完成所有服务内容并交付验收合格。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西安市公共资源交易中心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1、服务结束后，按照西安市信息化项目验收相关要求进行验收。 2、验收依据： （1）磋商文件、响应文件及合同文本。 （2）国家和行业制定的相应标准和规范。 （3）供应商出具的服务自检报告。 4、验收合格后，项目验收单作为对服务的最终认可。 5、供应商向采购人提交服务实施过程中的所有资料，以便采购人日后管理和维护。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1、合同违约责任按《中华人民共和国政府采购法》中的相关条款执行。 2、供应商未全面履行合同义务或发生违约，采购人有权终止合同，并依法向供应商进行经济索赔。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密要求：1、合同签订后，供应商与采购人签订《保密协议》，对履约期间了解到的采购人的信息、资料等进行严格保密，不得向他人泄露。合同的解除或终止不免除供应商应承担的保密义务。2、合同签订后，服务人员按照网络安全保障工作要求，提供《第三方技术支持、服务人员背景审查表》。 （二）其他 1、定标环节采购人有权对响应文件承诺响应的内容进行复核，如有虚假响应，一经发现，取消成交资格并上报财政主管部门，列入政府采购黑名单。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《投标函》完成承诺并进行电子签章。 1、具有独立承担民事责任的能力（企业法人应提供统 一社会信用代码的营业执照；事业法人应提供 事业单位法人证、组织机构代码证等证明文件 ；其他组织应提供合法证明文件；自然人提供身份证明文件）； 2、具有良好的商业信誉和健 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 详见附件）；4、有依法缴纳税收和社会保障资金的良好记录（提供开标前12个月内任一月份的社保和缴纳税收的证明，依法不需要缴纳社 会保障资金、免税或无须缴纳税款的供应商，应提供相关证明文件)；5、参加政府采购活动 前 3 年内在经营活动中没有重大违法记录的书 面声明（格式详见附件）。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具有良好的商业信誉和健全的财务会计制度，提供2024年度或2025年度经审计完整的财务审计报告（成立时间至提交响应文件截止时间不足一年的可提供成立后任 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投标人存在单位负责人为同一人或者存在直接控股、管理关系的，则投标无效。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商务及技术要求偏离表.docx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（1）付款方式、服务期限是否完全响应；（2）响应文件有效期是否合格；</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商务及技术要求偏离表.docx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服务要求响应性审查</w:t>
            </w:r>
          </w:p>
        </w:tc>
        <w:tc>
          <w:tcPr>
            <w:tcW w:type="dxa" w:w="3322"/>
          </w:tcPr>
          <w:p>
            <w:pPr>
              <w:pStyle w:val="null3"/>
            </w:pPr>
            <w:r>
              <w:rPr>
                <w:rFonts w:ascii="仿宋_GB2312" w:hAnsi="仿宋_GB2312" w:cs="仿宋_GB2312" w:eastAsia="仿宋_GB2312"/>
              </w:rPr>
              <w:t>磋商响应文件是否满足采购要求</w:t>
            </w:r>
          </w:p>
        </w:tc>
        <w:tc>
          <w:tcPr>
            <w:tcW w:type="dxa" w:w="1661"/>
          </w:tcPr>
          <w:p>
            <w:pPr>
              <w:pStyle w:val="null3"/>
            </w:pPr>
            <w:r>
              <w:rPr>
                <w:rFonts w:ascii="仿宋_GB2312" w:hAnsi="仿宋_GB2312" w:cs="仿宋_GB2312" w:eastAsia="仿宋_GB2312"/>
              </w:rPr>
              <w:t>服务方案及供应商认为需要提供的其他资料.docx 商务及技术要求偏离表.docx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服务方案及供应商认为需要提供的其他资料.docx 商务及技术要求偏离表.docx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服务方案-1.需求理解与分析</w:t>
            </w:r>
          </w:p>
        </w:tc>
        <w:tc>
          <w:tcPr>
            <w:tcW w:type="dxa" w:w="2492"/>
          </w:tcPr>
          <w:p>
            <w:pPr>
              <w:pStyle w:val="null3"/>
            </w:pPr>
            <w:r>
              <w:rPr>
                <w:rFonts w:ascii="仿宋_GB2312" w:hAnsi="仿宋_GB2312" w:cs="仿宋_GB2312" w:eastAsia="仿宋_GB2312"/>
              </w:rPr>
              <w:t>供应商需充分理解项目背景，对本项目迁移服务需求有深入分析，对设计的各系统现状理解透彻，熟知平台用户对象、了解平台部署架构。（1）方案切实可行、完整合理、无缺项，可行性强，完全满足磋商文件要求。得8分；（2）方案基本满足采购需求，有一定的针对性和较好的可行性，较好满足采购要求。得5分；（3）方案设计有缺失，可行性一般。得2分；（4）供应商未提供上述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服务方案-2.平台迁移方案</w:t>
            </w:r>
          </w:p>
        </w:tc>
        <w:tc>
          <w:tcPr>
            <w:tcW w:type="dxa" w:w="2492"/>
          </w:tcPr>
          <w:p>
            <w:pPr>
              <w:pStyle w:val="null3"/>
            </w:pPr>
            <w:r>
              <w:rPr>
                <w:rFonts w:ascii="仿宋_GB2312" w:hAnsi="仿宋_GB2312" w:cs="仿宋_GB2312" w:eastAsia="仿宋_GB2312"/>
              </w:rPr>
              <w:t>供应商需针对本项目提供具体的迁移服务方案，包括：①不见面开标系统、②电子档案管理系统、③分散席位制评标系统、④电子见证平台。 方案需要符合系统日常运行及迁移需要，磋商小组根据供应商提供的方案是否详细、满足实际需求逐个进行打分，每一项服务内容最高得4分，共计16分。 每项服务内容详细全面得4分，每项服务方案基本满足采购需求得2分，每项方案有缺项与采购需求出入较大得1分；方案不提供不得分。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服务方案-3.系统割接上线方案</w:t>
            </w:r>
          </w:p>
        </w:tc>
        <w:tc>
          <w:tcPr>
            <w:tcW w:type="dxa" w:w="2492"/>
          </w:tcPr>
          <w:p>
            <w:pPr>
              <w:pStyle w:val="null3"/>
            </w:pPr>
            <w:r>
              <w:rPr>
                <w:rFonts w:ascii="仿宋_GB2312" w:hAnsi="仿宋_GB2312" w:cs="仿宋_GB2312" w:eastAsia="仿宋_GB2312"/>
              </w:rPr>
              <w:t>供应商需针对本项目提供具体的系统割接上线，包括：①割接前演练；②割接实施步骤，每一项服务内容最高得6分，共计12分。 每项服务内容详细全面得6分，每项服务方案基本满足采购需求得4分，每项方案有缺项与采购需求出入较大得2分；方案不提供不得分。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服务方案-4.应急保障方案</w:t>
            </w:r>
          </w:p>
        </w:tc>
        <w:tc>
          <w:tcPr>
            <w:tcW w:type="dxa" w:w="2492"/>
          </w:tcPr>
          <w:p>
            <w:pPr>
              <w:pStyle w:val="null3"/>
            </w:pPr>
            <w:r>
              <w:rPr>
                <w:rFonts w:ascii="仿宋_GB2312" w:hAnsi="仿宋_GB2312" w:cs="仿宋_GB2312" w:eastAsia="仿宋_GB2312"/>
              </w:rPr>
              <w:t>根据响应文件提供的应急保障方案制定的详细程度及合理周密性进行综合评分。 （1）方案切实可行、完整合理、无缺项，可行性强，完全满足磋商文件要求。得6分； （2）方案基本完整，有一定的针对性和较好的可行性，完全满足采购要求，得4分；（3）方案设计有缺项，可行性一般。得2分；（4）供应商未提供上述内容不得分。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服务方案-5.培训方案</w:t>
            </w:r>
          </w:p>
        </w:tc>
        <w:tc>
          <w:tcPr>
            <w:tcW w:type="dxa" w:w="2492"/>
          </w:tcPr>
          <w:p>
            <w:pPr>
              <w:pStyle w:val="null3"/>
            </w:pPr>
            <w:r>
              <w:rPr>
                <w:rFonts w:ascii="仿宋_GB2312" w:hAnsi="仿宋_GB2312" w:cs="仿宋_GB2312" w:eastAsia="仿宋_GB2312"/>
              </w:rPr>
              <w:t>根据响应文件提供的培训方案（含：培训方式、培训人员、培训内容、培训计划）进行综合评分。（1）方案切实可行、完整合理、无缺项，可行性强，完全满足磋商文件要求。得6分； （2）方案基本完整，有一定的针对性和较好的可行性，完全满足采购要求，得4分；（3）方案设计有缺项，可行性一般。得2分；（4）供应商未提供上述内容不得分。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服务方案-6.安全设计建议方案</w:t>
            </w:r>
          </w:p>
        </w:tc>
        <w:tc>
          <w:tcPr>
            <w:tcW w:type="dxa" w:w="2492"/>
          </w:tcPr>
          <w:p>
            <w:pPr>
              <w:pStyle w:val="null3"/>
            </w:pPr>
            <w:r>
              <w:rPr>
                <w:rFonts w:ascii="仿宋_GB2312" w:hAnsi="仿宋_GB2312" w:cs="仿宋_GB2312" w:eastAsia="仿宋_GB2312"/>
              </w:rPr>
              <w:t>针对项目需提供合理、详尽的安全设计建议方案，至少需要包含物理安全、网络安全、应用安全、数据安全。（1）方案切实可行、完整合理、无缺项，可行性强，完全满足磋商文件要求。得6分；（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企业能力-1</w:t>
            </w:r>
          </w:p>
        </w:tc>
        <w:tc>
          <w:tcPr>
            <w:tcW w:type="dxa" w:w="2492"/>
          </w:tcPr>
          <w:p>
            <w:pPr>
              <w:pStyle w:val="null3"/>
            </w:pPr>
            <w:r>
              <w:rPr>
                <w:rFonts w:ascii="仿宋_GB2312" w:hAnsi="仿宋_GB2312" w:cs="仿宋_GB2312" w:eastAsia="仿宋_GB2312"/>
              </w:rPr>
              <w:t>1、供应商具有信息系统建设和服务能力评估体系能力证书，提供得3分（需提供证书复印件加盖公章） 2、供应商具有ISO45001职业健康安全管理体系、ISO20000信息技术服务管理体系认证证书，提供1个证书得2分，满分4分。 （注：以上需提供证书复印件加盖供应商公章）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企业能力-2</w:t>
            </w:r>
          </w:p>
        </w:tc>
        <w:tc>
          <w:tcPr>
            <w:tcW w:type="dxa" w:w="2492"/>
          </w:tcPr>
          <w:p>
            <w:pPr>
              <w:pStyle w:val="null3"/>
            </w:pPr>
            <w:r>
              <w:rPr>
                <w:rFonts w:ascii="仿宋_GB2312" w:hAnsi="仿宋_GB2312" w:cs="仿宋_GB2312" w:eastAsia="仿宋_GB2312"/>
              </w:rPr>
              <w:t>供应商具有国家版权局颁发的数据共享类、数据归集类著作权登记证书。提供一项得3分，最高得6分（需提供复印件加盖公章）。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1、拟派项目经理具有信息系统项目管理师（高级）得3分，没有不得分； 2、供应商拟配备的项目团队成员具有人社或工信部门颁发的以下证书：软件评测师证、系统架构设计师证、系统分析师证、信息安全工程师证、软件设计师证、数据库系统工程师证、信息系统项目管理师证，提供一项得1分，最高得7分，不提供不得分。（注：①须提供证书复印件加盖供应商公章；②同一人的多份证书只计一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本项目实际情况提供近三年（2023年1月1日至今）以来的同类项目建设或迁移服务业绩，提供1份业绩得2分，最高8分。（提供项目中标/成交通知书或合同复印件，不提供不得分，业绩时间以合同签订时间或中标/成交通知书落款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为采购人提供及时的售后服务，并根据采购需求提供相应售后服务措施；提供售后服务机构证明文件，如购房合同或租房合同复印件加盖供应商公章等。（1）售后服务机构证明文件齐全有效且售后服务措施完善完全符合采购需求，可行性较高，得5分；（2）售后服务措施较完整基本满足采购需求，机构证明文件提供不全的。得3分；（3）售后服务措施提供与采购需求偏差较大，机构证明文件未提供，得1分；（4）供应商未提供上述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 磋商报价得分=（磋商基准价/磋商报价）×价格权值×10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详见附件：服务方案及供应商认为需要提供的其他资料.docx</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